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9226">
      <w:pPr>
        <w:widowControl/>
        <w:jc w:val="center"/>
        <w:rPr>
          <w:rFonts w:hint="eastAsia" w:ascii="黑体" w:hAnsi="黑体" w:eastAsia="黑体" w:cs="黑体"/>
          <w:sz w:val="32"/>
          <w:szCs w:val="32"/>
        </w:rPr>
      </w:pPr>
      <w:r>
        <w:rPr>
          <w:rFonts w:hint="eastAsia" w:ascii="方正小标宋_GBK" w:hAnsi="方正小标宋_GBK" w:eastAsia="方正小标宋_GBK" w:cs="方正小标宋_GBK"/>
          <w:kern w:val="0"/>
          <w:sz w:val="44"/>
          <w:szCs w:val="44"/>
        </w:rPr>
        <w:t>采购合同</w:t>
      </w:r>
    </w:p>
    <w:p w14:paraId="7DB84602">
      <w:pPr>
        <w:rPr>
          <w:rFonts w:hint="eastAsia" w:ascii="黑体" w:hAnsi="黑体" w:eastAsia="黑体" w:cs="黑体"/>
          <w:sz w:val="32"/>
          <w:szCs w:val="32"/>
        </w:rPr>
      </w:pPr>
    </w:p>
    <w:p w14:paraId="7DC58A17">
      <w:pPr>
        <w:pStyle w:val="2"/>
        <w:spacing w:before="17" w:line="208" w:lineRule="auto"/>
      </w:pPr>
      <w:r>
        <w:rPr>
          <w:rFonts w:hint="eastAsia" w:ascii="黑体" w:hAnsi="黑体" w:eastAsia="黑体" w:cs="黑体"/>
          <w:sz w:val="32"/>
          <w:szCs w:val="32"/>
        </w:rPr>
        <w:t>甲方：鄂尔多斯市蒙医医院（鄂尔多斯市蒙医研究所）        乙方：内蒙古元坤医疗器械有限公司</w:t>
      </w:r>
    </w:p>
    <w:p w14:paraId="6D98B551">
      <w:pPr>
        <w:rPr>
          <w:rFonts w:hint="default" w:ascii="黑体" w:hAnsi="黑体" w:eastAsia="黑体" w:cs="黑体"/>
          <w:sz w:val="32"/>
          <w:szCs w:val="32"/>
          <w:lang w:val="en-US" w:eastAsia="zh-CN"/>
        </w:rPr>
      </w:pPr>
      <w:r>
        <w:rPr>
          <w:rFonts w:hint="eastAsia" w:ascii="黑体" w:hAnsi="黑体" w:eastAsia="黑体" w:cs="黑体"/>
          <w:sz w:val="32"/>
          <w:szCs w:val="32"/>
        </w:rPr>
        <w:t>合同号：SMYYZCB-2025-00</w:t>
      </w:r>
      <w:r>
        <w:rPr>
          <w:rFonts w:hint="eastAsia" w:ascii="黑体" w:hAnsi="黑体" w:eastAsia="黑体" w:cs="黑体"/>
          <w:sz w:val="32"/>
          <w:szCs w:val="32"/>
          <w:lang w:val="en-US" w:eastAsia="zh-CN"/>
        </w:rPr>
        <w:t>40</w:t>
      </w:r>
    </w:p>
    <w:p w14:paraId="3A2FD0D4">
      <w:pPr>
        <w:pStyle w:val="6"/>
        <w:widowControl/>
        <w:shd w:val="clear" w:color="auto" w:fill="FFFFFF"/>
        <w:spacing w:beforeAutospacing="0" w:afterAutospacing="0" w:line="240" w:lineRule="atLeast"/>
        <w:ind w:firstLine="684" w:firstLineChars="214"/>
        <w:jc w:val="both"/>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根据《中华人民共和国政府采购法</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中华人民共和国民法典》等相关法律法规，</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甲、乙双方就</w:t>
      </w:r>
      <w:r>
        <w:rPr>
          <w:rFonts w:hint="eastAsia" w:ascii="方正仿宋_GB2312" w:hAnsi="方正仿宋_GB2312" w:eastAsia="方正仿宋_GB2312" w:cs="方正仿宋_GB2312"/>
          <w:snapToGrid/>
          <w:kern w:val="2"/>
          <w:sz w:val="32"/>
          <w:szCs w:val="32"/>
          <w:u w:val="single"/>
          <w:lang w:val="en-US" w:eastAsia="zh-CN"/>
          <w14:ligatures w14:val="none"/>
        </w:rPr>
        <w:t>鄂尔多斯市蒙医医院（鄂尔多斯市蒙医研究</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所）</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老年病科医疗设备采购</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项目（包二），经平等自愿协商一致达成合同如下：</w:t>
      </w:r>
    </w:p>
    <w:p w14:paraId="28F116CA">
      <w:pPr>
        <w:pStyle w:val="7"/>
        <w:numPr>
          <w:ilvl w:val="0"/>
          <w:numId w:val="1"/>
        </w:num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合同文件</w:t>
      </w:r>
    </w:p>
    <w:p w14:paraId="5EC785C4">
      <w:pPr>
        <w:pStyle w:val="7"/>
        <w:numPr>
          <w:ilvl w:val="0"/>
          <w:numId w:val="0"/>
        </w:numPr>
        <w:ind w:firstLine="64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本合同所附下列文件是构成本合同不可分割的部分：</w:t>
      </w:r>
    </w:p>
    <w:p w14:paraId="715D5F04">
      <w:pPr>
        <w:pStyle w:val="7"/>
        <w:numPr>
          <w:ilvl w:val="0"/>
          <w:numId w:val="2"/>
        </w:numPr>
        <w:ind w:firstLine="64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成交结果公告及成交通知书；</w:t>
      </w:r>
    </w:p>
    <w:p w14:paraId="3FE8C98E">
      <w:pPr>
        <w:pStyle w:val="7"/>
        <w:numPr>
          <w:ilvl w:val="0"/>
          <w:numId w:val="2"/>
        </w:numPr>
        <w:ind w:firstLine="64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公开招标文件；</w:t>
      </w:r>
    </w:p>
    <w:p w14:paraId="674D707F">
      <w:pPr>
        <w:pStyle w:val="7"/>
        <w:numPr>
          <w:ilvl w:val="0"/>
          <w:numId w:val="2"/>
        </w:numPr>
        <w:ind w:firstLine="64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响应文件。</w:t>
      </w:r>
    </w:p>
    <w:p w14:paraId="5D83C473">
      <w:pPr>
        <w:pStyle w:val="7"/>
        <w:numPr>
          <w:ilvl w:val="0"/>
          <w:numId w:val="1"/>
        </w:num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货物名称、</w:t>
      </w:r>
      <w:r>
        <w:rPr>
          <w:rFonts w:hint="eastAsia" w:ascii="黑体" w:hAnsi="黑体" w:eastAsia="黑体" w:cs="黑体"/>
          <w:color w:val="000000" w:themeColor="text1"/>
          <w:sz w:val="32"/>
          <w:szCs w:val="32"/>
          <w:lang w:val="en-US" w:eastAsia="zh-CN"/>
          <w14:textFill>
            <w14:solidFill>
              <w14:schemeClr w14:val="tx1"/>
            </w14:solidFill>
          </w14:textFill>
        </w:rPr>
        <w:t>数量、单</w:t>
      </w:r>
      <w:r>
        <w:rPr>
          <w:rFonts w:hint="eastAsia" w:ascii="黑体" w:hAnsi="黑体" w:eastAsia="黑体" w:cs="黑体"/>
          <w:color w:val="000000" w:themeColor="text1"/>
          <w:sz w:val="32"/>
          <w:szCs w:val="32"/>
          <w14:textFill>
            <w14:solidFill>
              <w14:schemeClr w14:val="tx1"/>
            </w14:solidFill>
          </w14:textFill>
        </w:rPr>
        <w:t>价</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总价、制造商、</w:t>
      </w:r>
      <w:r>
        <w:rPr>
          <w:rFonts w:hint="eastAsia" w:ascii="黑体" w:hAnsi="黑体" w:eastAsia="黑体" w:cs="黑体"/>
          <w:color w:val="000000" w:themeColor="text1"/>
          <w:sz w:val="32"/>
          <w:szCs w:val="32"/>
          <w14:textFill>
            <w14:solidFill>
              <w14:schemeClr w14:val="tx1"/>
            </w14:solidFill>
          </w14:textFill>
        </w:rPr>
        <w:t>品牌、型号</w:t>
      </w:r>
    </w:p>
    <w:tbl>
      <w:tblPr>
        <w:tblStyle w:val="12"/>
        <w:tblW w:w="5624"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558"/>
        <w:gridCol w:w="798"/>
        <w:gridCol w:w="1266"/>
        <w:gridCol w:w="1151"/>
        <w:gridCol w:w="1892"/>
        <w:gridCol w:w="894"/>
        <w:gridCol w:w="1183"/>
      </w:tblGrid>
      <w:tr w14:paraId="2500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7" w:type="pct"/>
            <w:vAlign w:val="center"/>
          </w:tcPr>
          <w:p w14:paraId="3B519521">
            <w:pPr>
              <w:pStyle w:val="11"/>
              <w:spacing w:before="88"/>
              <w:ind w:left="100"/>
              <w:jc w:val="center"/>
              <w:rPr>
                <w:rFonts w:hint="eastAsia" w:ascii="黑体" w:hAnsi="黑体" w:eastAsia="黑体" w:cs="黑体"/>
                <w:sz w:val="24"/>
                <w:szCs w:val="24"/>
              </w:rPr>
            </w:pPr>
            <w:r>
              <w:rPr>
                <w:rFonts w:hint="eastAsia" w:ascii="黑体" w:hAnsi="黑体" w:eastAsia="黑体" w:cs="黑体"/>
                <w:spacing w:val="-3"/>
                <w:sz w:val="24"/>
                <w:szCs w:val="24"/>
              </w:rPr>
              <w:t>序号</w:t>
            </w:r>
          </w:p>
        </w:tc>
        <w:tc>
          <w:tcPr>
            <w:tcW w:w="833" w:type="pct"/>
            <w:vAlign w:val="center"/>
          </w:tcPr>
          <w:p w14:paraId="5CFCD13C">
            <w:pPr>
              <w:pStyle w:val="11"/>
              <w:spacing w:before="88"/>
              <w:ind w:left="105"/>
              <w:jc w:val="center"/>
              <w:rPr>
                <w:rFonts w:hint="eastAsia" w:ascii="黑体" w:hAnsi="黑体" w:eastAsia="黑体" w:cs="黑体"/>
                <w:sz w:val="24"/>
                <w:szCs w:val="24"/>
              </w:rPr>
            </w:pPr>
            <w:r>
              <w:rPr>
                <w:rFonts w:hint="eastAsia" w:ascii="黑体" w:hAnsi="黑体" w:eastAsia="黑体" w:cs="黑体"/>
                <w:spacing w:val="-2"/>
                <w:sz w:val="24"/>
                <w:szCs w:val="24"/>
              </w:rPr>
              <w:t>货物名称</w:t>
            </w:r>
          </w:p>
        </w:tc>
        <w:tc>
          <w:tcPr>
            <w:tcW w:w="427" w:type="pct"/>
            <w:vAlign w:val="center"/>
          </w:tcPr>
          <w:p w14:paraId="652ABD46">
            <w:pPr>
              <w:pStyle w:val="11"/>
              <w:spacing w:before="89"/>
              <w:ind w:left="109"/>
              <w:jc w:val="center"/>
              <w:rPr>
                <w:rFonts w:hint="eastAsia" w:ascii="黑体" w:hAnsi="黑体" w:eastAsia="黑体" w:cs="黑体"/>
                <w:sz w:val="24"/>
                <w:szCs w:val="24"/>
              </w:rPr>
            </w:pPr>
            <w:r>
              <w:rPr>
                <w:rFonts w:hint="eastAsia" w:ascii="黑体" w:hAnsi="黑体" w:eastAsia="黑体" w:cs="黑体"/>
                <w:spacing w:val="-4"/>
                <w:sz w:val="24"/>
                <w:szCs w:val="24"/>
              </w:rPr>
              <w:t>数量</w:t>
            </w:r>
          </w:p>
        </w:tc>
        <w:tc>
          <w:tcPr>
            <w:tcW w:w="677" w:type="pct"/>
            <w:vAlign w:val="center"/>
          </w:tcPr>
          <w:p w14:paraId="6F84B29C">
            <w:pPr>
              <w:pStyle w:val="11"/>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单价（元）</w:t>
            </w:r>
          </w:p>
        </w:tc>
        <w:tc>
          <w:tcPr>
            <w:tcW w:w="615" w:type="pct"/>
            <w:vAlign w:val="center"/>
          </w:tcPr>
          <w:p w14:paraId="67E7A780">
            <w:pPr>
              <w:pStyle w:val="11"/>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总价（元）</w:t>
            </w:r>
          </w:p>
        </w:tc>
        <w:tc>
          <w:tcPr>
            <w:tcW w:w="1012" w:type="pct"/>
            <w:vAlign w:val="center"/>
          </w:tcPr>
          <w:p w14:paraId="12796B4A">
            <w:pPr>
              <w:pStyle w:val="11"/>
              <w:spacing w:before="89"/>
              <w:ind w:left="103"/>
              <w:jc w:val="center"/>
              <w:rPr>
                <w:rFonts w:hint="eastAsia" w:ascii="黑体" w:hAnsi="黑体" w:eastAsia="黑体" w:cs="黑体"/>
                <w:sz w:val="24"/>
                <w:szCs w:val="24"/>
              </w:rPr>
            </w:pPr>
            <w:r>
              <w:rPr>
                <w:rFonts w:hint="eastAsia" w:ascii="黑体" w:hAnsi="黑体" w:eastAsia="黑体" w:cs="黑体"/>
                <w:sz w:val="24"/>
                <w:szCs w:val="24"/>
              </w:rPr>
              <w:t>制造商名称</w:t>
            </w:r>
          </w:p>
        </w:tc>
        <w:tc>
          <w:tcPr>
            <w:tcW w:w="478" w:type="pct"/>
            <w:vAlign w:val="center"/>
          </w:tcPr>
          <w:p w14:paraId="739B8570">
            <w:pPr>
              <w:pStyle w:val="11"/>
              <w:spacing w:before="89"/>
              <w:ind w:left="119"/>
              <w:jc w:val="center"/>
              <w:rPr>
                <w:rFonts w:hint="eastAsia" w:ascii="黑体" w:hAnsi="黑体" w:eastAsia="黑体" w:cs="黑体"/>
                <w:sz w:val="24"/>
                <w:szCs w:val="24"/>
              </w:rPr>
            </w:pPr>
            <w:r>
              <w:rPr>
                <w:rFonts w:hint="eastAsia" w:ascii="黑体" w:hAnsi="黑体" w:eastAsia="黑体" w:cs="黑体"/>
                <w:spacing w:val="-11"/>
                <w:sz w:val="24"/>
                <w:szCs w:val="24"/>
              </w:rPr>
              <w:t>品牌</w:t>
            </w:r>
          </w:p>
        </w:tc>
        <w:tc>
          <w:tcPr>
            <w:tcW w:w="627" w:type="pct"/>
            <w:vAlign w:val="center"/>
          </w:tcPr>
          <w:p w14:paraId="642C2245">
            <w:pPr>
              <w:pStyle w:val="11"/>
              <w:spacing w:before="89"/>
              <w:ind w:left="106"/>
              <w:jc w:val="center"/>
              <w:rPr>
                <w:rFonts w:hint="eastAsia" w:ascii="黑体" w:hAnsi="黑体" w:eastAsia="黑体" w:cs="黑体"/>
                <w:sz w:val="24"/>
                <w:szCs w:val="24"/>
              </w:rPr>
            </w:pPr>
            <w:r>
              <w:rPr>
                <w:rFonts w:hint="eastAsia" w:ascii="黑体" w:hAnsi="黑体" w:eastAsia="黑体" w:cs="黑体"/>
                <w:spacing w:val="-1"/>
                <w:sz w:val="24"/>
                <w:szCs w:val="24"/>
              </w:rPr>
              <w:t>规格型号</w:t>
            </w:r>
          </w:p>
        </w:tc>
      </w:tr>
      <w:tr w14:paraId="489F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7" w:type="pct"/>
            <w:shd w:val="clear" w:color="auto" w:fill="auto"/>
            <w:vAlign w:val="center"/>
          </w:tcPr>
          <w:p w14:paraId="5C6EE2F7">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1</w:t>
            </w:r>
          </w:p>
        </w:tc>
        <w:tc>
          <w:tcPr>
            <w:tcW w:w="833" w:type="pct"/>
            <w:shd w:val="clear" w:color="auto" w:fill="auto"/>
            <w:vAlign w:val="center"/>
          </w:tcPr>
          <w:p w14:paraId="374D8B2E">
            <w:pPr>
              <w:pStyle w:val="11"/>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电动起立床</w:t>
            </w:r>
          </w:p>
        </w:tc>
        <w:tc>
          <w:tcPr>
            <w:tcW w:w="427" w:type="pct"/>
            <w:shd w:val="clear" w:color="auto" w:fill="auto"/>
            <w:vAlign w:val="center"/>
          </w:tcPr>
          <w:p w14:paraId="14FD1D79">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w:t>
            </w:r>
          </w:p>
        </w:tc>
        <w:tc>
          <w:tcPr>
            <w:tcW w:w="677" w:type="pct"/>
            <w:shd w:val="clear" w:color="auto" w:fill="auto"/>
            <w:vAlign w:val="center"/>
          </w:tcPr>
          <w:p w14:paraId="0F7DEDF3">
            <w:pPr>
              <w:pStyle w:val="11"/>
              <w:spacing w:before="88"/>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18000</w:t>
            </w:r>
          </w:p>
        </w:tc>
        <w:tc>
          <w:tcPr>
            <w:tcW w:w="615" w:type="pct"/>
            <w:shd w:val="clear" w:color="auto" w:fill="auto"/>
            <w:vAlign w:val="center"/>
          </w:tcPr>
          <w:p w14:paraId="2529F6D9">
            <w:pPr>
              <w:pStyle w:val="11"/>
              <w:spacing w:before="88"/>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36000</w:t>
            </w:r>
          </w:p>
        </w:tc>
        <w:tc>
          <w:tcPr>
            <w:tcW w:w="1012" w:type="pct"/>
            <w:shd w:val="clear" w:color="auto" w:fill="auto"/>
            <w:vAlign w:val="center"/>
          </w:tcPr>
          <w:p w14:paraId="4E1E3AD3">
            <w:pPr>
              <w:pStyle w:val="11"/>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南京华伟医疗设备有限公司</w:t>
            </w:r>
          </w:p>
        </w:tc>
        <w:tc>
          <w:tcPr>
            <w:tcW w:w="478" w:type="pct"/>
            <w:shd w:val="clear" w:color="auto" w:fill="auto"/>
            <w:vAlign w:val="center"/>
          </w:tcPr>
          <w:p w14:paraId="69FE262B">
            <w:pPr>
              <w:pStyle w:val="11"/>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华伟</w:t>
            </w:r>
          </w:p>
        </w:tc>
        <w:tc>
          <w:tcPr>
            <w:tcW w:w="627" w:type="pct"/>
            <w:shd w:val="clear" w:color="auto" w:fill="auto"/>
            <w:vAlign w:val="center"/>
          </w:tcPr>
          <w:p w14:paraId="6AF78152">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HW-YD-</w:t>
            </w:r>
          </w:p>
          <w:p w14:paraId="15F2673B">
            <w:pPr>
              <w:pStyle w:val="11"/>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202</w:t>
            </w:r>
          </w:p>
        </w:tc>
      </w:tr>
      <w:tr w14:paraId="09B83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7" w:type="pct"/>
            <w:shd w:val="clear" w:color="auto" w:fill="auto"/>
            <w:vAlign w:val="center"/>
          </w:tcPr>
          <w:p w14:paraId="4DDC9F3E">
            <w:pPr>
              <w:pStyle w:val="11"/>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w:t>
            </w:r>
          </w:p>
        </w:tc>
        <w:tc>
          <w:tcPr>
            <w:tcW w:w="833" w:type="pct"/>
            <w:shd w:val="clear" w:color="auto" w:fill="auto"/>
            <w:vAlign w:val="center"/>
          </w:tcPr>
          <w:p w14:paraId="54F0E91C">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空气压力肢体加压训练仪</w:t>
            </w:r>
          </w:p>
        </w:tc>
        <w:tc>
          <w:tcPr>
            <w:tcW w:w="427" w:type="pct"/>
            <w:shd w:val="clear" w:color="auto" w:fill="auto"/>
            <w:vAlign w:val="center"/>
          </w:tcPr>
          <w:p w14:paraId="0031A7EB">
            <w:pPr>
              <w:pStyle w:val="11"/>
              <w:spacing w:before="88"/>
              <w:ind w:left="105"/>
              <w:jc w:val="center"/>
              <w:rPr>
                <w:rFonts w:hint="eastAsia" w:ascii="黑体" w:hAnsi="黑体" w:eastAsia="黑体" w:cs="黑体"/>
                <w:spacing w:val="-2"/>
                <w:sz w:val="24"/>
                <w:szCs w:val="24"/>
                <w:lang w:val="en-US" w:eastAsia="zh-CN"/>
              </w:rPr>
            </w:pPr>
          </w:p>
          <w:p w14:paraId="4E39FE94">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w:t>
            </w:r>
          </w:p>
        </w:tc>
        <w:tc>
          <w:tcPr>
            <w:tcW w:w="677" w:type="pct"/>
            <w:shd w:val="clear" w:color="auto" w:fill="auto"/>
            <w:vAlign w:val="center"/>
          </w:tcPr>
          <w:p w14:paraId="689A3B9A">
            <w:pPr>
              <w:pStyle w:val="11"/>
              <w:spacing w:before="88"/>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26000</w:t>
            </w:r>
          </w:p>
        </w:tc>
        <w:tc>
          <w:tcPr>
            <w:tcW w:w="615" w:type="pct"/>
            <w:shd w:val="clear" w:color="auto" w:fill="auto"/>
            <w:vAlign w:val="center"/>
          </w:tcPr>
          <w:p w14:paraId="3E07AB86">
            <w:pPr>
              <w:pStyle w:val="11"/>
              <w:spacing w:before="88"/>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52000</w:t>
            </w:r>
          </w:p>
        </w:tc>
        <w:tc>
          <w:tcPr>
            <w:tcW w:w="1012" w:type="pct"/>
            <w:shd w:val="clear" w:color="auto" w:fill="auto"/>
            <w:vAlign w:val="center"/>
          </w:tcPr>
          <w:p w14:paraId="2AA2A1E1">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深圳普门科技股份有限公司</w:t>
            </w:r>
          </w:p>
        </w:tc>
        <w:tc>
          <w:tcPr>
            <w:tcW w:w="478" w:type="pct"/>
            <w:shd w:val="clear" w:color="auto" w:fill="auto"/>
            <w:vAlign w:val="center"/>
          </w:tcPr>
          <w:p w14:paraId="651A528F">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普门</w:t>
            </w:r>
          </w:p>
        </w:tc>
        <w:tc>
          <w:tcPr>
            <w:tcW w:w="627" w:type="pct"/>
            <w:shd w:val="clear" w:color="auto" w:fill="auto"/>
            <w:vAlign w:val="center"/>
          </w:tcPr>
          <w:p w14:paraId="617A46D0">
            <w:pPr>
              <w:pStyle w:val="11"/>
              <w:spacing w:before="88"/>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VP6000</w:t>
            </w:r>
          </w:p>
        </w:tc>
      </w:tr>
      <w:tr w14:paraId="677B1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27" w:type="pct"/>
            <w:shd w:val="clear" w:color="auto" w:fill="auto"/>
            <w:vAlign w:val="center"/>
          </w:tcPr>
          <w:p w14:paraId="0B5713B6">
            <w:pPr>
              <w:pStyle w:val="11"/>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3</w:t>
            </w:r>
          </w:p>
        </w:tc>
        <w:tc>
          <w:tcPr>
            <w:tcW w:w="833" w:type="pct"/>
            <w:shd w:val="clear" w:color="auto" w:fill="auto"/>
            <w:vAlign w:val="center"/>
          </w:tcPr>
          <w:p w14:paraId="4D2A760A">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上下肢运动康复训练</w:t>
            </w:r>
          </w:p>
          <w:p w14:paraId="5D08A90F">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系统</w:t>
            </w:r>
          </w:p>
        </w:tc>
        <w:tc>
          <w:tcPr>
            <w:tcW w:w="427" w:type="pct"/>
            <w:shd w:val="clear" w:color="auto" w:fill="auto"/>
            <w:vAlign w:val="center"/>
          </w:tcPr>
          <w:p w14:paraId="2AF3F22D">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w:t>
            </w:r>
          </w:p>
        </w:tc>
        <w:tc>
          <w:tcPr>
            <w:tcW w:w="677" w:type="pct"/>
            <w:shd w:val="clear" w:color="auto" w:fill="auto"/>
            <w:vAlign w:val="center"/>
          </w:tcPr>
          <w:p w14:paraId="6C894780">
            <w:pPr>
              <w:pStyle w:val="11"/>
              <w:spacing w:before="88"/>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48000</w:t>
            </w:r>
          </w:p>
        </w:tc>
        <w:tc>
          <w:tcPr>
            <w:tcW w:w="615" w:type="pct"/>
            <w:shd w:val="clear" w:color="auto" w:fill="auto"/>
            <w:vAlign w:val="center"/>
          </w:tcPr>
          <w:p w14:paraId="1B47198D">
            <w:pPr>
              <w:pStyle w:val="11"/>
              <w:spacing w:before="88"/>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96000</w:t>
            </w:r>
          </w:p>
        </w:tc>
        <w:tc>
          <w:tcPr>
            <w:tcW w:w="1012" w:type="pct"/>
            <w:shd w:val="clear" w:color="auto" w:fill="auto"/>
            <w:vAlign w:val="center"/>
          </w:tcPr>
          <w:p w14:paraId="3F09D3CE">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南京华伟医疗设备有限公司</w:t>
            </w:r>
          </w:p>
        </w:tc>
        <w:tc>
          <w:tcPr>
            <w:tcW w:w="478" w:type="pct"/>
            <w:shd w:val="clear" w:color="auto" w:fill="auto"/>
            <w:vAlign w:val="center"/>
          </w:tcPr>
          <w:p w14:paraId="64B13C44">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华伟</w:t>
            </w:r>
          </w:p>
        </w:tc>
        <w:tc>
          <w:tcPr>
            <w:tcW w:w="627" w:type="pct"/>
            <w:shd w:val="clear" w:color="auto" w:fill="auto"/>
            <w:vAlign w:val="center"/>
          </w:tcPr>
          <w:p w14:paraId="1E11F103">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HW-YD-</w:t>
            </w:r>
          </w:p>
          <w:p w14:paraId="278C3410">
            <w:pPr>
              <w:pStyle w:val="11"/>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101</w:t>
            </w:r>
          </w:p>
        </w:tc>
      </w:tr>
      <w:tr w14:paraId="13B91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7" w:type="pct"/>
            <w:shd w:val="clear" w:color="auto" w:fill="auto"/>
            <w:vAlign w:val="center"/>
          </w:tcPr>
          <w:p w14:paraId="02EFD0B6">
            <w:pPr>
              <w:pStyle w:val="11"/>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4</w:t>
            </w:r>
          </w:p>
        </w:tc>
        <w:tc>
          <w:tcPr>
            <w:tcW w:w="833" w:type="pct"/>
            <w:shd w:val="clear" w:color="auto" w:fill="auto"/>
            <w:vAlign w:val="center"/>
          </w:tcPr>
          <w:p w14:paraId="03608115">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上下肢运动康复训练系统（床旁型）</w:t>
            </w:r>
          </w:p>
        </w:tc>
        <w:tc>
          <w:tcPr>
            <w:tcW w:w="427" w:type="pct"/>
            <w:shd w:val="clear" w:color="auto" w:fill="auto"/>
            <w:vAlign w:val="center"/>
          </w:tcPr>
          <w:p w14:paraId="36FDF183">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w:t>
            </w:r>
          </w:p>
        </w:tc>
        <w:tc>
          <w:tcPr>
            <w:tcW w:w="677" w:type="pct"/>
            <w:shd w:val="clear" w:color="auto" w:fill="auto"/>
            <w:vAlign w:val="center"/>
          </w:tcPr>
          <w:p w14:paraId="3FA0CD4D">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58000</w:t>
            </w:r>
          </w:p>
        </w:tc>
        <w:tc>
          <w:tcPr>
            <w:tcW w:w="615" w:type="pct"/>
            <w:shd w:val="clear" w:color="auto" w:fill="auto"/>
            <w:vAlign w:val="center"/>
          </w:tcPr>
          <w:p w14:paraId="3B8CCAC6">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116000</w:t>
            </w:r>
          </w:p>
        </w:tc>
        <w:tc>
          <w:tcPr>
            <w:tcW w:w="1012" w:type="pct"/>
            <w:shd w:val="clear" w:color="auto" w:fill="auto"/>
            <w:vAlign w:val="center"/>
          </w:tcPr>
          <w:p w14:paraId="6CE0A1A6">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山东泽普医疗科技有限公司</w:t>
            </w:r>
          </w:p>
        </w:tc>
        <w:tc>
          <w:tcPr>
            <w:tcW w:w="478" w:type="pct"/>
            <w:shd w:val="clear" w:color="auto" w:fill="auto"/>
            <w:vAlign w:val="center"/>
          </w:tcPr>
          <w:p w14:paraId="33F74AB9">
            <w:pPr>
              <w:pStyle w:val="11"/>
              <w:spacing w:before="88"/>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泽普</w:t>
            </w:r>
          </w:p>
        </w:tc>
        <w:tc>
          <w:tcPr>
            <w:tcW w:w="627" w:type="pct"/>
            <w:shd w:val="clear" w:color="auto" w:fill="auto"/>
            <w:vAlign w:val="center"/>
          </w:tcPr>
          <w:p w14:paraId="2862E7EA">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ZEPU-K</w:t>
            </w:r>
          </w:p>
          <w:p w14:paraId="19088215">
            <w:pPr>
              <w:pStyle w:val="11"/>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2000D</w:t>
            </w:r>
          </w:p>
        </w:tc>
      </w:tr>
      <w:tr w14:paraId="14C14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7" w:type="pct"/>
            <w:shd w:val="clear" w:color="auto" w:fill="auto"/>
            <w:vAlign w:val="center"/>
          </w:tcPr>
          <w:p w14:paraId="4DF8E90D">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5</w:t>
            </w:r>
          </w:p>
        </w:tc>
        <w:tc>
          <w:tcPr>
            <w:tcW w:w="833" w:type="pct"/>
            <w:shd w:val="clear" w:color="auto" w:fill="auto"/>
            <w:vAlign w:val="center"/>
          </w:tcPr>
          <w:p w14:paraId="6D9B4FC3">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温热电针综合治疗仪</w:t>
            </w:r>
          </w:p>
        </w:tc>
        <w:tc>
          <w:tcPr>
            <w:tcW w:w="427" w:type="pct"/>
            <w:shd w:val="clear" w:color="auto" w:fill="auto"/>
            <w:vAlign w:val="center"/>
          </w:tcPr>
          <w:p w14:paraId="0C5C1F08">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w:t>
            </w:r>
          </w:p>
        </w:tc>
        <w:tc>
          <w:tcPr>
            <w:tcW w:w="677" w:type="pct"/>
            <w:shd w:val="clear" w:color="auto" w:fill="auto"/>
            <w:vAlign w:val="center"/>
          </w:tcPr>
          <w:p w14:paraId="1F2934D6">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13000</w:t>
            </w:r>
          </w:p>
        </w:tc>
        <w:tc>
          <w:tcPr>
            <w:tcW w:w="615" w:type="pct"/>
            <w:shd w:val="clear" w:color="auto" w:fill="auto"/>
            <w:vAlign w:val="center"/>
          </w:tcPr>
          <w:p w14:paraId="06E7B133">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26000</w:t>
            </w:r>
          </w:p>
        </w:tc>
        <w:tc>
          <w:tcPr>
            <w:tcW w:w="1012" w:type="pct"/>
            <w:shd w:val="clear" w:color="auto" w:fill="auto"/>
            <w:vAlign w:val="center"/>
          </w:tcPr>
          <w:p w14:paraId="10BAC10A">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河南翔宇医疗设备股份有限公司</w:t>
            </w:r>
          </w:p>
        </w:tc>
        <w:tc>
          <w:tcPr>
            <w:tcW w:w="478" w:type="pct"/>
            <w:shd w:val="clear" w:color="auto" w:fill="auto"/>
            <w:vAlign w:val="center"/>
          </w:tcPr>
          <w:p w14:paraId="76F4EE90">
            <w:pPr>
              <w:pStyle w:val="11"/>
              <w:spacing w:before="88"/>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翔宇</w:t>
            </w:r>
          </w:p>
        </w:tc>
        <w:tc>
          <w:tcPr>
            <w:tcW w:w="627" w:type="pct"/>
            <w:shd w:val="clear" w:color="auto" w:fill="auto"/>
            <w:vAlign w:val="center"/>
          </w:tcPr>
          <w:p w14:paraId="4641A18A">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XY-WD-</w:t>
            </w:r>
          </w:p>
          <w:p w14:paraId="1D420F2C">
            <w:pPr>
              <w:pStyle w:val="11"/>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I</w:t>
            </w:r>
          </w:p>
        </w:tc>
      </w:tr>
      <w:tr w14:paraId="1D221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5000" w:type="pct"/>
            <w:gridSpan w:val="8"/>
            <w:shd w:val="clear" w:color="auto" w:fill="auto"/>
            <w:vAlign w:val="center"/>
          </w:tcPr>
          <w:p w14:paraId="6DFE3D11">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合计金额：326000元（叁拾贰万陆仟元整）</w:t>
            </w:r>
          </w:p>
        </w:tc>
      </w:tr>
    </w:tbl>
    <w:p w14:paraId="330524CD">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、合同金额</w:t>
      </w:r>
    </w:p>
    <w:p w14:paraId="67618AA9">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合同</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总</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金额</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人民币</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326000元</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，大写</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：叁拾贰万陆仟元整</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，该价款为含税价。</w:t>
      </w:r>
    </w:p>
    <w:p w14:paraId="6A870956">
      <w:pPr>
        <w:numPr>
          <w:ilvl w:val="0"/>
          <w:numId w:val="0"/>
        </w:numPr>
        <w:ind w:leftChars="200" w:firstLine="320" w:firstLineChars="1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付款方式及时间</w:t>
      </w:r>
    </w:p>
    <w:p w14:paraId="432BCEBB">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1期：支付比例</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50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163000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壹拾陆万叁仟</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元整），合同签订后乙方开具全额发票，甲方在20个日历日内支付。</w:t>
      </w:r>
    </w:p>
    <w:p w14:paraId="0D61E4F0">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2期：支付比例</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50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163000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壹拾陆万叁仟</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元整），乙方完成设备到货、安装、</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调试</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并通过</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现场</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验收后，乙方开具等额发票后，甲方2</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0个</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日历</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日</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内</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支付。</w:t>
      </w:r>
    </w:p>
    <w:p w14:paraId="3520D6D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、交货时间、地点</w:t>
      </w:r>
    </w:p>
    <w:p w14:paraId="47DF3C97">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交货时间： </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20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个日历日 </w:t>
      </w:r>
    </w:p>
    <w:p w14:paraId="7E1E64CC">
      <w:pPr>
        <w:ind w:firstLine="640" w:firstLineChars="200"/>
        <w:rPr>
          <w:rFonts w:hint="default"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交货地点：鄂尔多斯市蒙医医院</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康巴什部老年病科</w:t>
      </w:r>
    </w:p>
    <w:p w14:paraId="3DAD415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、质量</w:t>
      </w:r>
    </w:p>
    <w:p w14:paraId="3AB0A15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乙方提供的标的物应符合国家相关质量验收标准，且能够提供相关权威部门出具的产品质量检测报告；提供的相关服务符合国家（或行业）规定标准。</w:t>
      </w:r>
    </w:p>
    <w:p w14:paraId="252A4E50">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、包装</w:t>
      </w:r>
    </w:p>
    <w:p w14:paraId="559E77B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标的物的包装应按照国家或者行业主管部门的技术规定执行，国家或业务主管部门无技术规定的，应当按双方约定采取足以保护标的物安全、完好的包装方式。</w:t>
      </w:r>
    </w:p>
    <w:p w14:paraId="3DCC56D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、运输要求</w:t>
      </w:r>
    </w:p>
    <w:p w14:paraId="632C5CC1">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（一）运输方式及线路：乙方确定。</w:t>
      </w:r>
    </w:p>
    <w:p w14:paraId="37EF5279">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（二）运输及相关费用由乙方承担。</w:t>
      </w:r>
    </w:p>
    <w:p w14:paraId="2315183B">
      <w:pPr>
        <w:ind w:firstLine="640" w:firstLineChars="200"/>
        <w:rPr>
          <w:rFonts w:hint="eastAsia" w:eastAsiaTheme="minorEastAsia"/>
          <w:color w:val="000000" w:themeColor="text1"/>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三）货物运输过程中所产生的风险，由乙方承担。 </w:t>
      </w:r>
    </w:p>
    <w:p w14:paraId="733BB72F">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、知识产权</w:t>
      </w:r>
    </w:p>
    <w:p w14:paraId="54EF6E0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乙方应保证甲方在中国境内使用标的物或标的物的任何一部分时，免受第三方提出的侵犯其知识产权的诉讼。</w:t>
      </w:r>
    </w:p>
    <w:p w14:paraId="005BCD72">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、验收</w:t>
      </w:r>
    </w:p>
    <w:p w14:paraId="5CE540EA">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（一）乙方将标的物</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送达</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甲方指定的地点并安装正常运行后，由甲乙双方一同验收并签字确认。</w:t>
      </w:r>
    </w:p>
    <w:p w14:paraId="61F83B2E">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（二）对标的物的质量问题，甲方应在发现后向乙方提出异议（包括但不限于书面或电话、邮件、微信、短信等方式），乙方在接到异议后，应当在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3日</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内负责处理。</w:t>
      </w:r>
    </w:p>
    <w:p w14:paraId="0B034AB3">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（三）</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经双方共同验收，标的物达不到</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文件技术要求、响应文件技术应答标准及甲方使用要求的，甲方可以拒收标的物，并可单方解除本合同且不承担任何法律责任，乙方须承担相应法律责任，如造成损失，应赔偿相应损失。</w:t>
      </w:r>
    </w:p>
    <w:p w14:paraId="661C5FAE">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四</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货物</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操作界面为简体中文。</w:t>
      </w:r>
    </w:p>
    <w:p w14:paraId="56AE46DF">
      <w:pPr>
        <w:ind w:firstLine="640" w:firstLineChars="200"/>
        <w:rPr>
          <w:rFonts w:hint="default"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（五）提供质量安全可靠的在交货时间之前一年内生产的全新产品，不得为翻新机、库存机等。</w:t>
      </w:r>
    </w:p>
    <w:p w14:paraId="1855799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、售后服务</w:t>
      </w:r>
    </w:p>
    <w:p w14:paraId="2226510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（一）乙方应按</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文件、投标文件及乙方在</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过程中做出的书面说明或承诺提供及时、快速、优质的售后服务。</w:t>
      </w:r>
    </w:p>
    <w:p w14:paraId="3300263B">
      <w:pPr>
        <w:ind w:firstLine="640" w:firstLineChars="200"/>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（二）自验收合格之日起不低于</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年的免费保修服务，</w:t>
      </w:r>
    </w:p>
    <w:p w14:paraId="46898722">
      <w:pPr>
        <w:keepNext w:val="0"/>
        <w:keepLines w:val="0"/>
        <w:widowControl/>
        <w:suppressLineNumbers w:val="0"/>
        <w:ind w:firstLine="640" w:firstLineChars="20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三</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培训及维保：提供操作使用培训，提供完整的操作手册，不定期巡检，维保一年一次。</w:t>
      </w:r>
    </w:p>
    <w:p w14:paraId="4B21D111">
      <w:pPr>
        <w:keepNext w:val="0"/>
        <w:keepLines w:val="0"/>
        <w:widowControl/>
        <w:suppressLineNumbers w:val="0"/>
        <w:ind w:firstLine="640" w:firstLineChars="20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四）故障维修响应时间：及时响应，应在2小时内提供远程技术支持，24小时内派遣工程师抵达甲方现场；如出现设备完全停机的重大故障，乙方须48小时内完成修复或提供同等性能的设备备用以保障甲方的正常经营。</w:t>
      </w:r>
    </w:p>
    <w:p w14:paraId="27C77C5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、违约条款</w:t>
      </w:r>
    </w:p>
    <w:p w14:paraId="2AFA5726">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（一）合同签订后乙方开具</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等额</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发票，甲方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应按合同约定</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支付</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款项</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。如合同签订后，该项目有争议，按有关部门要求暂停项目，待有关部门通知继续履行本合同时，双方才可按照合同约定继续履行。</w:t>
      </w:r>
    </w:p>
    <w:p w14:paraId="60EE0719">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（二）乙方逾期交付货物或验收不合格的，每延期1 日，乙方应按照合同总金额的0.01% 承担违约责任。延期达到 30 日，甲方有权解除合同，拒付合同</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剩余</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价款，并要求乙方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双倍返还已收款项，并</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赔偿甲方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因此而遭受的全部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经济损失。</w:t>
      </w:r>
    </w:p>
    <w:p w14:paraId="2693301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（三）乙方交付的货物不符合质量约定或乙方未履行相应的质量保证责任及售后服务义务</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包括但不限于未按照约定的时间响应故障报修、未在规定的时限内到场维修、保修期内互相推诿服务等</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）或</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存在侵权行为的，甲方有权退货，并要求乙方支付合同总金额10%的违约金，违约金不足以赔偿甲方损失的，甲方有权要求乙方赔偿经济损失。</w:t>
      </w:r>
    </w:p>
    <w:p w14:paraId="77A79174">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（四）乙方在参与本项目采购活动过程中，如存在提供虚假承诺、证明、串通投标等违法违规行为，除承担相应的行政责任外，甲方有权解除合同，并要求乙方承担合同总金额 10%的违约金，违约金不足以赔偿甲方损失的，甲方有权要求乙方赔偿经济损失。</w:t>
      </w:r>
    </w:p>
    <w:p w14:paraId="7283FF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（五）乙方存在其他违反本合同的行为，应承担相应的违约责任（注：可以根据情况进行细化）；违约金不足以赔偿甲方损失的，甲方有权要求乙方赔偿经济损失。</w:t>
      </w:r>
    </w:p>
    <w:p w14:paraId="4CEC102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（六）其他违约责任以相关法律法规规定为准，无相关规定的，双方协商解决。</w:t>
      </w:r>
    </w:p>
    <w:p w14:paraId="1733C01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、不可抗力条款</w:t>
      </w:r>
    </w:p>
    <w:p w14:paraId="375D2718">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因不可抗力致使一方不能及时或完全履行合同的，应及时通知另一方，双方互不承担责任，并在7 天内提供有关不可抗力的相关证明。合同未履行部分是否继续履行、如何履行等问题，双方协商解决。</w:t>
      </w:r>
    </w:p>
    <w:p w14:paraId="0BB19D69">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、争议的解决方式</w:t>
      </w:r>
    </w:p>
    <w:p w14:paraId="21C0015F">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因本</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合同发生纠纷时，双方应协商解决</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协商不成</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的，任何一方应</w:t>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t>向鄂尔多斯仲裁委员会提起</w:t>
      </w: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仲裁裁决</w:t>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t>。</w:t>
      </w:r>
    </w:p>
    <w:p w14:paraId="76D8CAB4">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其他</w:t>
      </w:r>
    </w:p>
    <w:p w14:paraId="75E55093">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合同文本一式四份，采购单位、供应商各两份，自双方签订之日起生效。</w:t>
      </w:r>
    </w:p>
    <w:p w14:paraId="18B72915">
      <w:pPr>
        <w:ind w:firstLine="640" w:firstLineChars="20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其他未尽事宜，双方可签订补充合同，补充合同为本合同组成部分。</w:t>
      </w:r>
    </w:p>
    <w:p w14:paraId="6DCED95F">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p>
    <w:p w14:paraId="0B7CF01F">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p>
    <w:p w14:paraId="0CAF97B6">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甲方</w:t>
      </w:r>
      <w:r>
        <w:rPr>
          <w:rFonts w:hint="eastAsia" w:ascii="方正仿宋_GB2312" w:hAnsi="方正仿宋_GB2312" w:eastAsia="方正仿宋_GB2312" w:cs="方正仿宋_GB2312"/>
          <w:color w:val="000000" w:themeColor="text1"/>
          <w:w w:val="95"/>
          <w:sz w:val="32"/>
          <w:szCs w:val="32"/>
          <w:lang w:val="en-US" w:eastAsia="zh-CN"/>
          <w14:textFill>
            <w14:solidFill>
              <w14:schemeClr w14:val="tx1"/>
            </w14:solidFill>
          </w14:textFill>
        </w:rPr>
        <w:t>账户</w:t>
      </w: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 鄂尔多斯市蒙医医院（鄂尔多斯市蒙医研究所）</w:t>
      </w:r>
    </w:p>
    <w:p w14:paraId="475BDC4F">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采购方代表：</w:t>
      </w:r>
    </w:p>
    <w:p w14:paraId="2A1FAF9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联系电话：</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0477-8395021</w:t>
      </w:r>
    </w:p>
    <w:p w14:paraId="1C9F4AF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开户银行：中国建设银行康巴什支行      </w:t>
      </w:r>
    </w:p>
    <w:p w14:paraId="260B67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账</w:t>
      </w:r>
      <w:r>
        <w:rPr>
          <w:rFonts w:hint="eastAsia" w:ascii="方正仿宋_GB2312" w:hAnsi="方正仿宋_GB2312" w:eastAsia="方正仿宋_GB2312" w:cs="方正仿宋_GB2312"/>
          <w:color w:val="000000" w:themeColor="text1"/>
          <w:sz w:val="32"/>
          <w:szCs w:val="32"/>
          <w14:textFill>
            <w14:solidFill>
              <w14:schemeClr w14:val="tx1"/>
            </w14:solidFill>
          </w14:textFill>
        </w:rPr>
        <w:t>   号：1500 1686 6480 5250 1940                      </w:t>
      </w:r>
    </w:p>
    <w:p w14:paraId="1E8CADC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                          </w:t>
      </w:r>
    </w:p>
    <w:p w14:paraId="0882196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乙方账户：内蒙古元坤医疗器械有限公司</w:t>
      </w:r>
    </w:p>
    <w:p w14:paraId="6D65159C">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供货方法人代表：</w:t>
      </w:r>
    </w:p>
    <w:p w14:paraId="370EBFCC">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开户银行：中国农业银行股份有限公司鄂尔多斯东胜区支行</w:t>
      </w:r>
    </w:p>
    <w:p w14:paraId="5D59EAAE">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帐     号：05365101040030111</w:t>
      </w:r>
    </w:p>
    <w:p w14:paraId="1301A775">
      <w:pPr>
        <w:ind w:firstLine="640" w:firstLineChars="200"/>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联系人及电话：</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胡茜</w:t>
      </w:r>
      <w:bookmarkStart w:id="0" w:name="_GoBack"/>
      <w:bookmarkEnd w:id="0"/>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15248490428</w:t>
      </w:r>
    </w:p>
    <w:p w14:paraId="7C873708">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7355D3AD">
      <w:pPr>
        <w:ind w:firstLine="3840" w:firstLineChars="1200"/>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签订时间    202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11</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17</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8F07CF-CC04-440A-9D71-0BA3651ADC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60B530A-4648-42DA-850D-7977F700D4A2}"/>
  </w:font>
  <w:font w:name="方正仿宋_GB2312">
    <w:panose1 w:val="02000000000000000000"/>
    <w:charset w:val="86"/>
    <w:family w:val="auto"/>
    <w:pitch w:val="default"/>
    <w:sig w:usb0="A00002BF" w:usb1="184F6CFA" w:usb2="00000012" w:usb3="00000000" w:csb0="00040001" w:csb1="00000000"/>
    <w:embedRegular r:id="rId3" w:fontKey="{A65A9E39-AB8C-45FF-AFD9-7D3B7C2AA3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680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9CEDC"/>
    <w:multiLevelType w:val="singleLevel"/>
    <w:tmpl w:val="CDE9CEDC"/>
    <w:lvl w:ilvl="0" w:tentative="0">
      <w:start w:val="1"/>
      <w:numFmt w:val="chineseCounting"/>
      <w:suff w:val="nothing"/>
      <w:lvlText w:val="（%1）"/>
      <w:lvlJc w:val="left"/>
      <w:rPr>
        <w:rFonts w:hint="eastAsia"/>
      </w:rPr>
    </w:lvl>
  </w:abstractNum>
  <w:abstractNum w:abstractNumId="1">
    <w:nsid w:val="4434D4B6"/>
    <w:multiLevelType w:val="singleLevel"/>
    <w:tmpl w:val="4434D4B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B331E"/>
    <w:rsid w:val="033A36E9"/>
    <w:rsid w:val="056B3902"/>
    <w:rsid w:val="0638001E"/>
    <w:rsid w:val="0CF81509"/>
    <w:rsid w:val="18881CAB"/>
    <w:rsid w:val="18A96DD5"/>
    <w:rsid w:val="1E2306A8"/>
    <w:rsid w:val="23780CBF"/>
    <w:rsid w:val="239D1989"/>
    <w:rsid w:val="258B7398"/>
    <w:rsid w:val="278735F7"/>
    <w:rsid w:val="32140715"/>
    <w:rsid w:val="324F1DB7"/>
    <w:rsid w:val="32CA37F1"/>
    <w:rsid w:val="38BB232A"/>
    <w:rsid w:val="3C324217"/>
    <w:rsid w:val="3CF961A8"/>
    <w:rsid w:val="3D34622F"/>
    <w:rsid w:val="41CC4A2C"/>
    <w:rsid w:val="45056E2D"/>
    <w:rsid w:val="46524427"/>
    <w:rsid w:val="4D9D5E63"/>
    <w:rsid w:val="4EF13128"/>
    <w:rsid w:val="53B06098"/>
    <w:rsid w:val="53CB331E"/>
    <w:rsid w:val="5461129F"/>
    <w:rsid w:val="5A5F4792"/>
    <w:rsid w:val="5A647BDD"/>
    <w:rsid w:val="60673F83"/>
    <w:rsid w:val="64D7377C"/>
    <w:rsid w:val="67130B51"/>
    <w:rsid w:val="6A382F1A"/>
    <w:rsid w:val="6B782CA1"/>
    <w:rsid w:val="74F37035"/>
    <w:rsid w:val="77E45A61"/>
    <w:rsid w:val="7BA21888"/>
    <w:rsid w:val="7CFB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1"/>
    <w:qFormat/>
    <w:uiPriority w:val="0"/>
    <w:pPr>
      <w:ind w:firstLine="64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19"/>
      <w:szCs w:val="19"/>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Paragraph"/>
    <w:basedOn w:val="1"/>
    <w:autoRedefine/>
    <w:qFormat/>
    <w:uiPriority w:val="1"/>
    <w:pPr>
      <w:spacing w:before="63"/>
      <w:ind w:left="11"/>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2318</Words>
  <Characters>2503</Characters>
  <Lines>0</Lines>
  <Paragraphs>0</Paragraphs>
  <TotalTime>1</TotalTime>
  <ScaleCrop>false</ScaleCrop>
  <LinksUpToDate>false</LinksUpToDate>
  <CharactersWithSpaces>2593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2024-12-17T08:17:00Z</dcterms:created>
  <dc:creator>敏娜</dc:creator>
  <cp:lastModifiedBy>敏娜</cp:lastModifiedBy>
  <cp:lastPrinted>2025-11-17T03:31:13Z</cp:lastPrinted>
  <dcterms:modified xsi:type="dcterms:W3CDTF">2025-11-17T03:37:33Z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061A20338540413F94C843530B6BBD19_13</vt:lpwstr>
  </property>
  <property fmtid="{D5CDD505-2E9C-101B-9397-08002B2CF9AE}" pid="4" name="KSOTemplateDocerSaveRecord">
    <vt:lpwstr>eyJoZGlkIjoiYjBkNDRkNzgxOTUyMTRhZTk1MjJlNzJlYzIzZDUwMWQiLCJ1c2VySWQiOiIzNjM0OTM4NzkifQ==</vt:lpwstr>
  </property>
</Properties>
</file>