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CB7D">
      <w:pPr>
        <w:jc w:val="center"/>
        <w:rPr>
          <w:rFonts w:hint="eastAsia" w:asciiTheme="minorEastAsia" w:hAnsiTheme="minorEastAsia" w:eastAsiaTheme="minorEastAsia" w:cstheme="minorEastAsia"/>
          <w:b/>
          <w:sz w:val="52"/>
          <w:szCs w:val="52"/>
          <w:lang w:val="en-US" w:eastAsia="zh-CN"/>
        </w:rPr>
      </w:pPr>
    </w:p>
    <w:p w14:paraId="2CA1E9FB">
      <w:pPr>
        <w:jc w:val="center"/>
        <w:rPr>
          <w:rFonts w:hint="eastAsia" w:asciiTheme="minorEastAsia" w:hAnsiTheme="minorEastAsia" w:eastAsiaTheme="minorEastAsia" w:cstheme="minorEastAsia"/>
          <w:b/>
          <w:sz w:val="52"/>
          <w:szCs w:val="52"/>
          <w:lang w:val="en-US" w:eastAsia="zh-CN"/>
        </w:rPr>
      </w:pPr>
    </w:p>
    <w:p w14:paraId="7045FA51">
      <w:pPr>
        <w:jc w:val="center"/>
        <w:rPr>
          <w:rFonts w:hint="eastAsia" w:asciiTheme="majorEastAsia" w:hAnsiTheme="majorEastAsia" w:eastAsiaTheme="majorEastAsia" w:cstheme="majorEastAsia"/>
          <w:b/>
          <w:sz w:val="52"/>
          <w:szCs w:val="52"/>
          <w:lang w:val="en-US" w:eastAsia="zh-CN"/>
        </w:rPr>
      </w:pPr>
      <w:r>
        <w:rPr>
          <w:rFonts w:hint="eastAsia" w:asciiTheme="majorEastAsia" w:hAnsiTheme="majorEastAsia" w:eastAsiaTheme="majorEastAsia" w:cstheme="majorEastAsia"/>
          <w:b/>
          <w:sz w:val="52"/>
          <w:szCs w:val="52"/>
          <w:lang w:val="en-US" w:eastAsia="zh-CN"/>
        </w:rPr>
        <w:t xml:space="preserve"> 采 购 合 同</w:t>
      </w:r>
    </w:p>
    <w:p w14:paraId="6ADC07A4">
      <w:pPr>
        <w:jc w:val="center"/>
        <w:rPr>
          <w:rFonts w:hint="eastAsia" w:asciiTheme="majorEastAsia" w:hAnsiTheme="majorEastAsia" w:eastAsiaTheme="majorEastAsia" w:cstheme="majorEastAsia"/>
          <w:b/>
          <w:sz w:val="44"/>
          <w:szCs w:val="44"/>
        </w:rPr>
      </w:pPr>
    </w:p>
    <w:p w14:paraId="2C2D3670">
      <w:pPr>
        <w:jc w:val="center"/>
        <w:rPr>
          <w:rFonts w:hint="eastAsia" w:asciiTheme="majorEastAsia" w:hAnsiTheme="majorEastAsia" w:eastAsiaTheme="majorEastAsia" w:cstheme="majorEastAsia"/>
          <w:b/>
          <w:sz w:val="44"/>
          <w:szCs w:val="44"/>
        </w:rPr>
      </w:pPr>
    </w:p>
    <w:p w14:paraId="7CD425EE">
      <w:pPr>
        <w:jc w:val="center"/>
        <w:rPr>
          <w:rFonts w:hint="eastAsia" w:asciiTheme="majorEastAsia" w:hAnsiTheme="majorEastAsia" w:eastAsiaTheme="majorEastAsia" w:cstheme="majorEastAsia"/>
          <w:b/>
          <w:sz w:val="44"/>
          <w:szCs w:val="44"/>
        </w:rPr>
      </w:pPr>
    </w:p>
    <w:p w14:paraId="5B8E33F2">
      <w:pPr>
        <w:ind w:left="1606" w:hanging="1606" w:hangingChars="500"/>
        <w:jc w:val="both"/>
        <w:rPr>
          <w:rFonts w:hint="eastAsia"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lang w:val="en-US" w:eastAsia="zh-CN"/>
        </w:rPr>
        <w:t>项目名称：</w:t>
      </w:r>
      <w:r>
        <w:rPr>
          <w:rFonts w:hint="eastAsia" w:asciiTheme="majorEastAsia" w:hAnsiTheme="majorEastAsia" w:eastAsiaTheme="majorEastAsia" w:cstheme="majorEastAsia"/>
          <w:b/>
          <w:sz w:val="32"/>
          <w:szCs w:val="32"/>
          <w:u w:val="single"/>
          <w:lang w:val="en-US" w:eastAsia="zh-CN"/>
        </w:rPr>
        <w:t xml:space="preserve"> 鄂托克旗市场监督管理整套车载式充电桩检定装置采购(二次)</w:t>
      </w:r>
    </w:p>
    <w:p w14:paraId="156A496F">
      <w:pPr>
        <w:spacing w:line="600" w:lineRule="auto"/>
        <w:jc w:val="both"/>
        <w:rPr>
          <w:rFonts w:hint="eastAsia" w:asciiTheme="majorEastAsia" w:hAnsiTheme="majorEastAsia" w:eastAsiaTheme="majorEastAsia" w:cstheme="majorEastAsia"/>
          <w:b/>
          <w:sz w:val="32"/>
          <w:szCs w:val="32"/>
          <w:u w:val="single"/>
          <w:lang w:val="en-US" w:eastAsia="zh-CN"/>
        </w:rPr>
      </w:pPr>
      <w:r>
        <w:rPr>
          <w:rFonts w:hint="eastAsia" w:asciiTheme="majorEastAsia" w:hAnsiTheme="majorEastAsia" w:eastAsiaTheme="majorEastAsia" w:cstheme="majorEastAsia"/>
          <w:b/>
          <w:sz w:val="32"/>
          <w:szCs w:val="32"/>
          <w:lang w:val="en-US" w:eastAsia="zh-CN"/>
        </w:rPr>
        <w:t>项目编号：</w:t>
      </w:r>
      <w:r>
        <w:rPr>
          <w:rFonts w:hint="eastAsia" w:asciiTheme="majorEastAsia" w:hAnsiTheme="majorEastAsia" w:eastAsiaTheme="majorEastAsia" w:cstheme="majorEastAsia"/>
          <w:b/>
          <w:sz w:val="32"/>
          <w:szCs w:val="32"/>
          <w:u w:val="single"/>
          <w:lang w:val="en-US" w:eastAsia="zh-CN"/>
        </w:rPr>
        <w:t>ESZCEQ-G-H-250041.1B1</w:t>
      </w:r>
    </w:p>
    <w:p w14:paraId="178E6693">
      <w:pPr>
        <w:spacing w:line="600" w:lineRule="auto"/>
        <w:jc w:val="both"/>
        <w:rPr>
          <w:rFonts w:hint="eastAsia" w:asciiTheme="majorEastAsia" w:hAnsiTheme="majorEastAsia" w:eastAsiaTheme="majorEastAsia" w:cstheme="majorEastAsia"/>
          <w:b/>
          <w:sz w:val="32"/>
          <w:szCs w:val="32"/>
          <w:u w:val="single"/>
          <w:lang w:val="en-US" w:eastAsia="zh-CN"/>
        </w:rPr>
      </w:pPr>
      <w:r>
        <w:rPr>
          <w:rFonts w:hint="eastAsia" w:asciiTheme="majorEastAsia" w:hAnsiTheme="majorEastAsia" w:eastAsiaTheme="majorEastAsia" w:cstheme="majorEastAsia"/>
          <w:b/>
          <w:sz w:val="32"/>
          <w:szCs w:val="32"/>
          <w:lang w:val="en-US" w:eastAsia="zh-CN"/>
        </w:rPr>
        <w:t>采购单位：</w:t>
      </w:r>
      <w:r>
        <w:rPr>
          <w:rFonts w:hint="eastAsia" w:asciiTheme="majorEastAsia" w:hAnsiTheme="majorEastAsia" w:eastAsiaTheme="majorEastAsia" w:cstheme="majorEastAsia"/>
          <w:b/>
          <w:sz w:val="32"/>
          <w:szCs w:val="32"/>
          <w:u w:val="single"/>
          <w:lang w:val="en-US" w:eastAsia="zh-CN"/>
        </w:rPr>
        <w:t>鄂托克旗市场监督管理局</w:t>
      </w:r>
    </w:p>
    <w:p w14:paraId="202703FE">
      <w:pPr>
        <w:jc w:val="center"/>
        <w:rPr>
          <w:rFonts w:hint="eastAsia" w:asciiTheme="majorEastAsia" w:hAnsiTheme="majorEastAsia" w:eastAsiaTheme="majorEastAsia" w:cstheme="majorEastAsia"/>
          <w:b/>
          <w:sz w:val="44"/>
          <w:szCs w:val="44"/>
        </w:rPr>
      </w:pPr>
    </w:p>
    <w:p w14:paraId="2C3886B2">
      <w:pPr>
        <w:jc w:val="center"/>
        <w:rPr>
          <w:rFonts w:hint="eastAsia" w:asciiTheme="majorEastAsia" w:hAnsiTheme="majorEastAsia" w:eastAsiaTheme="majorEastAsia" w:cstheme="majorEastAsia"/>
          <w:b/>
          <w:sz w:val="44"/>
          <w:szCs w:val="44"/>
        </w:rPr>
      </w:pPr>
    </w:p>
    <w:p w14:paraId="11BB0223">
      <w:pPr>
        <w:jc w:val="center"/>
        <w:rPr>
          <w:rFonts w:hint="eastAsia" w:asciiTheme="majorEastAsia" w:hAnsiTheme="majorEastAsia" w:eastAsiaTheme="majorEastAsia" w:cstheme="majorEastAsia"/>
          <w:b/>
          <w:sz w:val="44"/>
          <w:szCs w:val="44"/>
        </w:rPr>
      </w:pPr>
    </w:p>
    <w:p w14:paraId="1C53669B">
      <w:pPr>
        <w:jc w:val="center"/>
        <w:rPr>
          <w:rFonts w:hint="eastAsia" w:asciiTheme="majorEastAsia" w:hAnsiTheme="majorEastAsia" w:eastAsiaTheme="majorEastAsia" w:cstheme="majorEastAsia"/>
          <w:b/>
          <w:sz w:val="44"/>
          <w:szCs w:val="44"/>
        </w:rPr>
      </w:pPr>
    </w:p>
    <w:p w14:paraId="0049A688">
      <w:pPr>
        <w:jc w:val="both"/>
        <w:rPr>
          <w:rFonts w:hint="eastAsia" w:asciiTheme="majorEastAsia" w:hAnsiTheme="majorEastAsia" w:eastAsiaTheme="majorEastAsia" w:cstheme="majorEastAsia"/>
          <w:b/>
          <w:sz w:val="44"/>
          <w:szCs w:val="44"/>
        </w:rPr>
      </w:pPr>
    </w:p>
    <w:p w14:paraId="58D7B457">
      <w:pPr>
        <w:jc w:val="both"/>
        <w:rPr>
          <w:rFonts w:hint="eastAsia" w:asciiTheme="majorEastAsia" w:hAnsiTheme="majorEastAsia" w:eastAsiaTheme="majorEastAsia" w:cstheme="majorEastAsia"/>
          <w:b/>
          <w:sz w:val="32"/>
          <w:szCs w:val="32"/>
          <w:lang w:val="en-US" w:eastAsia="zh-CN"/>
        </w:rPr>
      </w:pPr>
    </w:p>
    <w:p w14:paraId="10985D9B">
      <w:pPr>
        <w:jc w:val="center"/>
        <w:rPr>
          <w:rFonts w:hint="eastAsia"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lang w:val="en-US" w:eastAsia="zh-CN"/>
        </w:rPr>
        <w:t>供应商：鄂尔多斯市中凯科技有限责任公司</w:t>
      </w:r>
    </w:p>
    <w:p w14:paraId="02EF88CB">
      <w:pPr>
        <w:jc w:val="center"/>
        <w:rPr>
          <w:rFonts w:hint="eastAsia" w:asciiTheme="majorEastAsia" w:hAnsiTheme="majorEastAsia" w:eastAsiaTheme="majorEastAsia" w:cstheme="majorEastAsia"/>
          <w:b/>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b/>
          <w:sz w:val="32"/>
          <w:szCs w:val="32"/>
          <w:lang w:val="en-US" w:eastAsia="zh-CN"/>
        </w:rPr>
        <w:t>年    月    日</w:t>
      </w:r>
    </w:p>
    <w:p w14:paraId="11FFC411">
      <w:pP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br w:type="page"/>
      </w:r>
    </w:p>
    <w:p w14:paraId="4E2DD71F">
      <w:pPr>
        <w:spacing w:after="239" w:line="440" w:lineRule="exact"/>
        <w:jc w:val="cente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政府采购合同</w:t>
      </w:r>
    </w:p>
    <w:p w14:paraId="39D6EFB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甲方（采购方）:鄂托克旗市场监督管理局</w:t>
      </w:r>
    </w:p>
    <w:p w14:paraId="2D117A6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乙方（供货方）:鄂尔多斯市中凯科技有限责任公司</w:t>
      </w:r>
    </w:p>
    <w:p w14:paraId="0F18DCA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根据《中华人民共和国政府采购法》、《中华人民共和国民法典》等相关法律法规，甲、乙双方就</w:t>
      </w:r>
      <w:r>
        <w:rPr>
          <w:rFonts w:hint="eastAsia" w:asciiTheme="minorEastAsia" w:hAnsiTheme="minorEastAsia" w:eastAsiaTheme="minorEastAsia" w:cstheme="minorEastAsia"/>
          <w:sz w:val="28"/>
          <w:szCs w:val="28"/>
          <w:highlight w:val="none"/>
          <w:u w:val="single"/>
          <w:lang w:val="en-US" w:eastAsia="zh-CN"/>
        </w:rPr>
        <w:t xml:space="preserve">项目名称：鄂托克旗市场监督管理整套车载式充电桩检定装置采购(二次)（第一包：整套车载式充电桩检定装置采购），项目编号:ESZCEQ-G-H-250041.1B1、备案编号：432[2025]01743 </w:t>
      </w:r>
      <w:r>
        <w:rPr>
          <w:rFonts w:hint="eastAsia" w:asciiTheme="minorEastAsia" w:hAnsiTheme="minorEastAsia" w:eastAsiaTheme="minorEastAsia" w:cstheme="minorEastAsia"/>
          <w:sz w:val="28"/>
          <w:szCs w:val="28"/>
          <w:u w:val="none"/>
          <w:lang w:val="en-US" w:eastAsia="zh-CN"/>
        </w:rPr>
        <w:t>的相关事宜</w:t>
      </w:r>
      <w:r>
        <w:rPr>
          <w:rFonts w:hint="eastAsia"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甲乙双方</w:t>
      </w:r>
      <w:r>
        <w:rPr>
          <w:rFonts w:hint="eastAsia" w:asciiTheme="minorEastAsia" w:hAnsiTheme="minorEastAsia" w:eastAsiaTheme="minorEastAsia" w:cstheme="minorEastAsia"/>
          <w:sz w:val="28"/>
          <w:szCs w:val="28"/>
        </w:rPr>
        <w:t>平等自愿协商一致达成合同如下：</w:t>
      </w:r>
    </w:p>
    <w:p w14:paraId="2767FE7F">
      <w:pPr>
        <w:pStyle w:val="10"/>
        <w:pageBreakBefore w:val="0"/>
        <w:widowControl w:val="0"/>
        <w:tabs>
          <w:tab w:val="left" w:pos="506"/>
        </w:tabs>
        <w:kinsoku/>
        <w:wordWrap/>
        <w:overflowPunct/>
        <w:topLinePunct w:val="0"/>
        <w:autoSpaceDE/>
        <w:autoSpaceDN/>
        <w:bidi w:val="0"/>
        <w:adjustRightInd/>
        <w:snapToGrid/>
        <w:spacing w:line="560" w:lineRule="exact"/>
        <w:ind w:firstLine="587" w:firstLineChars="209"/>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一、合同组成部分</w:t>
      </w:r>
    </w:p>
    <w:p w14:paraId="64FCA55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本合同所附下列文件是构成本合同不可分割的部分：</w:t>
      </w:r>
    </w:p>
    <w:p w14:paraId="7BFF2CF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1、合同格式以及合同条款</w:t>
      </w:r>
    </w:p>
    <w:p w14:paraId="7A129CF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2、中标结果公告及中标通知书</w:t>
      </w:r>
    </w:p>
    <w:p w14:paraId="2B27660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3、招标文件</w:t>
      </w:r>
    </w:p>
    <w:p w14:paraId="458E1CD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4、投标文件</w:t>
      </w:r>
    </w:p>
    <w:p w14:paraId="338D819A">
      <w:pPr>
        <w:pStyle w:val="10"/>
        <w:pageBreakBefore w:val="0"/>
        <w:widowControl w:val="0"/>
        <w:tabs>
          <w:tab w:val="left" w:pos="506"/>
        </w:tabs>
        <w:kinsoku/>
        <w:wordWrap/>
        <w:overflowPunct/>
        <w:topLinePunct w:val="0"/>
        <w:autoSpaceDE/>
        <w:autoSpaceDN/>
        <w:bidi w:val="0"/>
        <w:adjustRightInd/>
        <w:snapToGrid/>
        <w:spacing w:line="560" w:lineRule="exact"/>
        <w:ind w:firstLine="668" w:firstLineChars="209"/>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本合同所提供的标的物、数量及规格等详见中标结果</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公告及后附清单。</w:t>
      </w:r>
    </w:p>
    <w:p w14:paraId="7C6CCBF1">
      <w:pPr>
        <w:pStyle w:val="10"/>
        <w:pageBreakBefore w:val="0"/>
        <w:widowControl w:val="0"/>
        <w:tabs>
          <w:tab w:val="left" w:pos="506"/>
        </w:tabs>
        <w:kinsoku/>
        <w:wordWrap/>
        <w:overflowPunct/>
        <w:topLinePunct w:val="0"/>
        <w:autoSpaceDE/>
        <w:autoSpaceDN/>
        <w:bidi w:val="0"/>
        <w:adjustRightInd/>
        <w:snapToGrid/>
        <w:spacing w:line="560" w:lineRule="exact"/>
        <w:ind w:firstLine="587" w:firstLineChars="209"/>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二、合同金额</w:t>
      </w:r>
    </w:p>
    <w:p w14:paraId="1E922E1A">
      <w:pPr>
        <w:pStyle w:val="10"/>
        <w:pageBreakBefore w:val="0"/>
        <w:widowControl w:val="0"/>
        <w:tabs>
          <w:tab w:val="left" w:pos="506"/>
        </w:tabs>
        <w:kinsoku/>
        <w:wordWrap/>
        <w:overflowPunct/>
        <w:topLinePunct w:val="0"/>
        <w:autoSpaceDE/>
        <w:autoSpaceDN/>
        <w:bidi w:val="0"/>
        <w:adjustRightInd/>
        <w:snapToGrid/>
        <w:spacing w:line="560" w:lineRule="exact"/>
        <w:ind w:firstLine="585" w:firstLineChars="209"/>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val="0"/>
          <w:sz w:val="28"/>
          <w:szCs w:val="28"/>
          <w:highlight w:val="none"/>
          <w:lang w:val="en-US" w:eastAsia="zh-CN"/>
        </w:rPr>
        <w:t>合同金额为人民币：</w:t>
      </w:r>
      <w:r>
        <w:rPr>
          <w:rFonts w:hint="eastAsia" w:asciiTheme="minorEastAsia" w:hAnsiTheme="minorEastAsia" w:eastAsiaTheme="minorEastAsia" w:cstheme="minorEastAsia"/>
          <w:b w:val="0"/>
          <w:bCs w:val="0"/>
          <w:sz w:val="28"/>
          <w:szCs w:val="28"/>
          <w:highlight w:val="none"/>
          <w:u w:val="single"/>
          <w:lang w:val="en-US" w:eastAsia="zh-CN"/>
        </w:rPr>
        <w:t>1,358,000.00</w:t>
      </w: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元，大写：</w:t>
      </w:r>
      <w:r>
        <w:rPr>
          <w:rFonts w:hint="eastAsia" w:asciiTheme="minorEastAsia" w:hAnsiTheme="minorEastAsia" w:eastAsiaTheme="minorEastAsia" w:cstheme="minorEastAsia"/>
          <w:b w:val="0"/>
          <w:bCs/>
          <w:color w:val="000000" w:themeColor="text1"/>
          <w:sz w:val="28"/>
          <w:szCs w:val="28"/>
          <w:highlight w:val="none"/>
          <w:u w:val="single"/>
          <w:lang w:val="en-US" w:eastAsia="zh-CN"/>
          <w14:textFill>
            <w14:solidFill>
              <w14:schemeClr w14:val="tx1"/>
            </w14:solidFill>
          </w14:textFill>
        </w:rPr>
        <w:t>壹佰叁拾伍万捌仟</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元整</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，该价格为含税价</w:t>
      </w:r>
      <w:r>
        <w:rPr>
          <w:rFonts w:hint="eastAsia" w:asciiTheme="minorEastAsia" w:hAnsiTheme="minorEastAsia" w:eastAsiaTheme="minorEastAsia" w:cstheme="minorEastAsia"/>
          <w:b w:val="0"/>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color w:val="auto"/>
          <w:sz w:val="28"/>
          <w:szCs w:val="28"/>
          <w:lang w:eastAsia="zh-CN"/>
        </w:rPr>
        <w:t>（该价款为甲方采购乙方标的物的全部价款包括但不限于货款、运输费、安装费、维修费等一切费用，乙方不得再以任何方式向甲方主张相关费用。</w:t>
      </w:r>
      <w:r>
        <w:rPr>
          <w:rFonts w:hint="eastAsia" w:asciiTheme="minorEastAsia" w:hAnsiTheme="minorEastAsia" w:eastAsiaTheme="minorEastAsia" w:cstheme="minorEastAsia"/>
          <w:b w:val="0"/>
          <w:bCs/>
          <w:color w:val="auto"/>
          <w:sz w:val="28"/>
          <w:szCs w:val="28"/>
          <w:lang w:val="en-US" w:eastAsia="zh-CN"/>
        </w:rPr>
        <w:t>甲方付款前，乙方需按照甲方财务的要求提供相应</w:t>
      </w:r>
      <w:r>
        <w:rPr>
          <w:rFonts w:hint="eastAsia" w:asciiTheme="minorEastAsia" w:hAnsiTheme="minorEastAsia" w:eastAsiaTheme="minorEastAsia" w:cstheme="minorEastAsia"/>
          <w:sz w:val="28"/>
          <w:szCs w:val="28"/>
          <w:lang w:val="en-US" w:eastAsia="zh-CN"/>
        </w:rPr>
        <w:t>发票，否则甲方可以拒付货款</w:t>
      </w:r>
      <w:r>
        <w:rPr>
          <w:rFonts w:hint="eastAsia" w:asciiTheme="minorEastAsia" w:hAnsiTheme="minorEastAsia" w:eastAsiaTheme="minorEastAsia" w:cstheme="minorEastAsia"/>
          <w:sz w:val="28"/>
          <w:szCs w:val="28"/>
          <w:lang w:eastAsia="zh-CN"/>
        </w:rPr>
        <w:t>）</w:t>
      </w:r>
    </w:p>
    <w:p w14:paraId="61C07369">
      <w:pPr>
        <w:pStyle w:val="10"/>
        <w:pageBreakBefore w:val="0"/>
        <w:widowControl w:val="0"/>
        <w:tabs>
          <w:tab w:val="left" w:pos="506"/>
        </w:tabs>
        <w:kinsoku/>
        <w:wordWrap/>
        <w:overflowPunct/>
        <w:topLinePunct w:val="0"/>
        <w:autoSpaceDE/>
        <w:autoSpaceDN/>
        <w:bidi w:val="0"/>
        <w:adjustRightInd/>
        <w:snapToGrid/>
        <w:spacing w:line="560" w:lineRule="exact"/>
        <w:ind w:firstLine="587" w:firstLineChars="209"/>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t>质量标准</w:t>
      </w:r>
    </w:p>
    <w:p w14:paraId="6CB47FA9">
      <w:pPr>
        <w:pStyle w:val="10"/>
        <w:pageBreakBefore w:val="0"/>
        <w:widowControl w:val="0"/>
        <w:tabs>
          <w:tab w:val="left" w:pos="506"/>
        </w:tabs>
        <w:kinsoku/>
        <w:wordWrap/>
        <w:overflowPunct/>
        <w:topLinePunct w:val="0"/>
        <w:autoSpaceDE/>
        <w:autoSpaceDN/>
        <w:bidi w:val="0"/>
        <w:adjustRightInd/>
        <w:snapToGrid/>
        <w:spacing w:line="560" w:lineRule="exact"/>
        <w:ind w:firstLine="585" w:firstLineChars="209"/>
        <w:jc w:val="both"/>
        <w:textAlignment w:val="auto"/>
        <w:rPr>
          <w:rFonts w:hint="eastAsia" w:asciiTheme="minorEastAsia" w:hAnsiTheme="minorEastAsia" w:eastAsiaTheme="minorEastAsia" w:cstheme="minorEastAsia"/>
          <w:color w:val="auto"/>
          <w:sz w:val="28"/>
          <w:szCs w:val="28"/>
          <w:lang w:val="en-US" w:eastAsia="zh-CN"/>
        </w:rPr>
      </w:pPr>
      <w:bookmarkStart w:id="0" w:name="bookmark4"/>
      <w:bookmarkEnd w:id="0"/>
      <w:r>
        <w:rPr>
          <w:rFonts w:hint="eastAsia" w:asciiTheme="minorEastAsia" w:hAnsiTheme="minorEastAsia" w:eastAsiaTheme="minorEastAsia" w:cstheme="minorEastAsia"/>
          <w:sz w:val="28"/>
          <w:szCs w:val="28"/>
          <w:lang w:val="en-US" w:eastAsia="en-US"/>
        </w:rPr>
        <w:t>1.</w:t>
      </w:r>
      <w:r>
        <w:rPr>
          <w:rFonts w:hint="eastAsia" w:asciiTheme="minorEastAsia" w:hAnsiTheme="minorEastAsia" w:eastAsiaTheme="minorEastAsia" w:cstheme="minorEastAsia"/>
          <w:sz w:val="28"/>
          <w:szCs w:val="28"/>
        </w:rPr>
        <w:t>质量要求及技术标准</w:t>
      </w:r>
      <w:r>
        <w:rPr>
          <w:rFonts w:hint="eastAsia" w:asciiTheme="minorEastAsia" w:hAnsiTheme="minorEastAsia" w:eastAsiaTheme="minorEastAsia" w:cstheme="minorEastAsia"/>
          <w:sz w:val="28"/>
          <w:szCs w:val="28"/>
          <w:lang w:eastAsia="zh-CN"/>
        </w:rPr>
        <w:t>应符合</w:t>
      </w:r>
      <w:r>
        <w:rPr>
          <w:rFonts w:hint="eastAsia" w:asciiTheme="minorEastAsia" w:hAnsiTheme="minorEastAsia" w:eastAsiaTheme="minorEastAsia" w:cstheme="minorEastAsia"/>
          <w:sz w:val="28"/>
          <w:szCs w:val="28"/>
        </w:rPr>
        <w:t>甲方</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和乙方</w:t>
      </w:r>
      <w:r>
        <w:rPr>
          <w:rFonts w:hint="eastAsia" w:asciiTheme="minorEastAsia" w:hAnsiTheme="minorEastAsia" w:eastAsiaTheme="minorEastAsia" w:cstheme="minorEastAsia"/>
          <w:sz w:val="28"/>
          <w:szCs w:val="28"/>
          <w:lang w:eastAsia="zh-CN"/>
        </w:rPr>
        <w:t>投标</w:t>
      </w:r>
      <w:r>
        <w:rPr>
          <w:rFonts w:hint="eastAsia" w:asciiTheme="minorEastAsia" w:hAnsiTheme="minorEastAsia" w:eastAsiaTheme="minorEastAsia" w:cstheme="minorEastAsia"/>
          <w:sz w:val="28"/>
          <w:szCs w:val="28"/>
        </w:rPr>
        <w:t>技术要求、原厂标准、有关行业标准、国家标准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val="en-US" w:eastAsia="zh-CN"/>
        </w:rPr>
        <w:t>以及双方的合同约定</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注：乙方所供产品必须完全符合招投标文件的有关规定及合同的约定，即所供产品的技术要求、性能，产品型号、参数，外形设计、颜色、款式等均需符合招投标文件的要求和本合同中的有关约定，否则视为乙方所供产品不符合要求，甲方可单方面解除合同，并要求乙方退还所支付款项，并要求乙方承担赔偿损失、支付违约金等）</w:t>
      </w:r>
    </w:p>
    <w:p w14:paraId="4624B1B3">
      <w:pPr>
        <w:pStyle w:val="10"/>
        <w:pageBreakBefore w:val="0"/>
        <w:widowControl w:val="0"/>
        <w:tabs>
          <w:tab w:val="left" w:pos="506"/>
        </w:tabs>
        <w:kinsoku/>
        <w:wordWrap/>
        <w:overflowPunct/>
        <w:topLinePunct w:val="0"/>
        <w:autoSpaceDE/>
        <w:autoSpaceDN/>
        <w:bidi w:val="0"/>
        <w:adjustRightInd/>
        <w:snapToGrid/>
        <w:spacing w:line="560" w:lineRule="exact"/>
        <w:ind w:firstLine="585" w:firstLineChars="209"/>
        <w:jc w:val="both"/>
        <w:textAlignment w:val="auto"/>
        <w:rPr>
          <w:rFonts w:hint="eastAsia" w:asciiTheme="minorEastAsia" w:hAnsiTheme="minorEastAsia" w:eastAsiaTheme="minorEastAsia" w:cstheme="minorEastAsia"/>
          <w:sz w:val="28"/>
          <w:szCs w:val="28"/>
          <w:lang w:eastAsia="zh-CN"/>
        </w:rPr>
      </w:pPr>
      <w:bookmarkStart w:id="1" w:name="bookmark5"/>
      <w:bookmarkEnd w:id="1"/>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所有货物要求原厂原装正品、全新未使用的产品及最新批次的合格产品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并在供货时提供原厂证明、产品质量证明、产品说明书等资料。乙方必须确保所有报价的货物完全符合现有最新国家标准及行业标准,符合甲方招标文件和乙方投标文件要求，否则甲方有权单方面终止合同，并要求乙方赔偿因此造成的一切损失。</w:t>
      </w:r>
    </w:p>
    <w:p w14:paraId="585C98EC">
      <w:pPr>
        <w:pStyle w:val="10"/>
        <w:pageBreakBefore w:val="0"/>
        <w:widowControl w:val="0"/>
        <w:tabs>
          <w:tab w:val="left" w:pos="533"/>
        </w:tabs>
        <w:kinsoku/>
        <w:wordWrap/>
        <w:overflowPunct/>
        <w:topLinePunct w:val="0"/>
        <w:autoSpaceDE/>
        <w:autoSpaceDN/>
        <w:bidi w:val="0"/>
        <w:adjustRightInd/>
        <w:snapToGrid/>
        <w:spacing w:after="60"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、交（提）货时间、地点、方式</w:t>
      </w:r>
    </w:p>
    <w:p w14:paraId="19BE17EC">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FF"/>
          <w:sz w:val="28"/>
          <w:szCs w:val="28"/>
          <w:lang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6"/>
          <w:kern w:val="0"/>
          <w:sz w:val="28"/>
          <w:szCs w:val="28"/>
          <w:fitText w:val="1400" w:id="237070061"/>
          <w:lang w:eastAsia="zh-CN"/>
          <w14:textFill>
            <w14:solidFill>
              <w14:schemeClr w14:val="tx1"/>
            </w14:solidFill>
          </w14:textFill>
        </w:rPr>
        <w:t>交</w:t>
      </w:r>
      <w:r>
        <w:rPr>
          <w:rFonts w:hint="eastAsia" w:asciiTheme="minorEastAsia" w:hAnsiTheme="minorEastAsia" w:eastAsiaTheme="minorEastAsia" w:cstheme="minorEastAsia"/>
          <w:color w:val="000000" w:themeColor="text1"/>
          <w:spacing w:val="46"/>
          <w:kern w:val="0"/>
          <w:sz w:val="28"/>
          <w:szCs w:val="28"/>
          <w:fitText w:val="1400" w:id="237070061"/>
          <w14:textFill>
            <w14:solidFill>
              <w14:schemeClr w14:val="tx1"/>
            </w14:solidFill>
          </w14:textFill>
        </w:rPr>
        <w:t>货时</w:t>
      </w:r>
      <w:r>
        <w:rPr>
          <w:rFonts w:hint="eastAsia" w:asciiTheme="minorEastAsia" w:hAnsiTheme="minorEastAsia" w:eastAsiaTheme="minorEastAsia" w:cstheme="minorEastAsia"/>
          <w:color w:val="000000" w:themeColor="text1"/>
          <w:spacing w:val="2"/>
          <w:kern w:val="0"/>
          <w:sz w:val="28"/>
          <w:szCs w:val="28"/>
          <w:fitText w:val="1400" w:id="237070061"/>
          <w14:textFill>
            <w14:solidFill>
              <w14:schemeClr w14:val="tx1"/>
            </w14:solidFill>
          </w14:textFill>
        </w:rPr>
        <w:t>间</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：合同签订后1个月内</w:t>
      </w:r>
    </w:p>
    <w:p w14:paraId="66FD671C">
      <w:pPr>
        <w:pStyle w:val="10"/>
        <w:pageBreakBefore w:val="0"/>
        <w:widowControl w:val="0"/>
        <w:kinsoku/>
        <w:wordWrap/>
        <w:overflowPunct/>
        <w:topLinePunct w:val="0"/>
        <w:autoSpaceDE/>
        <w:autoSpaceDN/>
        <w:bidi w:val="0"/>
        <w:adjustRightInd/>
        <w:snapToGrid/>
        <w:spacing w:line="560" w:lineRule="exact"/>
        <w:ind w:firstLine="585" w:firstLineChars="209"/>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iCs/>
          <w:color w:val="000000" w:themeColor="text1"/>
          <w:sz w:val="28"/>
          <w:szCs w:val="28"/>
          <w14:textFill>
            <w14:solidFill>
              <w14:schemeClr w14:val="tx1"/>
            </w14:solidFill>
          </w14:textFill>
        </w:rPr>
        <w:t>2</w:t>
      </w:r>
      <w:r>
        <w:rPr>
          <w:rFonts w:hint="eastAsia" w:asciiTheme="minorEastAsia" w:hAnsiTheme="minorEastAsia" w:eastAsiaTheme="minorEastAsia" w:cstheme="minorEastAsia"/>
          <w:i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pacing w:val="0"/>
          <w:kern w:val="0"/>
          <w:sz w:val="28"/>
          <w:szCs w:val="28"/>
          <w:highlight w:val="none"/>
          <w:fitText w:val="1400" w:id="985751319"/>
        </w:rPr>
        <w:t>甲方联系人</w:t>
      </w:r>
      <w:r>
        <w:rPr>
          <w:rFonts w:hint="eastAsia" w:asciiTheme="minorEastAsia" w:hAnsiTheme="minorEastAsia" w:eastAsiaTheme="minorEastAsia" w:cstheme="minorEastAsia"/>
          <w:color w:val="auto"/>
          <w:sz w:val="28"/>
          <w:szCs w:val="28"/>
          <w:highlight w:val="none"/>
        </w:rPr>
        <w:t>：王强懋，联系电话：15134825678</w:t>
      </w:r>
      <w:r>
        <w:rPr>
          <w:rFonts w:hint="eastAsia" w:asciiTheme="minorEastAsia" w:hAnsiTheme="minorEastAsia" w:eastAsiaTheme="minorEastAsia" w:cstheme="minorEastAsia"/>
          <w:color w:val="auto"/>
          <w:sz w:val="28"/>
          <w:szCs w:val="28"/>
          <w:highlight w:val="none"/>
          <w:lang w:eastAsia="zh-CN"/>
        </w:rPr>
        <w:t>；</w:t>
      </w:r>
    </w:p>
    <w:p w14:paraId="063ABFA0">
      <w:pPr>
        <w:pStyle w:val="10"/>
        <w:pageBreakBefore w:val="0"/>
        <w:widowControl w:val="0"/>
        <w:kinsoku/>
        <w:wordWrap/>
        <w:overflowPunct/>
        <w:topLinePunct w:val="0"/>
        <w:autoSpaceDE/>
        <w:autoSpaceDN/>
        <w:bidi w:val="0"/>
        <w:adjustRightInd/>
        <w:snapToGrid/>
        <w:spacing w:line="560" w:lineRule="exact"/>
        <w:ind w:firstLine="585" w:firstLineChars="209"/>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3、</w:t>
      </w:r>
      <w:r>
        <w:rPr>
          <w:rFonts w:hint="eastAsia" w:asciiTheme="minorEastAsia" w:hAnsiTheme="minorEastAsia" w:eastAsiaTheme="minorEastAsia" w:cstheme="minorEastAsia"/>
          <w:color w:val="auto"/>
          <w:spacing w:val="0"/>
          <w:kern w:val="0"/>
          <w:sz w:val="28"/>
          <w:szCs w:val="28"/>
          <w:highlight w:val="none"/>
          <w:fitText w:val="1400" w:id="1933201983"/>
        </w:rPr>
        <w:t>乙方联系人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郝文光</w:t>
      </w: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val="en-US" w:eastAsia="zh-CN" w:bidi="en-US"/>
        </w:rPr>
        <w:t>13848371688；</w:t>
      </w:r>
    </w:p>
    <w:p w14:paraId="79FA2142">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以上联系人不得随意变更,如需变更，需提前三个工作日通知对方。</w:t>
      </w:r>
    </w:p>
    <w:p w14:paraId="1893161E">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、交</w:t>
      </w:r>
      <w:r>
        <w:rPr>
          <w:rFonts w:hint="eastAsia" w:asciiTheme="minorEastAsia" w:hAnsiTheme="minorEastAsia" w:eastAsiaTheme="minorEastAsia" w:cstheme="minorEastAsia"/>
          <w:color w:val="000000" w:themeColor="text1"/>
          <w:sz w:val="28"/>
          <w:szCs w:val="28"/>
          <w14:textFill>
            <w14:solidFill>
              <w14:schemeClr w14:val="tx1"/>
            </w14:solidFill>
          </w14:textFill>
        </w:rPr>
        <w:t>货地点:鄂托克旗市场监督管理局</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14:paraId="1E58173C">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、交货状态：</w:t>
      </w:r>
      <w:r>
        <w:rPr>
          <w:rFonts w:hint="eastAsia" w:asciiTheme="minorEastAsia" w:hAnsiTheme="minorEastAsia" w:eastAsiaTheme="minorEastAsia" w:cstheme="minorEastAsia"/>
          <w:color w:val="000000" w:themeColor="text1"/>
          <w:sz w:val="28"/>
          <w:szCs w:val="28"/>
          <w14:textFill>
            <w14:solidFill>
              <w14:schemeClr w14:val="tx1"/>
            </w14:solidFill>
          </w14:textFill>
        </w:rPr>
        <w:t>由甲方组织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对交付产品进行检验</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交付产品应符合</w:t>
      </w:r>
      <w:r>
        <w:rPr>
          <w:rFonts w:hint="eastAsia" w:asciiTheme="minorEastAsia" w:hAnsiTheme="minorEastAsia" w:eastAsiaTheme="minorEastAsia" w:cstheme="minorEastAsia"/>
          <w:color w:val="000000" w:themeColor="text1"/>
          <w:sz w:val="28"/>
          <w:szCs w:val="28"/>
          <w14:textFill>
            <w14:solidFill>
              <w14:schemeClr w14:val="tx1"/>
            </w14:solidFill>
          </w14:textFill>
        </w:rPr>
        <w:t>招标文件中仪器设备招标技术参数及中标产品的投标文件提供的技术参数，</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检验</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合格后方可</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交付。</w:t>
      </w:r>
      <w:r>
        <w:rPr>
          <w:rFonts w:hint="eastAsia" w:asciiTheme="minorEastAsia" w:hAnsiTheme="minorEastAsia" w:eastAsiaTheme="minorEastAsia" w:cstheme="minorEastAsia"/>
          <w:color w:val="auto"/>
          <w:sz w:val="28"/>
          <w:szCs w:val="28"/>
          <w:lang w:val="en-US" w:eastAsia="zh-CN"/>
        </w:rPr>
        <w:t>如乙方所供产品有任何一处与招投标文件要求或本合同约定不一致的，视为乙方所供产品不符合验收要求，所供产品未能交付。</w:t>
      </w:r>
    </w:p>
    <w:p w14:paraId="6595317C">
      <w:pPr>
        <w:pStyle w:val="10"/>
        <w:pageBreakBefore w:val="0"/>
        <w:widowControl w:val="0"/>
        <w:numPr>
          <w:ilvl w:val="0"/>
          <w:numId w:val="0"/>
        </w:numPr>
        <w:tabs>
          <w:tab w:val="left" w:pos="533"/>
        </w:tabs>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产品交付与验收</w:t>
      </w:r>
    </w:p>
    <w:p w14:paraId="5901D490">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7030A0"/>
          <w:sz w:val="28"/>
          <w:szCs w:val="28"/>
        </w:rPr>
      </w:pPr>
      <w:bookmarkStart w:id="2" w:name="bookmark8"/>
      <w:bookmarkEnd w:id="2"/>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货物到货经甲方验收合格前的所有风险由乙方承担。</w:t>
      </w:r>
    </w:p>
    <w:p w14:paraId="2685AB41">
      <w:pPr>
        <w:pStyle w:val="1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交付的</w:t>
      </w:r>
      <w:r>
        <w:rPr>
          <w:rFonts w:hint="eastAsia" w:asciiTheme="minorEastAsia" w:hAnsiTheme="minorEastAsia" w:eastAsiaTheme="minorEastAsia" w:cstheme="minorEastAsia"/>
          <w:color w:val="000000" w:themeColor="text1"/>
          <w:sz w:val="28"/>
          <w:szCs w:val="28"/>
          <w14:textFill>
            <w14:solidFill>
              <w14:schemeClr w14:val="tx1"/>
            </w14:solidFill>
          </w14:textFill>
        </w:rPr>
        <w:t>仪器、设备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在乙方</w:t>
      </w:r>
      <w:r>
        <w:rPr>
          <w:rFonts w:hint="eastAsia" w:asciiTheme="minorEastAsia" w:hAnsiTheme="minorEastAsia" w:eastAsiaTheme="minorEastAsia" w:cstheme="minorEastAsia"/>
          <w:color w:val="000000" w:themeColor="text1"/>
          <w:sz w:val="28"/>
          <w:szCs w:val="28"/>
          <w14:textFill>
            <w14:solidFill>
              <w14:schemeClr w14:val="tx1"/>
            </w14:solidFill>
          </w14:textFill>
        </w:rPr>
        <w:t>安装、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8"/>
          <w:szCs w:val="28"/>
          <w14:textFill>
            <w14:solidFill>
              <w14:schemeClr w14:val="tx1"/>
            </w14:solidFill>
          </w14:textFill>
        </w:rPr>
        <w:t>培训完毕后,</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由甲方组织</w:t>
      </w:r>
      <w:r>
        <w:rPr>
          <w:rFonts w:hint="eastAsia" w:asciiTheme="minorEastAsia" w:hAnsiTheme="minorEastAsia" w:eastAsiaTheme="minorEastAsia" w:cstheme="minorEastAsia"/>
          <w:color w:val="000000" w:themeColor="text1"/>
          <w:sz w:val="28"/>
          <w:szCs w:val="28"/>
          <w14:textFill>
            <w14:solidFill>
              <w14:schemeClr w14:val="tx1"/>
            </w14:solidFill>
          </w14:textFill>
        </w:rPr>
        <w:t>验收</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7D9F9964">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bookmarkStart w:id="3" w:name="bookmark10"/>
      <w:bookmarkEnd w:id="3"/>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乙方应在供货同时向甲方提供所有有关本合同执行的技术文件。如果项目必需但合同又未作规定的技术文件，乙方也应及时向甲方提供，技术文件可以是手册、图纸或其他形式的文件资料。上述技术文件应包含保证甲方能够正常进行安装调试、操作、检查、维修、维护、测试、验收和运作的需要的所有内容。到货后甲方如发现乙方未提供有关文件，视为货物未到达，直至乙方补齐有关文件视为完成供货，甲方有权依据本合同第</w:t>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rPr>
        <w:t>条关于迟延到货的约定，追究乙方违约责任。</w:t>
      </w:r>
    </w:p>
    <w:p w14:paraId="5D9B13CE">
      <w:pPr>
        <w:pStyle w:val="10"/>
        <w:pageBreakBefore w:val="0"/>
        <w:widowControl w:val="0"/>
        <w:tabs>
          <w:tab w:val="left" w:pos="533"/>
        </w:tabs>
        <w:kinsoku/>
        <w:wordWrap/>
        <w:overflowPunct/>
        <w:topLinePunct w:val="0"/>
        <w:autoSpaceDE/>
        <w:autoSpaceDN/>
        <w:bidi w:val="0"/>
        <w:adjustRightInd/>
        <w:snapToGrid/>
        <w:spacing w:line="560" w:lineRule="exact"/>
        <w:ind w:firstLine="703" w:firstLineChars="2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付款方式、付款时间及付款条件</w:t>
      </w:r>
    </w:p>
    <w:p w14:paraId="0ED24327">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1、1期：支付比例90%，货到验收合格并完成车辆落户付90%，达到付款条件起7日，支付合同总金额的90.00%</w:t>
      </w:r>
    </w:p>
    <w:p w14:paraId="4654B44D">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2、2期：支付比例10%，设备调试完成正常运行，人员培训后能熟练开展工作后支付剩余10%，达到付款条件起7日，支付合同总金额的10.00%</w:t>
      </w:r>
    </w:p>
    <w:p w14:paraId="0792A90B">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3、乙方收款账户信息：</w:t>
      </w:r>
    </w:p>
    <w:p w14:paraId="05431D25">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户  名：鄂尔多斯市中凯科技有限责任公司 </w:t>
      </w:r>
    </w:p>
    <w:p w14:paraId="3768A3C9">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开户行：鄂尔多斯农村商业银行股份有限公司祥泰支行</w:t>
      </w:r>
    </w:p>
    <w:p w14:paraId="328AFC39">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账  号：</w:t>
      </w:r>
      <w:r>
        <w:rPr>
          <w:rFonts w:hint="eastAsia" w:asciiTheme="minorEastAsia" w:hAnsiTheme="minorEastAsia" w:eastAsiaTheme="minorEastAsia" w:cstheme="minorEastAsia"/>
          <w:spacing w:val="20"/>
          <w:sz w:val="28"/>
          <w:szCs w:val="28"/>
          <w:highlight w:val="none"/>
          <w:lang w:val="en-US" w:eastAsia="zh-CN"/>
        </w:rPr>
        <w:t>7502501220000000044811</w:t>
      </w:r>
    </w:p>
    <w:p w14:paraId="784C371B">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付款方式：采用银行转账。</w:t>
      </w:r>
    </w:p>
    <w:p w14:paraId="794D80FD">
      <w:pPr>
        <w:pStyle w:val="10"/>
        <w:pageBreakBefore w:val="0"/>
        <w:widowControl w:val="0"/>
        <w:numPr>
          <w:ilvl w:val="0"/>
          <w:numId w:val="0"/>
        </w:numPr>
        <w:tabs>
          <w:tab w:val="left" w:pos="533"/>
        </w:tabs>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质量保证及售后服务</w:t>
      </w:r>
    </w:p>
    <w:p w14:paraId="43DA9DDE">
      <w:pPr>
        <w:pStyle w:val="10"/>
        <w:pageBreakBefore w:val="0"/>
        <w:widowControl w:val="0"/>
        <w:tabs>
          <w:tab w:val="left" w:pos="506"/>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bookmarkStart w:id="4" w:name="bookmark13"/>
      <w:bookmarkEnd w:id="4"/>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乙方保证交付甲方的本合同项下的所有产品或服务均符合合同约定质量标准及原厂的相关技术规范。产品如经检验证实不符上述要求或存在缺陷、瑕疵、不符合合同关于质量规格条款要求的，乙方应无条件更换、退货，并赔偿甲方由此受到的全部损失。对于其他质量问题，在质量保修期内，乙方负责提供免费维修、</w:t>
      </w:r>
      <w:r>
        <w:rPr>
          <w:rFonts w:hint="eastAsia" w:asciiTheme="minorEastAsia" w:hAnsiTheme="minorEastAsia" w:eastAsiaTheme="minorEastAsia" w:cstheme="minorEastAsia"/>
          <w:sz w:val="28"/>
          <w:szCs w:val="28"/>
          <w:highlight w:val="none"/>
          <w:lang w:eastAsia="zh-CN"/>
        </w:rPr>
        <w:t>维护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换新的售后服务，所产生的运输和卸车</w:t>
      </w:r>
      <w:r>
        <w:rPr>
          <w:rFonts w:hint="eastAsia" w:asciiTheme="minorEastAsia" w:hAnsiTheme="minorEastAsia" w:eastAsiaTheme="minorEastAsia" w:cstheme="minorEastAsia"/>
          <w:sz w:val="28"/>
          <w:szCs w:val="28"/>
          <w:lang w:eastAsia="zh-CN"/>
        </w:rPr>
        <w:t>费</w:t>
      </w:r>
      <w:r>
        <w:rPr>
          <w:rFonts w:hint="eastAsia" w:asciiTheme="minorEastAsia" w:hAnsiTheme="minorEastAsia" w:eastAsiaTheme="minorEastAsia" w:cstheme="minorEastAsia"/>
          <w:sz w:val="28"/>
          <w:szCs w:val="28"/>
        </w:rPr>
        <w:t>用由乙方负责。以上所述乙方如不执行，甲方有权要求退货，乙方</w:t>
      </w:r>
      <w:r>
        <w:rPr>
          <w:rFonts w:hint="eastAsia" w:asciiTheme="minorEastAsia" w:hAnsiTheme="minorEastAsia" w:eastAsiaTheme="minorEastAsia" w:cstheme="minorEastAsia"/>
          <w:sz w:val="28"/>
          <w:szCs w:val="28"/>
          <w:lang w:eastAsia="zh-CN"/>
        </w:rPr>
        <w:t>须</w:t>
      </w:r>
      <w:r>
        <w:rPr>
          <w:rFonts w:hint="eastAsia" w:asciiTheme="minorEastAsia" w:hAnsiTheme="minorEastAsia" w:eastAsiaTheme="minorEastAsia" w:cstheme="minorEastAsia"/>
          <w:sz w:val="28"/>
          <w:szCs w:val="28"/>
        </w:rPr>
        <w:t>将相应款项退还并承担由此发生的一切损失和费用。</w:t>
      </w:r>
    </w:p>
    <w:p w14:paraId="3BC754AE">
      <w:pPr>
        <w:ind w:firstLine="560" w:firstLineChars="200"/>
        <w:rPr>
          <w:rFonts w:hint="eastAsia" w:asciiTheme="minorEastAsia" w:hAnsiTheme="minorEastAsia" w:eastAsiaTheme="minorEastAsia" w:cstheme="minorEastAsia"/>
          <w:kern w:val="2"/>
          <w:sz w:val="28"/>
          <w:szCs w:val="28"/>
          <w:highlight w:val="none"/>
          <w:lang w:val="zh-TW" w:eastAsia="zh-CN" w:bidi="zh-TW"/>
        </w:rPr>
      </w:pPr>
      <w:bookmarkStart w:id="5" w:name="bookmark14"/>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w:t>
      </w:r>
      <w:r>
        <w:rPr>
          <w:rFonts w:hint="eastAsia" w:asciiTheme="minorEastAsia" w:hAnsiTheme="minorEastAsia" w:eastAsiaTheme="minorEastAsia" w:cstheme="minorEastAsia"/>
          <w:kern w:val="2"/>
          <w:sz w:val="28"/>
          <w:szCs w:val="28"/>
          <w:highlight w:val="none"/>
          <w:lang w:val="zh-TW" w:eastAsia="zh-CN" w:bidi="zh-TW"/>
        </w:rPr>
        <w:t>.</w:t>
      </w:r>
      <w:bookmarkEnd w:id="5"/>
      <w:r>
        <w:rPr>
          <w:rFonts w:hint="eastAsia" w:asciiTheme="minorEastAsia" w:hAnsiTheme="minorEastAsia" w:eastAsiaTheme="minorEastAsia" w:cstheme="minorEastAsia"/>
          <w:kern w:val="2"/>
          <w:sz w:val="28"/>
          <w:szCs w:val="28"/>
          <w:highlight w:val="none"/>
          <w:lang w:val="en-US" w:eastAsia="zh-CN" w:bidi="zh-TW"/>
        </w:rPr>
        <w:t>仪器设备验收合格之日起，</w:t>
      </w:r>
      <w:r>
        <w:rPr>
          <w:rFonts w:hint="eastAsia" w:asciiTheme="minorEastAsia" w:hAnsiTheme="minorEastAsia" w:eastAsiaTheme="minorEastAsia" w:cstheme="minorEastAsia"/>
          <w:kern w:val="2"/>
          <w:sz w:val="28"/>
          <w:szCs w:val="28"/>
          <w:highlight w:val="none"/>
          <w:lang w:val="zh-TW" w:eastAsia="zh-CN" w:bidi="zh-TW"/>
        </w:rPr>
        <w:t>标的为：整套车载式充电桩检定装置</w:t>
      </w:r>
      <w:r>
        <w:rPr>
          <w:rFonts w:hint="eastAsia" w:asciiTheme="minorEastAsia" w:hAnsiTheme="minorEastAsia" w:cstheme="minorEastAsia"/>
          <w:kern w:val="2"/>
          <w:sz w:val="28"/>
          <w:szCs w:val="28"/>
          <w:highlight w:val="none"/>
          <w:lang w:val="zh-TW" w:eastAsia="zh-CN" w:bidi="zh-TW"/>
        </w:rPr>
        <w:t>，</w:t>
      </w:r>
      <w:r>
        <w:rPr>
          <w:rFonts w:hint="eastAsia" w:asciiTheme="minorEastAsia" w:hAnsiTheme="minorEastAsia" w:eastAsiaTheme="minorEastAsia" w:cstheme="minorEastAsia"/>
          <w:kern w:val="2"/>
          <w:sz w:val="28"/>
          <w:szCs w:val="28"/>
          <w:highlight w:val="none"/>
          <w:lang w:val="zh-TW" w:eastAsia="zh-CN" w:bidi="zh-TW"/>
        </w:rPr>
        <w:t>质</w:t>
      </w:r>
      <w:r>
        <w:rPr>
          <w:rFonts w:hint="eastAsia" w:asciiTheme="minorEastAsia" w:hAnsiTheme="minorEastAsia" w:eastAsiaTheme="minorEastAsia" w:cstheme="minorEastAsia"/>
          <w:kern w:val="2"/>
          <w:sz w:val="28"/>
          <w:szCs w:val="28"/>
          <w:highlight w:val="none"/>
          <w:lang w:val="zh-TW" w:eastAsia="zh-TW" w:bidi="zh-TW"/>
        </w:rPr>
        <w:t>保期</w:t>
      </w:r>
      <w:r>
        <w:rPr>
          <w:rFonts w:hint="eastAsia" w:asciiTheme="minorEastAsia" w:hAnsiTheme="minorEastAsia" w:eastAsiaTheme="minorEastAsia" w:cstheme="minorEastAsia"/>
          <w:kern w:val="2"/>
          <w:sz w:val="28"/>
          <w:szCs w:val="28"/>
          <w:highlight w:val="none"/>
          <w:lang w:val="zh-TW" w:eastAsia="zh-CN" w:bidi="zh-TW"/>
        </w:rPr>
        <w:t>为</w:t>
      </w:r>
      <w:r>
        <w:rPr>
          <w:rFonts w:hint="eastAsia" w:asciiTheme="minorEastAsia" w:hAnsiTheme="minorEastAsia" w:cstheme="minorEastAsia"/>
          <w:kern w:val="2"/>
          <w:sz w:val="28"/>
          <w:szCs w:val="28"/>
          <w:highlight w:val="none"/>
          <w:lang w:val="en-US" w:eastAsia="zh-CN" w:bidi="zh-TW"/>
        </w:rPr>
        <w:t>三</w:t>
      </w:r>
      <w:r>
        <w:rPr>
          <w:rFonts w:hint="eastAsia" w:asciiTheme="minorEastAsia" w:hAnsiTheme="minorEastAsia" w:eastAsiaTheme="minorEastAsia" w:cstheme="minorEastAsia"/>
          <w:kern w:val="2"/>
          <w:sz w:val="28"/>
          <w:szCs w:val="28"/>
          <w:highlight w:val="none"/>
          <w:lang w:val="zh-TW" w:eastAsia="zh-CN" w:bidi="zh-TW"/>
        </w:rPr>
        <w:t>年</w:t>
      </w:r>
      <w:r>
        <w:rPr>
          <w:rFonts w:hint="eastAsia" w:asciiTheme="minorEastAsia" w:hAnsiTheme="minorEastAsia" w:eastAsiaTheme="minorEastAsia" w:cstheme="minorEastAsia"/>
          <w:kern w:val="2"/>
          <w:sz w:val="28"/>
          <w:szCs w:val="28"/>
          <w:highlight w:val="none"/>
          <w:lang w:val="en-US" w:eastAsia="zh-CN" w:bidi="zh-TW"/>
        </w:rPr>
        <w:t>。</w:t>
      </w:r>
    </w:p>
    <w:p w14:paraId="2F825528">
      <w:pPr>
        <w:pStyle w:val="10"/>
        <w:pageBreakBefore w:val="0"/>
        <w:widowControl w:val="0"/>
        <w:kinsoku/>
        <w:wordWrap/>
        <w:overflowPunct/>
        <w:topLinePunct w:val="0"/>
        <w:autoSpaceDE/>
        <w:autoSpaceDN/>
        <w:bidi w:val="0"/>
        <w:adjustRightInd/>
        <w:snapToGrid/>
        <w:spacing w:line="560" w:lineRule="exact"/>
        <w:ind w:firstLine="585" w:firstLineChars="209"/>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售后服务：厂家负责对采购方技术人员、操作人员进行现场免费培训，培训内容包括设备操作、设备维护及简单的设备维修、使用注意事项等。</w:t>
      </w:r>
    </w:p>
    <w:p w14:paraId="70516407">
      <w:pPr>
        <w:pStyle w:val="10"/>
        <w:pageBreakBefore w:val="0"/>
        <w:widowControl w:val="0"/>
        <w:tabs>
          <w:tab w:val="left" w:pos="451"/>
        </w:tabs>
        <w:kinsoku/>
        <w:wordWrap/>
        <w:overflowPunct/>
        <w:topLinePunct w:val="0"/>
        <w:autoSpaceDE/>
        <w:autoSpaceDN/>
        <w:bidi w:val="0"/>
        <w:adjustRightInd/>
        <w:snapToGrid/>
        <w:spacing w:line="560" w:lineRule="exact"/>
        <w:ind w:firstLine="585" w:firstLineChars="209"/>
        <w:jc w:val="both"/>
        <w:textAlignment w:val="auto"/>
        <w:rPr>
          <w:rFonts w:hint="eastAsia" w:asciiTheme="minorEastAsia" w:hAnsiTheme="minorEastAsia" w:eastAsiaTheme="minorEastAsia" w:cstheme="minorEastAsia"/>
          <w:sz w:val="28"/>
          <w:szCs w:val="28"/>
        </w:rPr>
      </w:pPr>
      <w:bookmarkStart w:id="6" w:name="bookmark15"/>
      <w:bookmarkEnd w:id="6"/>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对质保期的故障报修，如乙方未能做到上款的服务承诺，甲方可采取必要的补救措施，但其风险和费用由乙方承担，甲方根据合同规定对乙方行使的其它权利不受影响。由于乙方的保证服务不到位</w:t>
      </w:r>
      <w:r>
        <w:rPr>
          <w:rFonts w:hint="eastAsia" w:asciiTheme="minorEastAsia" w:hAnsiTheme="minorEastAsia" w:eastAsiaTheme="minorEastAsia" w:cstheme="minorEastAsia"/>
          <w:i/>
          <w:iCs/>
          <w:sz w:val="28"/>
          <w:szCs w:val="28"/>
        </w:rPr>
        <w:t>，</w:t>
      </w:r>
      <w:r>
        <w:rPr>
          <w:rFonts w:hint="eastAsia" w:asciiTheme="minorEastAsia" w:hAnsiTheme="minorEastAsia" w:eastAsiaTheme="minorEastAsia" w:cstheme="minorEastAsia"/>
          <w:sz w:val="28"/>
          <w:szCs w:val="28"/>
        </w:rPr>
        <w:t>质保期的到期时间将相应顺延。因乙方货物质量问题，导致已安装的设备需拆除修理所发生的拆除和二次安装相关的费用或者其他的二次费用，均由乙方承担。</w:t>
      </w:r>
      <w:bookmarkStart w:id="7" w:name="bookmark16"/>
      <w:bookmarkEnd w:id="7"/>
    </w:p>
    <w:p w14:paraId="75E4757A">
      <w:pPr>
        <w:pStyle w:val="10"/>
        <w:pageBreakBefore w:val="0"/>
        <w:widowControl w:val="0"/>
        <w:tabs>
          <w:tab w:val="left" w:pos="461"/>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在质保期内或在应当由乙方负责的其他情况下，若由于乙方更换、修理和续补货物,而造成货物不得不停止使用，货物</w:t>
      </w:r>
      <w:r>
        <w:rPr>
          <w:rFonts w:hint="eastAsia" w:asciiTheme="minorEastAsia" w:hAnsiTheme="minorEastAsia" w:eastAsiaTheme="minorEastAsia" w:cstheme="minorEastAsia"/>
          <w:sz w:val="28"/>
          <w:szCs w:val="28"/>
          <w:lang w:eastAsia="zh-CN"/>
        </w:rPr>
        <w:t>质</w:t>
      </w:r>
      <w:r>
        <w:rPr>
          <w:rFonts w:hint="eastAsia" w:asciiTheme="minorEastAsia" w:hAnsiTheme="minorEastAsia" w:eastAsiaTheme="minorEastAsia" w:cstheme="minorEastAsia"/>
          <w:sz w:val="28"/>
          <w:szCs w:val="28"/>
        </w:rPr>
        <w:t>保期应依照停止使用的实际时间加以延长，如因此给甲方造成损失，乙方应负责赔偿。</w:t>
      </w:r>
      <w:bookmarkStart w:id="8" w:name="bookmark17"/>
      <w:bookmarkEnd w:id="8"/>
    </w:p>
    <w:p w14:paraId="01E8A75C">
      <w:pPr>
        <w:pStyle w:val="10"/>
        <w:pageBreakBefore w:val="0"/>
        <w:widowControl w:val="0"/>
        <w:tabs>
          <w:tab w:val="left" w:pos="461"/>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乙方应对产品货物来源的知识产权合法性负完全的法律责任，对于第三方提岀的侵犯其专利权、商标权、著作权或其它知识产权的赔偿或其他请求，乙方应当承担全部责任。</w:t>
      </w:r>
    </w:p>
    <w:p w14:paraId="795EB6E1">
      <w:pPr>
        <w:pStyle w:val="10"/>
        <w:pageBreakBefore w:val="0"/>
        <w:widowControl w:val="0"/>
        <w:tabs>
          <w:tab w:val="left" w:pos="533"/>
        </w:tabs>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、违约责任条款</w:t>
      </w:r>
    </w:p>
    <w:p w14:paraId="313B3FA2">
      <w:pPr>
        <w:pStyle w:val="10"/>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yellow"/>
          <w:lang w:val="en-US" w:eastAsia="zh-CN"/>
        </w:rPr>
      </w:pPr>
      <w:r>
        <w:rPr>
          <w:rFonts w:hint="eastAsia" w:asciiTheme="minorEastAsia" w:hAnsiTheme="minorEastAsia" w:eastAsiaTheme="minorEastAsia" w:cstheme="minorEastAsia"/>
          <w:color w:val="000000" w:themeColor="text1"/>
          <w:sz w:val="28"/>
          <w:szCs w:val="28"/>
          <w:lang w:val="en-US" w:eastAsia="en-US" w:bidi="en-US"/>
          <w14:textFill>
            <w14:solidFill>
              <w14:schemeClr w14:val="tx1"/>
            </w14:solidFill>
          </w14:textFill>
        </w:rPr>
        <w:t>1.</w:t>
      </w:r>
      <w:r>
        <w:rPr>
          <w:rFonts w:hint="eastAsia" w:asciiTheme="minorEastAsia" w:hAnsiTheme="minorEastAsia" w:eastAsiaTheme="minorEastAsia" w:cstheme="minorEastAsia"/>
          <w:color w:val="auto"/>
          <w:sz w:val="28"/>
          <w:szCs w:val="28"/>
          <w:highlight w:val="none"/>
        </w:rPr>
        <w:t>乙方未按合同的约定交货时间供货</w:t>
      </w:r>
      <w:r>
        <w:rPr>
          <w:rFonts w:hint="eastAsia" w:asciiTheme="minorEastAsia" w:hAnsiTheme="minorEastAsia" w:eastAsiaTheme="minorEastAsia" w:cstheme="minorEastAsia"/>
          <w:i/>
          <w:iCs/>
          <w:color w:val="auto"/>
          <w:sz w:val="28"/>
          <w:szCs w:val="28"/>
          <w:highlight w:val="none"/>
        </w:rPr>
        <w:t>，</w:t>
      </w:r>
      <w:r>
        <w:rPr>
          <w:rFonts w:hint="eastAsia" w:asciiTheme="minorEastAsia" w:hAnsiTheme="minorEastAsia" w:eastAsiaTheme="minorEastAsia" w:cstheme="minorEastAsia"/>
          <w:color w:val="auto"/>
          <w:sz w:val="28"/>
          <w:szCs w:val="28"/>
          <w:highlight w:val="none"/>
        </w:rPr>
        <w:t>每推迟一天，乙方应向甲方支付合同中标价</w:t>
      </w:r>
      <w:r>
        <w:rPr>
          <w:rFonts w:hint="eastAsia" w:asciiTheme="minorEastAsia" w:hAnsiTheme="minorEastAsia" w:eastAsiaTheme="minorEastAsia" w:cstheme="minorEastAsia"/>
          <w:color w:val="auto"/>
          <w:sz w:val="28"/>
          <w:szCs w:val="28"/>
          <w:highlight w:val="none"/>
          <w:lang w:eastAsia="zh-CN"/>
        </w:rPr>
        <w:t>日千分之一的</w:t>
      </w:r>
      <w:r>
        <w:rPr>
          <w:rFonts w:hint="eastAsia" w:asciiTheme="minorEastAsia" w:hAnsiTheme="minorEastAsia" w:eastAsiaTheme="minorEastAsia" w:cstheme="minorEastAsia"/>
          <w:color w:val="auto"/>
          <w:sz w:val="28"/>
          <w:szCs w:val="28"/>
          <w:highlight w:val="none"/>
        </w:rPr>
        <w:t>违约金。</w:t>
      </w:r>
      <w:r>
        <w:rPr>
          <w:rFonts w:hint="eastAsia" w:asciiTheme="minorEastAsia" w:hAnsiTheme="minorEastAsia" w:eastAsiaTheme="minorEastAsia" w:cstheme="minorEastAsia"/>
          <w:color w:val="auto"/>
          <w:sz w:val="28"/>
          <w:szCs w:val="28"/>
          <w:highlight w:val="none"/>
          <w:lang w:eastAsia="zh-CN"/>
        </w:rPr>
        <w:t>所产生的</w:t>
      </w:r>
      <w:r>
        <w:rPr>
          <w:rFonts w:hint="eastAsia" w:asciiTheme="minorEastAsia" w:hAnsiTheme="minorEastAsia" w:eastAsiaTheme="minorEastAsia" w:cstheme="minorEastAsia"/>
          <w:color w:val="auto"/>
          <w:sz w:val="28"/>
          <w:szCs w:val="28"/>
          <w:highlight w:val="none"/>
        </w:rPr>
        <w:t>违约金</w:t>
      </w:r>
      <w:r>
        <w:rPr>
          <w:rFonts w:hint="eastAsia" w:asciiTheme="minorEastAsia" w:hAnsiTheme="minorEastAsia" w:eastAsiaTheme="minorEastAsia" w:cstheme="minorEastAsia"/>
          <w:color w:val="auto"/>
          <w:sz w:val="28"/>
          <w:szCs w:val="28"/>
          <w:highlight w:val="none"/>
          <w:lang w:eastAsia="zh-CN"/>
        </w:rPr>
        <w:t>由</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color w:val="auto"/>
          <w:sz w:val="28"/>
          <w:szCs w:val="28"/>
          <w:highlight w:val="none"/>
          <w:lang w:eastAsia="zh-CN"/>
        </w:rPr>
        <w:t>在</w:t>
      </w:r>
      <w:r>
        <w:rPr>
          <w:rFonts w:hint="eastAsia" w:asciiTheme="minorEastAsia" w:hAnsiTheme="minorEastAsia" w:eastAsiaTheme="minorEastAsia" w:cstheme="minorEastAsia"/>
          <w:color w:val="auto"/>
          <w:sz w:val="28"/>
          <w:szCs w:val="28"/>
          <w:highlight w:val="none"/>
        </w:rPr>
        <w:t>支付</w:t>
      </w:r>
      <w:r>
        <w:rPr>
          <w:rFonts w:hint="eastAsia" w:asciiTheme="minorEastAsia" w:hAnsiTheme="minorEastAsia" w:eastAsiaTheme="minorEastAsia" w:cstheme="minorEastAsia"/>
          <w:color w:val="auto"/>
          <w:sz w:val="28"/>
          <w:szCs w:val="28"/>
          <w:highlight w:val="none"/>
          <w:lang w:eastAsia="zh-CN"/>
        </w:rPr>
        <w:t>的</w:t>
      </w:r>
      <w:r>
        <w:rPr>
          <w:rFonts w:hint="eastAsia" w:asciiTheme="minorEastAsia" w:hAnsiTheme="minorEastAsia" w:eastAsiaTheme="minorEastAsia" w:cstheme="minorEastAsia"/>
          <w:color w:val="auto"/>
          <w:sz w:val="28"/>
          <w:szCs w:val="28"/>
          <w:highlight w:val="none"/>
        </w:rPr>
        <w:t>货款中扣除。</w:t>
      </w:r>
      <w:r>
        <w:rPr>
          <w:rFonts w:hint="eastAsia" w:asciiTheme="minorEastAsia" w:hAnsiTheme="minorEastAsia" w:eastAsiaTheme="minorEastAsia" w:cstheme="minorEastAsia"/>
          <w:color w:val="auto"/>
          <w:sz w:val="28"/>
          <w:szCs w:val="28"/>
          <w:highlight w:val="none"/>
          <w:lang w:val="en-US" w:eastAsia="zh-CN"/>
        </w:rPr>
        <w:t>超过合同约定的最后供货日期达15个日历日的，甲方可单方面解除合同。如甲方已支付预付款，乙方应向甲方返还已支付货款，并赔偿损失、支付利息（利息以已付货款为基数，按照LPR四倍，从甲方已付货款之日起至乙方实际全部返还货款之日止的利息）。</w:t>
      </w:r>
    </w:p>
    <w:p w14:paraId="0D3586EE">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在验收过程中，乙方提供货物与招标文件中技术参数及投标中标产品的投标文件所提供的技术参数不符，甲方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有权</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拒收并</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可单方面</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解除</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本</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auto"/>
          <w:sz w:val="28"/>
          <w:szCs w:val="28"/>
          <w:highlight w:val="none"/>
          <w:lang w:val="en-US" w:eastAsia="zh-CN"/>
        </w:rPr>
        <w:t>如甲方已支付预付款，</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要求乙方在收到验收不合格通知书之日起（按邮箱发送成功日期或发送传真日期开始计算），十个工作日内返还全部预付款，并</w:t>
      </w:r>
      <w:r>
        <w:rPr>
          <w:rFonts w:hint="eastAsia" w:asciiTheme="minorEastAsia" w:hAnsiTheme="minorEastAsia" w:eastAsiaTheme="minorEastAsia" w:cstheme="minorEastAsia"/>
          <w:color w:val="auto"/>
          <w:sz w:val="28"/>
          <w:szCs w:val="28"/>
          <w:highlight w:val="none"/>
          <w:lang w:val="en-US" w:eastAsia="zh-CN"/>
        </w:rPr>
        <w:t>支付利息（利息以已付货款为基数，按照LPR四倍，从甲方已付货款之日起至乙方实际全部返还货款之日止的利息）</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如因验收不通过给甲方造成财政资金被收回损失，甲方保留追偿的权利。</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同时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上报鄂尔多斯市财政局中止采购活动，相关责任由乙方承担</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bookmarkStart w:id="9" w:name="bookmark19"/>
      <w:bookmarkEnd w:id="9"/>
    </w:p>
    <w:p w14:paraId="16F61478">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本合同中对于甲方付款和乙方交付使用有先决条件约定的，按约定执行。</w:t>
      </w:r>
    </w:p>
    <w:p w14:paraId="5329449B">
      <w:pPr>
        <w:pStyle w:val="10"/>
        <w:pageBreakBefore w:val="0"/>
        <w:widowControl w:val="0"/>
        <w:tabs>
          <w:tab w:val="left" w:pos="511"/>
        </w:tabs>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bookmarkStart w:id="10" w:name="bookmark20"/>
      <w:bookmarkEnd w:id="10"/>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rPr>
        <w:t>乙方对所供货物与合同要求不符负有责任，如经检验证实不符或缺陷、瑕疵存在的，包括潜在的缺陷、瑕疵或使用不合适的材料,甲方有权要求乙方退货，乙方须将甲方已付的所有款项退还甲方，乙方承担由此发生的一切损失和费用，包括利息、银行手续费、运费、保险费、检验费、仓储费、装卸费以及为保管、维护和退回被拒收货物所发生的其它必要费用。</w:t>
      </w:r>
      <w:r>
        <w:rPr>
          <w:rFonts w:hint="eastAsia" w:asciiTheme="minorEastAsia" w:hAnsiTheme="minorEastAsia" w:eastAsiaTheme="minorEastAsia" w:cstheme="minorEastAsia"/>
          <w:color w:val="auto"/>
          <w:sz w:val="28"/>
          <w:szCs w:val="28"/>
          <w:lang w:val="en-US" w:eastAsia="zh-CN"/>
        </w:rPr>
        <w:t>如乙方所供产品未能通过验收，导致甲方通过诉讼方式</w:t>
      </w:r>
      <w:bookmarkStart w:id="11" w:name="bookmark21"/>
      <w:bookmarkEnd w:id="11"/>
      <w:r>
        <w:rPr>
          <w:rFonts w:hint="eastAsia" w:asciiTheme="minorEastAsia" w:hAnsiTheme="minorEastAsia" w:eastAsiaTheme="minorEastAsia" w:cstheme="minorEastAsia"/>
          <w:color w:val="auto"/>
          <w:sz w:val="28"/>
          <w:szCs w:val="28"/>
          <w:lang w:val="en-US" w:eastAsia="zh-CN"/>
        </w:rPr>
        <w:t>解决争议的，乙方还需承担甲方诉讼过程中产生的有关费用包括但不限于诉讼费、保全费、律师费、差旅费等全部费用。</w:t>
      </w:r>
    </w:p>
    <w:p w14:paraId="4EB10515">
      <w:pPr>
        <w:pStyle w:val="10"/>
        <w:pageBreakBefore w:val="0"/>
        <w:widowControl w:val="0"/>
        <w:tabs>
          <w:tab w:val="left" w:pos="533"/>
        </w:tabs>
        <w:kinsoku/>
        <w:wordWrap/>
        <w:overflowPunct/>
        <w:topLinePunct w:val="0"/>
        <w:autoSpaceDE/>
        <w:autoSpaceDN/>
        <w:bidi w:val="0"/>
        <w:adjustRightInd/>
        <w:snapToGrid/>
        <w:spacing w:line="560" w:lineRule="exact"/>
        <w:ind w:left="0" w:leftChars="0"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、履约保证金</w:t>
      </w:r>
    </w:p>
    <w:p w14:paraId="0293A0EE">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14:paraId="27A5C828">
      <w:pPr>
        <w:pStyle w:val="10"/>
        <w:pageBreakBefore w:val="0"/>
        <w:widowControl w:val="0"/>
        <w:tabs>
          <w:tab w:val="left" w:pos="533"/>
        </w:tabs>
        <w:kinsoku/>
        <w:wordWrap/>
        <w:overflowPunct/>
        <w:topLinePunct w:val="0"/>
        <w:autoSpaceDE/>
        <w:autoSpaceDN/>
        <w:bidi w:val="0"/>
        <w:adjustRightInd/>
        <w:snapToGrid/>
        <w:spacing w:line="560" w:lineRule="exact"/>
        <w:ind w:left="0" w:leftChars="0" w:firstLine="562"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、争议解决条款</w:t>
      </w:r>
    </w:p>
    <w:p w14:paraId="2FDC4915">
      <w:pPr>
        <w:pStyle w:val="1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1.因</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或</w:t>
      </w:r>
      <w:r>
        <w:rPr>
          <w:rFonts w:hint="eastAsia" w:asciiTheme="minorEastAsia" w:hAnsiTheme="minorEastAsia" w:eastAsiaTheme="minorEastAsia" w:cstheme="minorEastAsia"/>
          <w:color w:val="000000" w:themeColor="text1"/>
          <w:sz w:val="28"/>
          <w:szCs w:val="28"/>
          <w14:textFill>
            <w14:solidFill>
              <w14:schemeClr w14:val="tx1"/>
            </w14:solidFill>
          </w14:textFill>
        </w:rPr>
        <w:t>履行本合同的过程中产生的争议，由甲乙双方协商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解决，协商不成</w:t>
      </w:r>
      <w:r>
        <w:rPr>
          <w:rFonts w:hint="eastAsia" w:asciiTheme="minorEastAsia" w:hAnsiTheme="minorEastAsia" w:eastAsiaTheme="minorEastAsia" w:cstheme="minorEastAsia"/>
          <w:color w:val="000000" w:themeColor="text1"/>
          <w:sz w:val="28"/>
          <w:szCs w:val="28"/>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任何一方均有权</w:t>
      </w:r>
      <w:r>
        <w:rPr>
          <w:rFonts w:hint="eastAsia" w:asciiTheme="minorEastAsia" w:hAnsiTheme="minorEastAsia" w:eastAsiaTheme="minorEastAsia" w:cstheme="minorEastAsia"/>
          <w:color w:val="000000" w:themeColor="text1"/>
          <w:sz w:val="28"/>
          <w:szCs w:val="28"/>
          <w14:textFill>
            <w14:solidFill>
              <w14:schemeClr w14:val="tx1"/>
            </w14:solidFill>
          </w14:textFill>
        </w:rPr>
        <w:t>向甲方所在地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人民法院起诉。</w:t>
      </w:r>
    </w:p>
    <w:p w14:paraId="5A92FDCB">
      <w:pPr>
        <w:pStyle w:val="10"/>
        <w:pageBreakBefore w:val="0"/>
        <w:widowControl w:val="0"/>
        <w:tabs>
          <w:tab w:val="left" w:pos="408"/>
        </w:tabs>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bookmarkStart w:id="12" w:name="bookmark25"/>
      <w:bookmarkEnd w:id="12"/>
      <w:r>
        <w:rPr>
          <w:rFonts w:hint="eastAsia" w:asciiTheme="minorEastAsia" w:hAnsiTheme="minorEastAsia" w:eastAsiaTheme="minorEastAsia" w:cstheme="minorEastAsia"/>
          <w:sz w:val="28"/>
          <w:szCs w:val="28"/>
          <w:lang w:val="en-US" w:eastAsia="en-US" w:bidi="en-US"/>
        </w:rPr>
        <w:t>2.</w:t>
      </w:r>
      <w:r>
        <w:rPr>
          <w:rFonts w:hint="eastAsia" w:asciiTheme="minorEastAsia" w:hAnsiTheme="minorEastAsia" w:eastAsiaTheme="minorEastAsia" w:cstheme="minorEastAsia"/>
          <w:sz w:val="28"/>
          <w:szCs w:val="28"/>
        </w:rPr>
        <w:t>在法院审理期间，除提交法院审理的事项</w:t>
      </w:r>
      <w:r>
        <w:rPr>
          <w:rFonts w:hint="eastAsia" w:asciiTheme="minorEastAsia" w:hAnsiTheme="minorEastAsia" w:eastAsiaTheme="minorEastAsia" w:cstheme="minorEastAsia"/>
          <w:sz w:val="28"/>
          <w:szCs w:val="28"/>
          <w:lang w:eastAsia="zh-CN"/>
        </w:rPr>
        <w:t>外</w:t>
      </w:r>
      <w:r>
        <w:rPr>
          <w:rFonts w:hint="eastAsia" w:asciiTheme="minorEastAsia" w:hAnsiTheme="minorEastAsia" w:eastAsiaTheme="minorEastAsia" w:cstheme="minorEastAsia"/>
          <w:sz w:val="28"/>
          <w:szCs w:val="28"/>
        </w:rPr>
        <w:t>，合同其他部分仍应继续履行。</w:t>
      </w:r>
    </w:p>
    <w:p w14:paraId="76B1A710">
      <w:pPr>
        <w:pStyle w:val="11"/>
        <w:keepNext/>
        <w:keepLines/>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Theme="minorEastAsia" w:hAnsiTheme="minorEastAsia" w:eastAsiaTheme="minorEastAsia" w:cstheme="minorEastAsia"/>
          <w:sz w:val="28"/>
          <w:szCs w:val="28"/>
        </w:rPr>
      </w:pPr>
      <w:bookmarkStart w:id="13" w:name="bookmark26"/>
      <w:bookmarkStart w:id="14" w:name="bookmark27"/>
      <w:bookmarkStart w:id="15" w:name="bookmark28"/>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合</w:t>
      </w:r>
      <w:r>
        <w:rPr>
          <w:rFonts w:hint="eastAsia" w:asciiTheme="minorEastAsia" w:hAnsiTheme="minorEastAsia" w:eastAsiaTheme="minorEastAsia" w:cstheme="minorEastAsia"/>
          <w:sz w:val="28"/>
          <w:szCs w:val="28"/>
        </w:rPr>
        <w:t>同生效</w:t>
      </w:r>
      <w:bookmarkEnd w:id="13"/>
      <w:bookmarkEnd w:id="14"/>
      <w:bookmarkEnd w:id="15"/>
    </w:p>
    <w:p w14:paraId="2B3E5959">
      <w:pPr>
        <w:pStyle w:val="10"/>
        <w:pageBreakBefore w:val="0"/>
        <w:widowControl w:val="0"/>
        <w:kinsoku/>
        <w:wordWrap/>
        <w:overflowPunct/>
        <w:topLinePunct w:val="0"/>
        <w:autoSpaceDE/>
        <w:autoSpaceDN/>
        <w:bidi w:val="0"/>
        <w:adjustRightInd/>
        <w:snapToGrid/>
        <w:spacing w:line="560" w:lineRule="exact"/>
        <w:ind w:firstLine="719" w:firstLineChars="257"/>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合同一式肆份，甲方执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叁</w:t>
      </w:r>
      <w:r>
        <w:rPr>
          <w:rFonts w:hint="eastAsia" w:asciiTheme="minorEastAsia" w:hAnsiTheme="minorEastAsia" w:eastAsiaTheme="minorEastAsia" w:cstheme="minorEastAsia"/>
          <w:color w:val="000000" w:themeColor="text1"/>
          <w:sz w:val="28"/>
          <w:szCs w:val="28"/>
          <w14:textFill>
            <w14:solidFill>
              <w14:schemeClr w14:val="tx1"/>
            </w14:solidFill>
          </w14:textFill>
        </w:rPr>
        <w:t>份，乙方执壹份</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4EDBB3E5">
      <w:pPr>
        <w:pStyle w:val="10"/>
        <w:pageBreakBefore w:val="0"/>
        <w:widowControl w:val="0"/>
        <w:kinsoku/>
        <w:wordWrap/>
        <w:overflowPunct/>
        <w:topLinePunct w:val="0"/>
        <w:autoSpaceDE/>
        <w:autoSpaceDN/>
        <w:bidi w:val="0"/>
        <w:adjustRightInd/>
        <w:snapToGrid/>
        <w:spacing w:line="560" w:lineRule="exact"/>
        <w:ind w:left="14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本合同经双方签字、盖章之日起生效,如有未尽事宜,可经双方协商作出补充协议，补充协议经双方授权代表签字并加盖单位公章后与本合同具有同等法律效力。</w:t>
      </w:r>
    </w:p>
    <w:p w14:paraId="0A953219">
      <w:pPr>
        <w:pStyle w:val="10"/>
        <w:pageBreakBefore w:val="0"/>
        <w:widowControl w:val="0"/>
        <w:kinsoku/>
        <w:wordWrap/>
        <w:overflowPunct/>
        <w:topLinePunct w:val="0"/>
        <w:autoSpaceDE/>
        <w:autoSpaceDN/>
        <w:bidi w:val="0"/>
        <w:adjustRightInd/>
        <w:snapToGrid/>
        <w:spacing w:after="40" w:line="560" w:lineRule="exact"/>
        <w:ind w:left="140"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所有</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投标</w:t>
      </w:r>
      <w:r>
        <w:rPr>
          <w:rFonts w:hint="eastAsia" w:asciiTheme="minorEastAsia" w:hAnsiTheme="minorEastAsia" w:eastAsiaTheme="minorEastAsia" w:cstheme="minorEastAsia"/>
          <w:sz w:val="28"/>
          <w:szCs w:val="28"/>
        </w:rPr>
        <w:t>文件、合同附件、订单及经双方确认的与本合同相关的其它书面文件均为本合同之有效组成部分。解释的顺序以文件生成时间在后的为准，其中涉及到与本合同条款不符部分，以本合同条款为准</w:t>
      </w:r>
      <w:r>
        <w:rPr>
          <w:rFonts w:hint="eastAsia" w:asciiTheme="minorEastAsia" w:hAnsiTheme="minorEastAsia" w:eastAsiaTheme="minorEastAsia" w:cstheme="minorEastAsia"/>
          <w:sz w:val="28"/>
          <w:szCs w:val="28"/>
          <w:lang w:val="en-US" w:eastAsia="zh-CN" w:bidi="en-US"/>
        </w:rPr>
        <w:t>。</w:t>
      </w:r>
    </w:p>
    <w:p w14:paraId="1D606F7D">
      <w:pPr>
        <w:pStyle w:val="1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kern w:val="2"/>
          <w:sz w:val="28"/>
          <w:szCs w:val="28"/>
          <w:lang w:val="zh-TW" w:eastAsia="zh-TW" w:bidi="zh-TW"/>
        </w:rPr>
      </w:pPr>
      <w:r>
        <w:rPr>
          <w:rFonts w:hint="eastAsia" w:asciiTheme="minorEastAsia" w:hAnsiTheme="minorEastAsia" w:eastAsiaTheme="minorEastAsia" w:cstheme="minorEastAsia"/>
          <w:b/>
          <w:bCs/>
          <w:kern w:val="2"/>
          <w:sz w:val="28"/>
          <w:szCs w:val="28"/>
          <w:lang w:val="en-US" w:eastAsia="zh-CN" w:bidi="zh-TW"/>
        </w:rPr>
        <w:t>十二</w:t>
      </w:r>
      <w:r>
        <w:rPr>
          <w:rFonts w:hint="eastAsia" w:asciiTheme="minorEastAsia" w:hAnsiTheme="minorEastAsia" w:eastAsiaTheme="minorEastAsia" w:cstheme="minorEastAsia"/>
          <w:b/>
          <w:bCs/>
          <w:kern w:val="2"/>
          <w:sz w:val="28"/>
          <w:szCs w:val="28"/>
          <w:lang w:val="zh-TW" w:eastAsia="zh-TW" w:bidi="zh-TW"/>
        </w:rPr>
        <w:t>、通知</w:t>
      </w:r>
    </w:p>
    <w:p w14:paraId="539E76AE">
      <w:pPr>
        <w:pStyle w:val="10"/>
        <w:pageBreakBefore w:val="0"/>
        <w:widowControl w:val="0"/>
        <w:kinsoku/>
        <w:wordWrap/>
        <w:overflowPunct/>
        <w:topLinePunct w:val="0"/>
        <w:autoSpaceDE/>
        <w:autoSpaceDN/>
        <w:bidi w:val="0"/>
        <w:adjustRightInd/>
        <w:snapToGrid/>
        <w:spacing w:line="560" w:lineRule="exact"/>
        <w:ind w:left="14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本合同一方给对方的通知应用书面形式或邮件或传真送到规定的对方的地址。邮件或传真要经书面确认。通知以送到日期或通知书的生效日期为生效日期，并以两者中后一个日期为准。</w:t>
      </w:r>
    </w:p>
    <w:p w14:paraId="4A846B93">
      <w:pPr>
        <w:pStyle w:val="1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、保密</w:t>
      </w:r>
    </w:p>
    <w:p w14:paraId="1983E0D9">
      <w:pPr>
        <w:pStyle w:val="10"/>
        <w:pageBreakBefore w:val="0"/>
        <w:widowControl w:val="0"/>
        <w:kinsoku/>
        <w:wordWrap/>
        <w:overflowPunct/>
        <w:topLinePunct w:val="0"/>
        <w:autoSpaceDE/>
        <w:autoSpaceDN/>
        <w:bidi w:val="0"/>
        <w:adjustRightInd/>
        <w:snapToGrid/>
        <w:spacing w:line="560" w:lineRule="exact"/>
        <w:ind w:left="140"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在合同执行过程中，</w:t>
      </w:r>
      <w:r>
        <w:rPr>
          <w:rFonts w:hint="eastAsia" w:asciiTheme="minorEastAsia" w:hAnsiTheme="minorEastAsia" w:eastAsiaTheme="minorEastAsia" w:cstheme="minorEastAsia"/>
          <w:sz w:val="28"/>
          <w:szCs w:val="28"/>
          <w:highlight w:val="none"/>
          <w:lang w:val="en-US" w:eastAsia="zh-CN"/>
        </w:rPr>
        <w:t>任何一方从另一方</w:t>
      </w:r>
      <w:r>
        <w:rPr>
          <w:rFonts w:hint="eastAsia" w:asciiTheme="minorEastAsia" w:hAnsiTheme="minorEastAsia" w:eastAsiaTheme="minorEastAsia" w:cstheme="minorEastAsia"/>
          <w:sz w:val="28"/>
          <w:szCs w:val="28"/>
          <w:highlight w:val="none"/>
        </w:rPr>
        <w:t>获得的与本项目有关或因合作产生的任何商业、营销、运营数据或其他性质的资料，无论以何种形式或载于何种载体,无论在披露时是否以口头、图像或以书面方式均具有保密性,</w:t>
      </w:r>
      <w:r>
        <w:rPr>
          <w:rFonts w:hint="eastAsia" w:asciiTheme="minorEastAsia" w:hAnsiTheme="minorEastAsia" w:eastAsiaTheme="minorEastAsia" w:cstheme="minorEastAsia"/>
          <w:sz w:val="28"/>
          <w:szCs w:val="28"/>
          <w:highlight w:val="none"/>
          <w:lang w:val="en-US" w:eastAsia="zh-CN"/>
        </w:rPr>
        <w:t>任何一方对另一方</w:t>
      </w:r>
      <w:r>
        <w:rPr>
          <w:rFonts w:hint="eastAsia" w:asciiTheme="minorEastAsia" w:hAnsiTheme="minorEastAsia" w:eastAsiaTheme="minorEastAsia" w:cstheme="minorEastAsia"/>
          <w:sz w:val="28"/>
          <w:szCs w:val="28"/>
          <w:highlight w:val="none"/>
        </w:rPr>
        <w:t>所提供的保密信息予以保密。</w:t>
      </w:r>
      <w:r>
        <w:rPr>
          <w:rFonts w:hint="eastAsia" w:asciiTheme="minorEastAsia" w:hAnsiTheme="minorEastAsia" w:eastAsiaTheme="minorEastAsia" w:cstheme="minorEastAsia"/>
          <w:sz w:val="28"/>
          <w:szCs w:val="28"/>
          <w:highlight w:val="none"/>
          <w:lang w:val="en-US" w:eastAsia="zh-CN"/>
        </w:rPr>
        <w:t>任何一方</w:t>
      </w:r>
      <w:r>
        <w:rPr>
          <w:rFonts w:hint="eastAsia" w:asciiTheme="minorEastAsia" w:hAnsiTheme="minorEastAsia" w:eastAsiaTheme="minorEastAsia" w:cstheme="minorEastAsia"/>
          <w:sz w:val="28"/>
          <w:szCs w:val="28"/>
          <w:highlight w:val="none"/>
        </w:rPr>
        <w:t>如未履行上述条款将被视为违约，</w:t>
      </w:r>
      <w:r>
        <w:rPr>
          <w:rFonts w:hint="eastAsia" w:asciiTheme="minorEastAsia" w:hAnsiTheme="minorEastAsia" w:eastAsiaTheme="minorEastAsia" w:cstheme="minorEastAsia"/>
          <w:sz w:val="28"/>
          <w:szCs w:val="28"/>
          <w:highlight w:val="none"/>
          <w:lang w:val="en-US" w:eastAsia="zh-CN"/>
        </w:rPr>
        <w:t>另一方</w:t>
      </w:r>
      <w:r>
        <w:rPr>
          <w:rFonts w:hint="eastAsia" w:asciiTheme="minorEastAsia" w:hAnsiTheme="minorEastAsia" w:eastAsiaTheme="minorEastAsia" w:cstheme="minorEastAsia"/>
          <w:sz w:val="28"/>
          <w:szCs w:val="28"/>
          <w:highlight w:val="none"/>
        </w:rPr>
        <w:t>有权终止合同，并可按照相关法律追究</w:t>
      </w:r>
      <w:r>
        <w:rPr>
          <w:rFonts w:hint="eastAsia" w:asciiTheme="minorEastAsia" w:hAnsiTheme="minorEastAsia" w:eastAsiaTheme="minorEastAsia" w:cstheme="minorEastAsia"/>
          <w:sz w:val="28"/>
          <w:szCs w:val="28"/>
          <w:highlight w:val="none"/>
          <w:lang w:val="en-US" w:eastAsia="zh-CN"/>
        </w:rPr>
        <w:t>违约方</w:t>
      </w:r>
      <w:r>
        <w:rPr>
          <w:rFonts w:hint="eastAsia" w:asciiTheme="minorEastAsia" w:hAnsiTheme="minorEastAsia" w:eastAsiaTheme="minorEastAsia" w:cstheme="minorEastAsia"/>
          <w:sz w:val="28"/>
          <w:szCs w:val="28"/>
          <w:highlight w:val="none"/>
        </w:rPr>
        <w:t>责任。合同范围内</w:t>
      </w:r>
      <w:r>
        <w:rPr>
          <w:rFonts w:hint="eastAsia" w:asciiTheme="minorEastAsia" w:hAnsiTheme="minorEastAsia" w:eastAsiaTheme="minorEastAsia" w:cstheme="minorEastAsia"/>
          <w:sz w:val="28"/>
          <w:szCs w:val="28"/>
        </w:rPr>
        <w:t>如涉及国家机密的，按照《中华人民共和国保守国家秘密法》执行，受中华人民共和国的法律管辖并按照中国的法律进行解释及处理</w:t>
      </w:r>
      <w:r>
        <w:rPr>
          <w:rFonts w:hint="eastAsia" w:asciiTheme="minorEastAsia" w:hAnsiTheme="minorEastAsia" w:eastAsiaTheme="minorEastAsia" w:cstheme="minorEastAsia"/>
          <w:sz w:val="28"/>
          <w:szCs w:val="28"/>
          <w:lang w:eastAsia="zh-CN"/>
        </w:rPr>
        <w:t>。</w:t>
      </w:r>
    </w:p>
    <w:p w14:paraId="22915E7A">
      <w:pPr>
        <w:pStyle w:val="10"/>
        <w:spacing w:line="440" w:lineRule="exact"/>
        <w:ind w:firstLine="140" w:firstLineChars="5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以下无正文）</w:t>
      </w:r>
    </w:p>
    <w:p w14:paraId="6C6A28D0">
      <w:pPr>
        <w:pStyle w:val="10"/>
        <w:spacing w:line="440" w:lineRule="exact"/>
        <w:jc w:val="both"/>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签署页：</w:t>
      </w:r>
    </w:p>
    <w:p w14:paraId="7339DC8D">
      <w:pPr>
        <w:pStyle w:val="10"/>
        <w:spacing w:line="440" w:lineRule="exact"/>
        <w:jc w:val="both"/>
        <w:rPr>
          <w:rFonts w:hint="eastAsia" w:asciiTheme="minorEastAsia" w:hAnsiTheme="minorEastAsia" w:eastAsiaTheme="minorEastAsia" w:cstheme="minorEastAsia"/>
          <w:b/>
          <w:sz w:val="24"/>
          <w:szCs w:val="24"/>
          <w:lang w:eastAsia="zh-CN"/>
        </w:rPr>
      </w:pPr>
    </w:p>
    <w:p w14:paraId="52FB6228">
      <w:pPr>
        <w:pStyle w:val="10"/>
        <w:spacing w:line="440" w:lineRule="exact"/>
        <w:jc w:val="both"/>
        <w:rPr>
          <w:rFonts w:hint="eastAsia" w:asciiTheme="minorEastAsia" w:hAnsiTheme="minorEastAsia" w:eastAsiaTheme="minorEastAsia" w:cstheme="minorEastAsia"/>
          <w:b/>
          <w:sz w:val="24"/>
          <w:szCs w:val="24"/>
          <w:lang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5"/>
        <w:gridCol w:w="4655"/>
      </w:tblGrid>
      <w:tr w14:paraId="195D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55" w:type="dxa"/>
          </w:tcPr>
          <w:p w14:paraId="45F1E2E0">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甲方（盖章）：</w:t>
            </w:r>
          </w:p>
        </w:tc>
        <w:tc>
          <w:tcPr>
            <w:tcW w:w="4655" w:type="dxa"/>
          </w:tcPr>
          <w:p w14:paraId="513195B2">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乙方（盖章）：</w:t>
            </w:r>
          </w:p>
        </w:tc>
      </w:tr>
      <w:tr w14:paraId="675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4655" w:type="dxa"/>
          </w:tcPr>
          <w:p w14:paraId="7BAAED9F">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采购方项目负责人及经办人：</w:t>
            </w:r>
          </w:p>
        </w:tc>
        <w:tc>
          <w:tcPr>
            <w:tcW w:w="4655" w:type="dxa"/>
          </w:tcPr>
          <w:p w14:paraId="68B14990">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供应商法人代表：</w:t>
            </w:r>
          </w:p>
        </w:tc>
      </w:tr>
      <w:tr w14:paraId="6647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5" w:type="dxa"/>
          </w:tcPr>
          <w:p w14:paraId="01DA8073">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开户银行：</w:t>
            </w:r>
          </w:p>
        </w:tc>
        <w:tc>
          <w:tcPr>
            <w:tcW w:w="4655" w:type="dxa"/>
          </w:tcPr>
          <w:p w14:paraId="54CCA037">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rPr>
              <w:t>开户银行</w:t>
            </w:r>
            <w:r>
              <w:rPr>
                <w:rFonts w:hint="eastAsia" w:asciiTheme="minorEastAsia" w:hAnsiTheme="minorEastAsia" w:eastAsiaTheme="minorEastAsia" w:cstheme="minorEastAsia"/>
                <w:b/>
                <w:sz w:val="24"/>
                <w:szCs w:val="24"/>
                <w:lang w:eastAsia="zh-CN"/>
              </w:rPr>
              <w:t>：中国银行鄂尔多斯市鄂尔多斯西街支行</w:t>
            </w:r>
          </w:p>
        </w:tc>
      </w:tr>
      <w:tr w14:paraId="297D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655" w:type="dxa"/>
          </w:tcPr>
          <w:p w14:paraId="278AD9A3">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银行账号：</w:t>
            </w:r>
            <w:bookmarkStart w:id="16" w:name="_GoBack"/>
            <w:bookmarkEnd w:id="16"/>
          </w:p>
        </w:tc>
        <w:tc>
          <w:tcPr>
            <w:tcW w:w="4655" w:type="dxa"/>
          </w:tcPr>
          <w:p w14:paraId="50EAF453">
            <w:pPr>
              <w:pStyle w:val="10"/>
              <w:spacing w:line="440" w:lineRule="exact"/>
              <w:ind w:left="0" w:leftChars="0"/>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rPr>
              <w:t>银行账号</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bCs/>
                <w:spacing w:val="20"/>
                <w:sz w:val="24"/>
                <w:szCs w:val="24"/>
                <w:highlight w:val="none"/>
                <w:lang w:val="en-US" w:eastAsia="zh-CN"/>
              </w:rPr>
              <w:t>154073566979</w:t>
            </w:r>
          </w:p>
        </w:tc>
      </w:tr>
      <w:tr w14:paraId="7FC2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55" w:type="dxa"/>
          </w:tcPr>
          <w:p w14:paraId="008C8404">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纳税人识别号：</w:t>
            </w:r>
          </w:p>
        </w:tc>
        <w:tc>
          <w:tcPr>
            <w:tcW w:w="4655" w:type="dxa"/>
          </w:tcPr>
          <w:p w14:paraId="6C623224">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rPr>
              <w:t>纳税人识别号</w:t>
            </w:r>
            <w:r>
              <w:rPr>
                <w:rFonts w:hint="eastAsia" w:asciiTheme="minorEastAsia" w:hAnsiTheme="minorEastAsia" w:eastAsiaTheme="minorEastAsia" w:cstheme="minorEastAsia"/>
                <w:b/>
                <w:sz w:val="24"/>
                <w:szCs w:val="24"/>
                <w:lang w:eastAsia="zh-CN"/>
              </w:rPr>
              <w:t xml:space="preserve">：91150602MA0NLHXQ1W </w:t>
            </w:r>
          </w:p>
        </w:tc>
      </w:tr>
      <w:tr w14:paraId="12B9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4655" w:type="dxa"/>
          </w:tcPr>
          <w:p w14:paraId="1E2DA80A">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地址：</w:t>
            </w:r>
          </w:p>
        </w:tc>
        <w:tc>
          <w:tcPr>
            <w:tcW w:w="4655" w:type="dxa"/>
          </w:tcPr>
          <w:p w14:paraId="1C6CFDBD">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地址：内蒙古自治区鄂尔多斯市东胜区天骄南路5号街坊横东大厦18楼1803室</w:t>
            </w:r>
          </w:p>
        </w:tc>
      </w:tr>
      <w:tr w14:paraId="74A0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5" w:type="dxa"/>
          </w:tcPr>
          <w:p w14:paraId="3858D0A9">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日期：</w:t>
            </w:r>
          </w:p>
        </w:tc>
        <w:tc>
          <w:tcPr>
            <w:tcW w:w="4655" w:type="dxa"/>
          </w:tcPr>
          <w:p w14:paraId="366BE01D">
            <w:pPr>
              <w:pStyle w:val="10"/>
              <w:spacing w:line="440" w:lineRule="exact"/>
              <w:jc w:val="both"/>
              <w:rPr>
                <w:rFonts w:hint="eastAsia" w:asciiTheme="minorEastAsia" w:hAnsiTheme="minorEastAsia" w:eastAsiaTheme="minorEastAsia" w:cstheme="minorEastAsia"/>
                <w:b/>
                <w:sz w:val="24"/>
                <w:szCs w:val="24"/>
                <w:vertAlign w:val="baseline"/>
                <w:lang w:eastAsia="zh-CN"/>
              </w:rPr>
            </w:pPr>
            <w:r>
              <w:rPr>
                <w:rFonts w:hint="eastAsia" w:asciiTheme="minorEastAsia" w:hAnsiTheme="minorEastAsia" w:eastAsiaTheme="minorEastAsia" w:cstheme="minorEastAsia"/>
                <w:b/>
                <w:sz w:val="24"/>
                <w:szCs w:val="24"/>
                <w:lang w:eastAsia="zh-CN"/>
              </w:rPr>
              <w:t>日期：</w:t>
            </w:r>
          </w:p>
        </w:tc>
      </w:tr>
    </w:tbl>
    <w:p w14:paraId="69863A19">
      <w:pPr>
        <w:pStyle w:val="10"/>
        <w:spacing w:line="440" w:lineRule="exact"/>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                       </w:t>
      </w:r>
    </w:p>
    <w:p w14:paraId="6D2F0F14">
      <w:pPr>
        <w:pStyle w:val="10"/>
        <w:spacing w:line="440" w:lineRule="exact"/>
        <w:ind w:firstLineChars="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p>
    <w:p w14:paraId="5CC59482">
      <w:pPr>
        <w:pStyle w:val="10"/>
        <w:spacing w:line="440" w:lineRule="exact"/>
        <w:ind w:left="5341" w:hanging="4578" w:hangingChars="19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 xml:space="preserve"> </w:t>
      </w:r>
      <w:r>
        <w:rPr>
          <w:rFonts w:hint="eastAsia" w:asciiTheme="minorEastAsia" w:hAnsiTheme="minorEastAsia" w:eastAsiaTheme="minorEastAsia" w:cstheme="minorEastAsia"/>
          <w:b/>
          <w:sz w:val="24"/>
          <w:szCs w:val="24"/>
          <w:lang w:val="en-US" w:eastAsia="zh-CN"/>
        </w:rPr>
        <w:t xml:space="preserve">   </w:t>
      </w:r>
    </w:p>
    <w:p w14:paraId="2C3D8FF6">
      <w:pPr>
        <w:pStyle w:val="10"/>
        <w:spacing w:line="440" w:lineRule="exact"/>
        <w:ind w:firstLine="120" w:firstLineChars="50"/>
        <w:jc w:val="both"/>
        <w:rPr>
          <w:rFonts w:hint="eastAsia" w:asciiTheme="minorEastAsia" w:hAnsiTheme="minorEastAsia" w:eastAsiaTheme="minorEastAsia" w:cstheme="minorEastAsia"/>
          <w:b/>
          <w:sz w:val="24"/>
          <w:szCs w:val="24"/>
          <w:lang w:eastAsia="zh-CN"/>
        </w:rPr>
      </w:pPr>
    </w:p>
    <w:p w14:paraId="188127C9">
      <w:pPr>
        <w:pStyle w:val="10"/>
        <w:spacing w:line="440" w:lineRule="exact"/>
        <w:ind w:firstLine="120" w:firstLineChars="50"/>
        <w:jc w:val="both"/>
        <w:rPr>
          <w:rFonts w:hint="eastAsia" w:asciiTheme="minorEastAsia" w:hAnsiTheme="minorEastAsia" w:eastAsiaTheme="minorEastAsia" w:cstheme="minorEastAsia"/>
          <w:b/>
          <w:sz w:val="24"/>
          <w:szCs w:val="24"/>
          <w:lang w:eastAsia="zh-CN"/>
        </w:rPr>
      </w:pPr>
    </w:p>
    <w:p w14:paraId="019BB9BD">
      <w:pPr>
        <w:pStyle w:val="10"/>
        <w:spacing w:line="44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 xml:space="preserve">                                            </w:t>
      </w:r>
    </w:p>
    <w:p w14:paraId="4B1E2695">
      <w:pPr>
        <w:pStyle w:val="10"/>
        <w:wordWrap w:val="0"/>
        <w:spacing w:line="440" w:lineRule="exact"/>
        <w:jc w:val="righ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  </w:t>
      </w:r>
    </w:p>
    <w:p w14:paraId="4778B0C4">
      <w:pPr>
        <w:pStyle w:val="10"/>
        <w:spacing w:line="440" w:lineRule="exact"/>
        <w:ind w:left="0" w:lef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14:paraId="03694FC9">
      <w:pPr>
        <w:pStyle w:val="10"/>
        <w:spacing w:line="4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14:paraId="10C6049B">
      <w:pPr>
        <w:pStyle w:val="10"/>
        <w:spacing w:line="440" w:lineRule="exact"/>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0B600781">
      <w:pPr>
        <w:pStyle w:val="10"/>
        <w:spacing w:line="440" w:lineRule="exact"/>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p>
    <w:p w14:paraId="1545FDCD">
      <w:pPr>
        <w:pStyle w:val="10"/>
        <w:spacing w:line="440" w:lineRule="exact"/>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                                </w:t>
      </w:r>
    </w:p>
    <w:p w14:paraId="710A86F9">
      <w:pPr>
        <w:pStyle w:val="10"/>
        <w:spacing w:line="440" w:lineRule="exact"/>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31202B32">
      <w:pP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8"/>
          <w:szCs w:val="28"/>
          <w:lang w:eastAsia="zh-CN"/>
        </w:rPr>
        <w:t xml:space="preserve">   </w:t>
      </w:r>
    </w:p>
    <w:p w14:paraId="2DC20F9B">
      <w:pPr>
        <w:jc w:val="center"/>
        <w:rPr>
          <w:rFonts w:hint="eastAsia" w:asciiTheme="minorEastAsia" w:hAnsiTheme="minorEastAsia" w:eastAsiaTheme="minorEastAsia" w:cstheme="minorEastAsia"/>
          <w:b/>
          <w:sz w:val="28"/>
          <w:szCs w:val="28"/>
          <w:highlight w:val="yellow"/>
          <w:lang w:val="en-US" w:eastAsia="zh-CN"/>
        </w:rPr>
      </w:pPr>
      <w:r>
        <w:rPr>
          <w:rFonts w:hint="eastAsia" w:asciiTheme="minorEastAsia" w:hAnsiTheme="minorEastAsia" w:eastAsiaTheme="minorEastAsia" w:cstheme="minorEastAsia"/>
          <w:b/>
          <w:sz w:val="28"/>
          <w:szCs w:val="28"/>
          <w:highlight w:val="none"/>
          <w:lang w:val="en-US" w:eastAsia="zh-CN"/>
        </w:rPr>
        <w:t>货物清单</w:t>
      </w:r>
    </w:p>
    <w:tbl>
      <w:tblPr>
        <w:tblStyle w:val="12"/>
        <w:tblpPr w:leftFromText="180" w:rightFromText="180" w:vertAnchor="text" w:horzAnchor="page" w:tblpX="1082" w:tblpY="626"/>
        <w:tblOverlap w:val="never"/>
        <w:tblW w:w="10074"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600"/>
        <w:gridCol w:w="1880"/>
        <w:gridCol w:w="1256"/>
        <w:gridCol w:w="810"/>
        <w:gridCol w:w="657"/>
        <w:gridCol w:w="1432"/>
        <w:gridCol w:w="1446"/>
        <w:gridCol w:w="620"/>
        <w:gridCol w:w="1373"/>
      </w:tblGrid>
      <w:tr w14:paraId="1396CA8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trPr>
        <w:tc>
          <w:tcPr>
            <w:tcW w:w="600" w:type="dxa"/>
            <w:tcBorders>
              <w:top w:val="single" w:color="2C2C2C" w:sz="4" w:space="0"/>
              <w:left w:val="single" w:color="2C2C2C" w:sz="8" w:space="0"/>
              <w:bottom w:val="single" w:color="2C2C2C" w:sz="8" w:space="0"/>
              <w:right w:val="single" w:color="2C2C2C" w:sz="8" w:space="0"/>
            </w:tcBorders>
            <w:vAlign w:val="center"/>
          </w:tcPr>
          <w:p w14:paraId="021FE3DA">
            <w:pPr>
              <w:spacing w:before="195" w:line="23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序号</w:t>
            </w:r>
          </w:p>
        </w:tc>
        <w:tc>
          <w:tcPr>
            <w:tcW w:w="1880" w:type="dxa"/>
            <w:tcBorders>
              <w:top w:val="single" w:color="2C2C2C" w:sz="4" w:space="0"/>
              <w:left w:val="single" w:color="2C2C2C" w:sz="8" w:space="0"/>
              <w:bottom w:val="single" w:color="2C2C2C" w:sz="8" w:space="0"/>
              <w:right w:val="single" w:color="2C2C2C" w:sz="8" w:space="0"/>
            </w:tcBorders>
            <w:vAlign w:val="center"/>
          </w:tcPr>
          <w:p w14:paraId="04D31F7A">
            <w:pPr>
              <w:spacing w:before="195" w:line="228" w:lineRule="auto"/>
              <w:ind w:left="31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货物名称</w:t>
            </w:r>
          </w:p>
        </w:tc>
        <w:tc>
          <w:tcPr>
            <w:tcW w:w="1256" w:type="dxa"/>
            <w:tcBorders>
              <w:top w:val="single" w:color="808080" w:sz="8" w:space="0"/>
            </w:tcBorders>
            <w:vAlign w:val="center"/>
          </w:tcPr>
          <w:p w14:paraId="2DABA891">
            <w:pPr>
              <w:spacing w:before="195" w:line="22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规格型号</w:t>
            </w:r>
          </w:p>
        </w:tc>
        <w:tc>
          <w:tcPr>
            <w:tcW w:w="810" w:type="dxa"/>
            <w:tcBorders>
              <w:top w:val="single" w:color="808080" w:sz="8" w:space="0"/>
            </w:tcBorders>
            <w:vAlign w:val="center"/>
          </w:tcPr>
          <w:p w14:paraId="28D89BC6">
            <w:pPr>
              <w:spacing w:before="195" w:line="229" w:lineRule="auto"/>
              <w:ind w:left="17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品牌</w:t>
            </w:r>
          </w:p>
        </w:tc>
        <w:tc>
          <w:tcPr>
            <w:tcW w:w="657" w:type="dxa"/>
            <w:tcBorders>
              <w:top w:val="single" w:color="808080" w:sz="8" w:space="0"/>
            </w:tcBorders>
            <w:vAlign w:val="center"/>
          </w:tcPr>
          <w:p w14:paraId="3DFC454C">
            <w:pPr>
              <w:spacing w:before="195" w:line="22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产地</w:t>
            </w:r>
          </w:p>
        </w:tc>
        <w:tc>
          <w:tcPr>
            <w:tcW w:w="1432" w:type="dxa"/>
            <w:tcBorders>
              <w:top w:val="single" w:color="808080" w:sz="8" w:space="0"/>
            </w:tcBorders>
            <w:vAlign w:val="center"/>
          </w:tcPr>
          <w:p w14:paraId="6180C391">
            <w:pPr>
              <w:spacing w:before="196" w:line="22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制造商名称</w:t>
            </w:r>
          </w:p>
        </w:tc>
        <w:tc>
          <w:tcPr>
            <w:tcW w:w="1446" w:type="dxa"/>
            <w:tcBorders>
              <w:top w:val="single" w:color="808080" w:sz="8" w:space="0"/>
            </w:tcBorders>
            <w:vAlign w:val="center"/>
          </w:tcPr>
          <w:p w14:paraId="25009C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620" w:type="dxa"/>
            <w:tcBorders>
              <w:top w:val="single" w:color="808080" w:sz="8" w:space="0"/>
            </w:tcBorders>
            <w:vAlign w:val="center"/>
          </w:tcPr>
          <w:p w14:paraId="65EDE128">
            <w:pPr>
              <w:spacing w:before="195" w:line="22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1373" w:type="dxa"/>
            <w:tcBorders>
              <w:top w:val="single" w:color="808080" w:sz="8" w:space="0"/>
              <w:right w:val="single" w:color="808080" w:sz="8" w:space="0"/>
            </w:tcBorders>
            <w:vAlign w:val="center"/>
          </w:tcPr>
          <w:p w14:paraId="4880A23A">
            <w:pPr>
              <w:spacing w:before="195" w:line="227" w:lineRule="auto"/>
              <w:ind w:left="18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总价</w:t>
            </w:r>
          </w:p>
        </w:tc>
      </w:tr>
      <w:tr w14:paraId="0CBC91B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trPr>
        <w:tc>
          <w:tcPr>
            <w:tcW w:w="600" w:type="dxa"/>
            <w:tcBorders>
              <w:top w:val="single" w:color="2C2C2C" w:sz="8" w:space="0"/>
              <w:left w:val="single" w:color="2C2C2C" w:sz="8" w:space="0"/>
              <w:bottom w:val="single" w:color="2C2C2C" w:sz="8" w:space="0"/>
              <w:right w:val="single" w:color="2C2C2C" w:sz="8" w:space="0"/>
            </w:tcBorders>
            <w:vAlign w:val="center"/>
          </w:tcPr>
          <w:p w14:paraId="31835BA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880" w:type="dxa"/>
            <w:tcBorders>
              <w:top w:val="single" w:color="2C2C2C" w:sz="8" w:space="0"/>
              <w:left w:val="single" w:color="2C2C2C" w:sz="8" w:space="0"/>
              <w:bottom w:val="single" w:color="2C2C2C" w:sz="8" w:space="0"/>
              <w:right w:val="single" w:color="2C2C2C" w:sz="8" w:space="0"/>
            </w:tcBorders>
            <w:shd w:val="clear" w:color="auto" w:fill="auto"/>
            <w:vAlign w:val="center"/>
          </w:tcPr>
          <w:p w14:paraId="7913A2A2">
            <w:pPr>
              <w:pStyle w:val="13"/>
              <w:spacing w:before="62" w:line="221" w:lineRule="auto"/>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整套车载式充电桩检定装置</w:t>
            </w:r>
          </w:p>
        </w:tc>
        <w:tc>
          <w:tcPr>
            <w:tcW w:w="1256" w:type="dxa"/>
            <w:vAlign w:val="center"/>
          </w:tcPr>
          <w:p w14:paraId="49D2E3A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TK408B</w:t>
            </w:r>
          </w:p>
        </w:tc>
        <w:tc>
          <w:tcPr>
            <w:tcW w:w="810" w:type="dxa"/>
            <w:vAlign w:val="center"/>
          </w:tcPr>
          <w:p w14:paraId="4A6B610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tunkia</w:t>
            </w:r>
          </w:p>
        </w:tc>
        <w:tc>
          <w:tcPr>
            <w:tcW w:w="657" w:type="dxa"/>
            <w:vAlign w:val="center"/>
          </w:tcPr>
          <w:p w14:paraId="42C1A0D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湖南</w:t>
            </w:r>
          </w:p>
        </w:tc>
        <w:tc>
          <w:tcPr>
            <w:tcW w:w="1432" w:type="dxa"/>
            <w:vAlign w:val="center"/>
          </w:tcPr>
          <w:p w14:paraId="0B4642B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长沙天恒测控股份有限公司</w:t>
            </w:r>
          </w:p>
        </w:tc>
        <w:tc>
          <w:tcPr>
            <w:tcW w:w="1446" w:type="dxa"/>
            <w:shd w:val="clear" w:color="auto" w:fill="auto"/>
            <w:vAlign w:val="center"/>
          </w:tcPr>
          <w:p w14:paraId="1797D6A5">
            <w:pPr>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cstheme="minorEastAsia"/>
                <w:sz w:val="24"/>
                <w:szCs w:val="24"/>
                <w:lang w:val="en-US" w:eastAsia="zh-CN"/>
              </w:rPr>
              <w:t>1358000</w:t>
            </w:r>
            <w:r>
              <w:rPr>
                <w:rFonts w:hint="eastAsia" w:asciiTheme="minorEastAsia" w:hAnsiTheme="minorEastAsia" w:eastAsiaTheme="minorEastAsia" w:cstheme="minorEastAsia"/>
                <w:sz w:val="24"/>
                <w:szCs w:val="24"/>
              </w:rPr>
              <w:t>.00</w:t>
            </w:r>
          </w:p>
        </w:tc>
        <w:tc>
          <w:tcPr>
            <w:tcW w:w="620" w:type="dxa"/>
            <w:shd w:val="clear" w:color="auto" w:fill="auto"/>
            <w:vAlign w:val="center"/>
          </w:tcPr>
          <w:p w14:paraId="673EDC71">
            <w:pPr>
              <w:spacing w:before="107" w:line="186" w:lineRule="auto"/>
              <w:ind w:left="13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0"/>
                <w:sz w:val="24"/>
                <w:szCs w:val="24"/>
              </w:rPr>
              <w:t>1</w:t>
            </w:r>
            <w:r>
              <w:rPr>
                <w:rFonts w:hint="eastAsia" w:asciiTheme="minorEastAsia" w:hAnsiTheme="minorEastAsia" w:cstheme="minorEastAsia"/>
                <w:spacing w:val="-10"/>
                <w:sz w:val="24"/>
                <w:szCs w:val="24"/>
                <w:lang w:val="en-US" w:eastAsia="zh-CN"/>
              </w:rPr>
              <w:t>套</w:t>
            </w:r>
          </w:p>
        </w:tc>
        <w:tc>
          <w:tcPr>
            <w:tcW w:w="1373" w:type="dxa"/>
            <w:tcBorders>
              <w:right w:val="single" w:color="808080" w:sz="8" w:space="0"/>
            </w:tcBorders>
            <w:shd w:val="clear" w:color="auto" w:fill="auto"/>
            <w:vAlign w:val="center"/>
          </w:tcPr>
          <w:p w14:paraId="73742ADA">
            <w:pPr>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cstheme="minorEastAsia"/>
                <w:sz w:val="24"/>
                <w:szCs w:val="24"/>
                <w:lang w:val="en-US" w:eastAsia="zh-CN"/>
              </w:rPr>
              <w:t>1358</w:t>
            </w:r>
            <w:r>
              <w:rPr>
                <w:rFonts w:hint="eastAsia" w:asciiTheme="minorEastAsia" w:hAnsiTheme="minorEastAsia" w:eastAsiaTheme="minorEastAsia" w:cstheme="minorEastAsia"/>
                <w:sz w:val="24"/>
                <w:szCs w:val="24"/>
              </w:rPr>
              <w:t>000.00</w:t>
            </w:r>
          </w:p>
        </w:tc>
      </w:tr>
    </w:tbl>
    <w:p w14:paraId="23CCAE28">
      <w:pPr>
        <w:rPr>
          <w:rFonts w:hint="eastAsia" w:asciiTheme="minorEastAsia" w:hAnsiTheme="minorEastAsia" w:eastAsiaTheme="minorEastAsia" w:cstheme="minorEastAsia"/>
          <w:b/>
          <w:sz w:val="28"/>
          <w:szCs w:val="28"/>
          <w:lang w:eastAsia="zh-CN"/>
        </w:rPr>
      </w:pPr>
    </w:p>
    <w:p w14:paraId="3146347B">
      <w:pPr>
        <w:rPr>
          <w:rFonts w:hint="eastAsia" w:asciiTheme="minorEastAsia" w:hAnsiTheme="minorEastAsia" w:eastAsiaTheme="minorEastAsia" w:cstheme="minorEastAsia"/>
          <w:b/>
          <w:sz w:val="28"/>
          <w:szCs w:val="28"/>
          <w:lang w:eastAsia="zh-CN"/>
        </w:rPr>
      </w:pPr>
    </w:p>
    <w:p w14:paraId="20A78DA9">
      <w:pPr>
        <w:rPr>
          <w:rFonts w:hint="eastAsia" w:asciiTheme="minorEastAsia" w:hAnsiTheme="minorEastAsia" w:eastAsiaTheme="minorEastAsia" w:cstheme="minorEastAsia"/>
          <w:b/>
          <w:sz w:val="28"/>
          <w:szCs w:val="28"/>
          <w:lang w:eastAsia="zh-CN"/>
        </w:rPr>
      </w:pPr>
    </w:p>
    <w:p w14:paraId="1531BFE1">
      <w:pP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br w:type="page"/>
      </w:r>
    </w:p>
    <w:p w14:paraId="69B6B419">
      <w:p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中标通知书</w:t>
      </w:r>
    </w:p>
    <w:p w14:paraId="4D437F2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drawing>
          <wp:inline distT="0" distB="0" distL="114300" distR="114300">
            <wp:extent cx="5772785" cy="8168640"/>
            <wp:effectExtent l="0" t="0" r="18415" b="3810"/>
            <wp:docPr id="1" name="图片 1" descr="内蒙古自治区政府采购云平台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蒙古自治区政府采购云平台_01"/>
                    <pic:cNvPicPr>
                      <a:picLocks noChangeAspect="1"/>
                    </pic:cNvPicPr>
                  </pic:nvPicPr>
                  <pic:blipFill>
                    <a:blip r:embed="rId5"/>
                    <a:stretch>
                      <a:fillRect/>
                    </a:stretch>
                  </pic:blipFill>
                  <pic:spPr>
                    <a:xfrm>
                      <a:off x="0" y="0"/>
                      <a:ext cx="5772785" cy="8168640"/>
                    </a:xfrm>
                    <a:prstGeom prst="rect">
                      <a:avLst/>
                    </a:prstGeom>
                  </pic:spPr>
                </pic:pic>
              </a:graphicData>
            </a:graphic>
          </wp:inline>
        </w:drawing>
      </w:r>
    </w:p>
    <w:sectPr>
      <w:footerReference r:id="rId3" w:type="default"/>
      <w:pgSz w:w="11906" w:h="16838"/>
      <w:pgMar w:top="1440" w:right="1406" w:bottom="1440"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B7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502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4502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3468340-3a81-40a1-9b0d-b7e7fdbfb69c"/>
  </w:docVars>
  <w:rsids>
    <w:rsidRoot w:val="01B61C23"/>
    <w:rsid w:val="01B61C23"/>
    <w:rsid w:val="065A1CEC"/>
    <w:rsid w:val="092A27EA"/>
    <w:rsid w:val="0B9A74C4"/>
    <w:rsid w:val="1251696F"/>
    <w:rsid w:val="13395E38"/>
    <w:rsid w:val="137A4061"/>
    <w:rsid w:val="13FD6B8B"/>
    <w:rsid w:val="14EF12D1"/>
    <w:rsid w:val="1BDF606B"/>
    <w:rsid w:val="1D2E3B76"/>
    <w:rsid w:val="1E320DD4"/>
    <w:rsid w:val="215B288C"/>
    <w:rsid w:val="21A637CE"/>
    <w:rsid w:val="273B44F0"/>
    <w:rsid w:val="27C9491D"/>
    <w:rsid w:val="286C6ECC"/>
    <w:rsid w:val="2BDB6BA0"/>
    <w:rsid w:val="30630E36"/>
    <w:rsid w:val="339C35B9"/>
    <w:rsid w:val="35097137"/>
    <w:rsid w:val="38EE1DFB"/>
    <w:rsid w:val="392E6FC4"/>
    <w:rsid w:val="39E41315"/>
    <w:rsid w:val="3AC577F8"/>
    <w:rsid w:val="3D4554B0"/>
    <w:rsid w:val="3F5A59B6"/>
    <w:rsid w:val="3FE13727"/>
    <w:rsid w:val="40A11D0E"/>
    <w:rsid w:val="41DF489C"/>
    <w:rsid w:val="44DA62C4"/>
    <w:rsid w:val="49663AF5"/>
    <w:rsid w:val="4B5E02BC"/>
    <w:rsid w:val="4D3857A8"/>
    <w:rsid w:val="51777359"/>
    <w:rsid w:val="54AD1A2B"/>
    <w:rsid w:val="585D19FE"/>
    <w:rsid w:val="5BCC5A39"/>
    <w:rsid w:val="5DCD5A99"/>
    <w:rsid w:val="680D53AA"/>
    <w:rsid w:val="705715D1"/>
    <w:rsid w:val="736307FA"/>
    <w:rsid w:val="77693AA3"/>
    <w:rsid w:val="7C0233BF"/>
    <w:rsid w:val="7E75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1"/>
    <w:qFormat/>
    <w:uiPriority w:val="1"/>
    <w:rPr>
      <w:rFonts w:ascii="宋体" w:hAnsi="宋体" w:eastAsia="宋体" w:cs="宋体"/>
      <w:sz w:val="19"/>
      <w:szCs w:val="19"/>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caption|1"/>
    <w:basedOn w:val="1"/>
    <w:qFormat/>
    <w:uiPriority w:val="0"/>
    <w:pPr>
      <w:spacing w:after="40"/>
    </w:pPr>
    <w:rPr>
      <w:rFonts w:ascii="宋体" w:hAnsi="宋体" w:eastAsia="宋体" w:cs="宋体"/>
      <w:sz w:val="15"/>
      <w:szCs w:val="15"/>
      <w:lang w:val="zh-TW" w:eastAsia="zh-TW" w:bidi="zh-TW"/>
    </w:rPr>
  </w:style>
  <w:style w:type="paragraph" w:customStyle="1" w:styleId="10">
    <w:name w:val="Body text|1"/>
    <w:basedOn w:val="1"/>
    <w:qFormat/>
    <w:uiPriority w:val="0"/>
    <w:pPr>
      <w:spacing w:line="307" w:lineRule="auto"/>
      <w:ind w:firstLine="20"/>
    </w:pPr>
    <w:rPr>
      <w:rFonts w:ascii="宋体" w:hAnsi="宋体" w:eastAsia="宋体" w:cs="宋体"/>
      <w:sz w:val="15"/>
      <w:szCs w:val="15"/>
      <w:lang w:val="zh-TW" w:eastAsia="zh-TW" w:bidi="zh-TW"/>
    </w:rPr>
  </w:style>
  <w:style w:type="paragraph" w:customStyle="1" w:styleId="11">
    <w:name w:val="Heading #2|1"/>
    <w:basedOn w:val="1"/>
    <w:qFormat/>
    <w:uiPriority w:val="0"/>
    <w:pPr>
      <w:spacing w:line="223" w:lineRule="exact"/>
      <w:ind w:firstLine="150"/>
      <w:outlineLvl w:val="1"/>
    </w:pPr>
    <w:rPr>
      <w:rFonts w:ascii="宋体" w:hAnsi="宋体" w:eastAsia="宋体" w:cs="宋体"/>
      <w:b/>
      <w:bCs/>
      <w:sz w:val="15"/>
      <w:szCs w:val="15"/>
      <w:lang w:val="zh-TW" w:eastAsia="zh-TW" w:bidi="zh-TW"/>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3760</Words>
  <Characters>3978</Characters>
  <Lines>0</Lines>
  <Paragraphs>0</Paragraphs>
  <TotalTime>7</TotalTime>
  <ScaleCrop>false</ScaleCrop>
  <LinksUpToDate>false</LinksUpToDate>
  <CharactersWithSpaces>4298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2023-01-05T06:41:00Z</dcterms:created>
  <dc:creator>萌动の木咚</dc:creator>
  <cp:lastModifiedBy>白海渊</cp:lastModifiedBy>
  <dcterms:modified xsi:type="dcterms:W3CDTF">2025-10-22T02:13:10Z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D7DD3D35A9F44938B0A7167AB57F1AA4_13</vt:lpwstr>
  </property>
  <property fmtid="{D5CDD505-2E9C-101B-9397-08002B2CF9AE}" pid="4" name="KSOTemplateDocerSaveRecord">
    <vt:lpwstr>eyJoZGlkIjoiNzJlNGMxNTJmY2ZiZmMzMTQ0MmUyMWIxYjZkYzNlNzUiLCJ1c2VySWQiOiIyNTYxODU5NCJ9</vt:lpwstr>
  </property>
</Properties>
</file>