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200" w:firstLine="2811" w:firstLineChars="10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Toc11126"/>
      <w:r>
        <w:rPr>
          <w:rFonts w:hint="eastAsia" w:ascii="宋体" w:hAnsi="宋体" w:eastAsia="宋体" w:cs="宋体"/>
          <w:sz w:val="28"/>
          <w:szCs w:val="28"/>
        </w:rPr>
        <w:t>分项报价明细表</w:t>
      </w:r>
      <w:bookmarkEnd w:id="0"/>
    </w:p>
    <w:p>
      <w:pPr>
        <w:rPr>
          <w:rFonts w:hint="eastAsia"/>
        </w:rPr>
      </w:pPr>
    </w:p>
    <w:tbl>
      <w:tblPr>
        <w:tblStyle w:val="4"/>
        <w:tblW w:w="8950" w:type="dxa"/>
        <w:tblInd w:w="-108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20"/>
        <w:gridCol w:w="3601"/>
        <w:gridCol w:w="1069"/>
        <w:gridCol w:w="1031"/>
        <w:gridCol w:w="970"/>
        <w:gridCol w:w="769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0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920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标的名称</w:t>
            </w:r>
          </w:p>
        </w:tc>
        <w:tc>
          <w:tcPr>
            <w:tcW w:w="3601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品牌、规格型号/主要服务内容/工程量</w:t>
            </w:r>
          </w:p>
        </w:tc>
        <w:tc>
          <w:tcPr>
            <w:tcW w:w="1069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数量及单位</w:t>
            </w:r>
          </w:p>
        </w:tc>
        <w:tc>
          <w:tcPr>
            <w:tcW w:w="1031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970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总价（元）</w:t>
            </w:r>
          </w:p>
        </w:tc>
        <w:tc>
          <w:tcPr>
            <w:tcW w:w="769" w:type="dxa"/>
            <w:shd w:val="clear" w:color="auto" w:fill="EDEDED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F6F6F6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内蒙古财政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直达资金监控平台运维服务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</w:t>
            </w: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平台基础配置</w:t>
            </w:r>
          </w:p>
        </w:tc>
        <w:tc>
          <w:tcPr>
            <w:tcW w:w="1069" w:type="dxa"/>
            <w:shd w:val="clear" w:color="auto" w:fill="F6F6F6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26400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26400</w:t>
            </w:r>
          </w:p>
        </w:tc>
        <w:tc>
          <w:tcPr>
            <w:tcW w:w="769" w:type="dxa"/>
            <w:vMerge w:val="restart"/>
            <w:shd w:val="clear" w:color="auto" w:fill="F6F6F6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服务全区132个财政部门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20" w:type="dxa"/>
            <w:vMerge w:val="continue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</w:tcPr>
          <w:p>
            <w:pPr>
              <w:pStyle w:val="6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直达资金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业务协同</w:t>
            </w:r>
          </w:p>
        </w:tc>
        <w:tc>
          <w:tcPr>
            <w:tcW w:w="10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54000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54000</w:t>
            </w:r>
          </w:p>
        </w:tc>
        <w:tc>
          <w:tcPr>
            <w:tcW w:w="769" w:type="dxa"/>
            <w:vMerge w:val="continue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直达资金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基础配置服务</w:t>
            </w:r>
          </w:p>
        </w:tc>
        <w:tc>
          <w:tcPr>
            <w:tcW w:w="1069" w:type="dxa"/>
            <w:shd w:val="clear" w:color="auto" w:fill="F6F6F6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32400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32400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90" w:type="dxa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20" w:type="dxa"/>
            <w:vMerge w:val="continue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直达资金总台账</w:t>
            </w:r>
          </w:p>
        </w:tc>
        <w:tc>
          <w:tcPr>
            <w:tcW w:w="10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126000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126000</w:t>
            </w:r>
          </w:p>
        </w:tc>
        <w:tc>
          <w:tcPr>
            <w:tcW w:w="769" w:type="dxa"/>
            <w:vMerge w:val="continue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直达资金项目库管理</w:t>
            </w:r>
          </w:p>
        </w:tc>
        <w:tc>
          <w:tcPr>
            <w:tcW w:w="1069" w:type="dxa"/>
            <w:shd w:val="clear" w:color="auto" w:fill="F6F6F6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84000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84000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直达资金指标分配下达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48000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48000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直达资金“最后一公里”监管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42000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42000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直达资金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信息采集平台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72000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72000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系统接口对接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127200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127200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专户拨付情况管理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44400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44400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监控预警及风险防控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96000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96000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全区数据汇总监控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57600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57600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数据查询分析平台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168000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168000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工作情况跟踪及监控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72000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72000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90" w:type="dxa"/>
            <w:shd w:val="clear" w:color="auto" w:fill="F6F6F6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20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直达资金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培训和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及现场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运维</w:t>
            </w:r>
          </w:p>
        </w:tc>
        <w:tc>
          <w:tcPr>
            <w:tcW w:w="1069" w:type="dxa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1" w:type="dxa"/>
            <w:shd w:val="clear" w:color="auto" w:fill="F6F6F6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650000</w:t>
            </w:r>
          </w:p>
        </w:tc>
        <w:tc>
          <w:tcPr>
            <w:tcW w:w="970" w:type="dxa"/>
            <w:shd w:val="clear" w:color="auto" w:fill="F6F6F6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650000</w:t>
            </w:r>
          </w:p>
        </w:tc>
        <w:tc>
          <w:tcPr>
            <w:tcW w:w="769" w:type="dxa"/>
            <w:vMerge w:val="continue"/>
            <w:shd w:val="clear" w:color="auto" w:fill="F6F6F6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90" w:type="dxa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920" w:type="dxa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1" w:type="dxa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1" w:type="dxa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1700000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17000</w:t>
            </w:r>
            <w:bookmarkStart w:id="1" w:name="_GoBack"/>
            <w:bookmarkEnd w:id="1"/>
            <w:r>
              <w:rPr>
                <w:rFonts w:hint="eastAsia" w:cs="宋体"/>
                <w:kern w:val="2"/>
                <w:sz w:val="21"/>
                <w:szCs w:val="21"/>
                <w:lang w:val="en-US" w:eastAsia="zh-CN" w:bidi="zh-CN"/>
              </w:rPr>
              <w:t>00</w:t>
            </w:r>
          </w:p>
        </w:tc>
        <w:tc>
          <w:tcPr>
            <w:tcW w:w="769" w:type="dxa"/>
          </w:tcPr>
          <w:p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36067"/>
    <w:multiLevelType w:val="multilevel"/>
    <w:tmpl w:val="4EB36067"/>
    <w:lvl w:ilvl="0" w:tentative="0">
      <w:start w:val="1"/>
      <w:numFmt w:val="chineseCountingThousand"/>
      <w:pStyle w:val="3"/>
      <w:suff w:val="space"/>
      <w:lvlText w:val="%1、"/>
      <w:lvlJc w:val="left"/>
      <w:pPr>
        <w:ind w:left="0" w:firstLine="0"/>
      </w:pPr>
      <w:rPr>
        <w:rFonts w:hint="eastAsia" w:ascii="宋体" w:hAnsi="宋体" w:eastAsia="宋体" w:cs="宋体"/>
        <w:b/>
        <w:i w:val="0"/>
        <w:spacing w:val="0"/>
        <w:sz w:val="28"/>
        <w:szCs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MjRiNTdiMzJmOTg3MDQwZmI2YmY1ODUyNDI1NTkifQ=="/>
  </w:docVars>
  <w:rsids>
    <w:rsidRoot w:val="0D7275A4"/>
    <w:rsid w:val="0D72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widowControl w:val="0"/>
      <w:numPr>
        <w:ilvl w:val="0"/>
        <w:numId w:val="1"/>
      </w:numPr>
      <w:spacing w:before="120" w:after="120" w:line="578" w:lineRule="auto"/>
      <w:jc w:val="center"/>
      <w:outlineLvl w:val="0"/>
    </w:pPr>
    <w:rPr>
      <w:rFonts w:eastAsia="黑体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/>
      <w:jc w:val="both"/>
    </w:pPr>
    <w:rPr>
      <w:rFonts w:ascii="Calibri" w:hAnsi="Calibri" w:eastAsia="宋体" w:cs="Times New Roman"/>
      <w:sz w:val="21"/>
      <w:szCs w:val="2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2022-05-19T03:04:00Z</dcterms:created>
  <dc:creator>且行且珍惜</dc:creator>
  <cp:lastModifiedBy>且行且珍惜</cp:lastModifiedBy>
  <dcterms:modified xsi:type="dcterms:W3CDTF">2022-05-19T03:04:57Z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550609539B3346489D1C9BB81AFD05C6</vt:lpwstr>
  </property>
</Properties>
</file>