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0F8" w:rsidRDefault="00E240F8" w:rsidP="00E240F8">
      <w:pPr>
        <w:pStyle w:val="2"/>
        <w:jc w:val="center"/>
      </w:pPr>
      <w:bookmarkStart w:id="0" w:name="_Toc107247172"/>
      <w:r w:rsidRPr="00E240F8">
        <w:rPr>
          <w:rFonts w:hint="eastAsia"/>
        </w:rPr>
        <w:t>内蒙古自治区生态环境综合行政执法总队采购环境执法监测及交叉检查服务项目</w:t>
      </w:r>
      <w:r>
        <w:rPr>
          <w:rFonts w:hint="eastAsia"/>
        </w:rPr>
        <w:t>第1包</w:t>
      </w:r>
      <w:r w:rsidRPr="00C126C5">
        <w:rPr>
          <w:rFonts w:hint="eastAsia"/>
        </w:rPr>
        <w:t>报价明细表</w:t>
      </w:r>
      <w:bookmarkEnd w:id="0"/>
    </w:p>
    <w:tbl>
      <w:tblPr>
        <w:tblStyle w:val="a3"/>
        <w:tblW w:w="9209" w:type="dxa"/>
        <w:jc w:val="center"/>
        <w:tblLook w:val="04A0" w:firstRow="1" w:lastRow="0" w:firstColumn="1" w:lastColumn="0" w:noHBand="0" w:noVBand="1"/>
      </w:tblPr>
      <w:tblGrid>
        <w:gridCol w:w="695"/>
        <w:gridCol w:w="5046"/>
        <w:gridCol w:w="1274"/>
        <w:gridCol w:w="825"/>
        <w:gridCol w:w="1369"/>
      </w:tblGrid>
      <w:tr w:rsidR="00E240F8" w:rsidRPr="00C368CC" w:rsidTr="00927360">
        <w:trPr>
          <w:trHeight w:val="567"/>
          <w:tblHeader/>
          <w:jc w:val="center"/>
        </w:trPr>
        <w:tc>
          <w:tcPr>
            <w:tcW w:w="701" w:type="dxa"/>
            <w:vAlign w:val="center"/>
          </w:tcPr>
          <w:p w:rsidR="00E240F8" w:rsidRPr="00BE1703" w:rsidRDefault="00E240F8" w:rsidP="00927360">
            <w:pPr>
              <w:snapToGrid w:val="0"/>
              <w:ind w:rightChars="-50" w:right="-120"/>
              <w:rPr>
                <w:b/>
                <w:bCs/>
                <w:sz w:val="21"/>
                <w:szCs w:val="21"/>
              </w:rPr>
            </w:pPr>
            <w:r>
              <w:rPr>
                <w:rFonts w:hint="eastAsia"/>
                <w:b/>
                <w:bCs/>
                <w:sz w:val="21"/>
                <w:szCs w:val="21"/>
              </w:rPr>
              <w:t>序号</w:t>
            </w:r>
          </w:p>
        </w:tc>
        <w:tc>
          <w:tcPr>
            <w:tcW w:w="5106" w:type="dxa"/>
            <w:tcBorders>
              <w:bottom w:val="single" w:sz="4" w:space="0" w:color="auto"/>
            </w:tcBorders>
            <w:vAlign w:val="center"/>
            <w:hideMark/>
          </w:tcPr>
          <w:p w:rsidR="00E240F8" w:rsidRPr="00C368CC" w:rsidRDefault="00E240F8" w:rsidP="00927360">
            <w:pPr>
              <w:snapToGrid w:val="0"/>
              <w:jc w:val="center"/>
              <w:rPr>
                <w:b/>
                <w:bCs/>
                <w:sz w:val="21"/>
                <w:szCs w:val="21"/>
              </w:rPr>
            </w:pPr>
            <w:r w:rsidRPr="00C368CC">
              <w:rPr>
                <w:rFonts w:hint="eastAsia"/>
                <w:b/>
                <w:bCs/>
                <w:sz w:val="21"/>
                <w:szCs w:val="21"/>
              </w:rPr>
              <w:t>服务内容</w:t>
            </w:r>
          </w:p>
        </w:tc>
        <w:tc>
          <w:tcPr>
            <w:tcW w:w="1276" w:type="dxa"/>
            <w:vAlign w:val="center"/>
            <w:hideMark/>
          </w:tcPr>
          <w:p w:rsidR="00E240F8" w:rsidRPr="00C368CC" w:rsidRDefault="00E240F8" w:rsidP="00927360">
            <w:pPr>
              <w:snapToGrid w:val="0"/>
              <w:jc w:val="center"/>
              <w:rPr>
                <w:b/>
                <w:bCs/>
                <w:sz w:val="21"/>
                <w:szCs w:val="21"/>
              </w:rPr>
            </w:pPr>
            <w:r w:rsidRPr="00C368CC">
              <w:rPr>
                <w:rFonts w:hint="eastAsia"/>
                <w:b/>
                <w:bCs/>
                <w:sz w:val="21"/>
                <w:szCs w:val="21"/>
              </w:rPr>
              <w:t>单价（元）</w:t>
            </w:r>
          </w:p>
        </w:tc>
        <w:tc>
          <w:tcPr>
            <w:tcW w:w="831" w:type="dxa"/>
            <w:vAlign w:val="center"/>
            <w:hideMark/>
          </w:tcPr>
          <w:p w:rsidR="00E240F8" w:rsidRPr="00C368CC" w:rsidRDefault="00E240F8" w:rsidP="00927360">
            <w:pPr>
              <w:snapToGrid w:val="0"/>
              <w:jc w:val="center"/>
              <w:rPr>
                <w:b/>
                <w:bCs/>
                <w:sz w:val="21"/>
                <w:szCs w:val="21"/>
              </w:rPr>
            </w:pPr>
            <w:r w:rsidRPr="00C368CC">
              <w:rPr>
                <w:rFonts w:hint="eastAsia"/>
                <w:b/>
                <w:bCs/>
                <w:sz w:val="21"/>
                <w:szCs w:val="21"/>
              </w:rPr>
              <w:t>数量</w:t>
            </w:r>
          </w:p>
        </w:tc>
        <w:tc>
          <w:tcPr>
            <w:tcW w:w="1295" w:type="dxa"/>
            <w:vAlign w:val="center"/>
            <w:hideMark/>
          </w:tcPr>
          <w:p w:rsidR="00E240F8" w:rsidRPr="00C368CC" w:rsidRDefault="00E240F8" w:rsidP="00927360">
            <w:pPr>
              <w:snapToGrid w:val="0"/>
              <w:jc w:val="center"/>
              <w:rPr>
                <w:b/>
                <w:bCs/>
                <w:sz w:val="21"/>
                <w:szCs w:val="21"/>
              </w:rPr>
            </w:pPr>
            <w:r w:rsidRPr="00C368CC">
              <w:rPr>
                <w:rFonts w:hint="eastAsia"/>
                <w:b/>
                <w:bCs/>
                <w:sz w:val="21"/>
                <w:szCs w:val="21"/>
              </w:rPr>
              <w:t>总价（元）</w:t>
            </w:r>
          </w:p>
        </w:tc>
      </w:tr>
      <w:tr w:rsidR="00E240F8" w:rsidRPr="00C368CC" w:rsidTr="00927360">
        <w:trPr>
          <w:trHeight w:val="340"/>
          <w:jc w:val="center"/>
        </w:trPr>
        <w:tc>
          <w:tcPr>
            <w:tcW w:w="701" w:type="dxa"/>
            <w:vMerge w:val="restart"/>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tcBorders>
              <w:bottom w:val="nil"/>
            </w:tcBorders>
            <w:vAlign w:val="center"/>
            <w:hideMark/>
          </w:tcPr>
          <w:p w:rsidR="00E240F8" w:rsidRPr="00C368CC" w:rsidRDefault="00E240F8" w:rsidP="00927360">
            <w:pPr>
              <w:snapToGrid w:val="0"/>
              <w:rPr>
                <w:sz w:val="21"/>
                <w:szCs w:val="21"/>
              </w:rPr>
            </w:pPr>
            <w:r w:rsidRPr="00C368CC">
              <w:rPr>
                <w:rFonts w:hint="eastAsia"/>
                <w:sz w:val="21"/>
                <w:szCs w:val="21"/>
              </w:rPr>
              <w:t>1、有组织废气执法监测</w:t>
            </w:r>
          </w:p>
        </w:tc>
        <w:tc>
          <w:tcPr>
            <w:tcW w:w="1276" w:type="dxa"/>
            <w:vMerge w:val="restart"/>
            <w:vAlign w:val="center"/>
            <w:hideMark/>
          </w:tcPr>
          <w:p w:rsidR="00E240F8" w:rsidRPr="00D43080" w:rsidRDefault="00E240F8" w:rsidP="00927360">
            <w:pPr>
              <w:snapToGrid w:val="0"/>
              <w:jc w:val="center"/>
              <w:rPr>
                <w:rFonts w:asciiTheme="minorEastAsia" w:hAnsiTheme="minorEastAsia"/>
                <w:sz w:val="21"/>
                <w:szCs w:val="21"/>
              </w:rPr>
            </w:pPr>
            <w:r w:rsidRPr="00D43080">
              <w:rPr>
                <w:rFonts w:asciiTheme="minorEastAsia" w:hAnsiTheme="minorEastAsia" w:hint="eastAsia"/>
                <w:color w:val="000000"/>
                <w:sz w:val="21"/>
                <w:szCs w:val="21"/>
              </w:rPr>
              <w:t>9600</w:t>
            </w:r>
            <w:r>
              <w:rPr>
                <w:rFonts w:asciiTheme="minorEastAsia" w:hAnsiTheme="minorEastAsia"/>
                <w:color w:val="000000"/>
                <w:sz w:val="21"/>
                <w:szCs w:val="21"/>
              </w:rPr>
              <w:t>.00</w:t>
            </w:r>
          </w:p>
        </w:tc>
        <w:tc>
          <w:tcPr>
            <w:tcW w:w="831" w:type="dxa"/>
            <w:vMerge w:val="restart"/>
            <w:vAlign w:val="center"/>
            <w:hideMark/>
          </w:tcPr>
          <w:p w:rsidR="00E240F8" w:rsidRPr="00D43080" w:rsidRDefault="00E240F8" w:rsidP="00927360">
            <w:pPr>
              <w:snapToGrid w:val="0"/>
              <w:jc w:val="center"/>
              <w:rPr>
                <w:rFonts w:asciiTheme="minorEastAsia" w:hAnsiTheme="minorEastAsia"/>
                <w:sz w:val="21"/>
                <w:szCs w:val="21"/>
              </w:rPr>
            </w:pPr>
            <w:r w:rsidRPr="00D43080">
              <w:rPr>
                <w:rFonts w:asciiTheme="minorEastAsia" w:hAnsiTheme="minorEastAsia" w:hint="eastAsia"/>
                <w:color w:val="000000"/>
                <w:sz w:val="21"/>
                <w:szCs w:val="21"/>
              </w:rPr>
              <w:t>42</w:t>
            </w:r>
            <w:r>
              <w:rPr>
                <w:rFonts w:asciiTheme="minorEastAsia" w:hAnsiTheme="minorEastAsia" w:hint="eastAsia"/>
                <w:color w:val="000000"/>
                <w:sz w:val="21"/>
                <w:szCs w:val="21"/>
              </w:rPr>
              <w:t>份</w:t>
            </w:r>
          </w:p>
        </w:tc>
        <w:tc>
          <w:tcPr>
            <w:tcW w:w="1295" w:type="dxa"/>
            <w:vMerge w:val="restart"/>
            <w:vAlign w:val="center"/>
            <w:hideMark/>
          </w:tcPr>
          <w:p w:rsidR="00E240F8" w:rsidRPr="00D43080" w:rsidRDefault="00E240F8" w:rsidP="00927360">
            <w:pPr>
              <w:snapToGrid w:val="0"/>
              <w:jc w:val="center"/>
              <w:rPr>
                <w:rFonts w:asciiTheme="minorEastAsia" w:hAnsiTheme="minorEastAsia"/>
                <w:sz w:val="21"/>
                <w:szCs w:val="21"/>
              </w:rPr>
            </w:pPr>
            <w:r w:rsidRPr="00D43080">
              <w:rPr>
                <w:rFonts w:asciiTheme="minorEastAsia" w:hAnsiTheme="minorEastAsia" w:hint="eastAsia"/>
                <w:color w:val="000000"/>
                <w:sz w:val="21"/>
                <w:szCs w:val="21"/>
              </w:rPr>
              <w:t>403200</w:t>
            </w:r>
            <w:r>
              <w:rPr>
                <w:rFonts w:asciiTheme="minorEastAsia" w:hAnsiTheme="minorEastAsia"/>
                <w:color w:val="000000"/>
                <w:sz w:val="21"/>
                <w:szCs w:val="21"/>
              </w:rPr>
              <w:t>.00</w:t>
            </w:r>
          </w:p>
        </w:tc>
      </w:tr>
      <w:tr w:rsidR="00E240F8" w:rsidRPr="00C368CC" w:rsidTr="00927360">
        <w:trPr>
          <w:trHeight w:val="567"/>
          <w:jc w:val="center"/>
        </w:trPr>
        <w:tc>
          <w:tcPr>
            <w:tcW w:w="701" w:type="dxa"/>
            <w:vMerge/>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tcBorders>
              <w:top w:val="nil"/>
              <w:bottom w:val="single" w:sz="4" w:space="0" w:color="auto"/>
            </w:tcBorders>
            <w:vAlign w:val="center"/>
            <w:hideMark/>
          </w:tcPr>
          <w:p w:rsidR="00E240F8" w:rsidRPr="00C368CC" w:rsidRDefault="00E240F8" w:rsidP="00927360">
            <w:pPr>
              <w:snapToGrid w:val="0"/>
              <w:rPr>
                <w:sz w:val="21"/>
                <w:szCs w:val="21"/>
              </w:rPr>
            </w:pPr>
            <w:r w:rsidRPr="00C368CC">
              <w:rPr>
                <w:rFonts w:hint="eastAsia"/>
                <w:sz w:val="21"/>
                <w:szCs w:val="21"/>
              </w:rPr>
              <w:t>监测因子有NOX、SO2、烟尘、含氧量、烟气温度、烟气流速、烟气湿度、烟气黑度、汞及其化合物，单次执法监测任务每个点位监测频率3次。</w:t>
            </w:r>
          </w:p>
        </w:tc>
        <w:tc>
          <w:tcPr>
            <w:tcW w:w="1276" w:type="dxa"/>
            <w:vMerge/>
            <w:vAlign w:val="center"/>
            <w:hideMark/>
          </w:tcPr>
          <w:p w:rsidR="00E240F8" w:rsidRPr="00D43080" w:rsidRDefault="00E240F8" w:rsidP="00927360">
            <w:pPr>
              <w:snapToGrid w:val="0"/>
              <w:jc w:val="center"/>
              <w:rPr>
                <w:rFonts w:asciiTheme="minorEastAsia" w:hAnsiTheme="minorEastAsia"/>
                <w:sz w:val="21"/>
                <w:szCs w:val="21"/>
              </w:rPr>
            </w:pPr>
          </w:p>
        </w:tc>
        <w:tc>
          <w:tcPr>
            <w:tcW w:w="831" w:type="dxa"/>
            <w:vMerge/>
            <w:vAlign w:val="center"/>
            <w:hideMark/>
          </w:tcPr>
          <w:p w:rsidR="00E240F8" w:rsidRPr="00D43080" w:rsidRDefault="00E240F8" w:rsidP="00927360">
            <w:pPr>
              <w:snapToGrid w:val="0"/>
              <w:jc w:val="center"/>
              <w:rPr>
                <w:rFonts w:asciiTheme="minorEastAsia" w:hAnsiTheme="minorEastAsia"/>
                <w:sz w:val="21"/>
                <w:szCs w:val="21"/>
              </w:rPr>
            </w:pPr>
          </w:p>
        </w:tc>
        <w:tc>
          <w:tcPr>
            <w:tcW w:w="1295" w:type="dxa"/>
            <w:vMerge/>
            <w:vAlign w:val="center"/>
            <w:hideMark/>
          </w:tcPr>
          <w:p w:rsidR="00E240F8" w:rsidRPr="00D43080" w:rsidRDefault="00E240F8" w:rsidP="00927360">
            <w:pPr>
              <w:snapToGrid w:val="0"/>
              <w:jc w:val="center"/>
              <w:rPr>
                <w:rFonts w:asciiTheme="minorEastAsia" w:hAnsiTheme="minorEastAsia"/>
                <w:sz w:val="21"/>
                <w:szCs w:val="21"/>
              </w:rPr>
            </w:pPr>
          </w:p>
        </w:tc>
      </w:tr>
      <w:tr w:rsidR="00E240F8" w:rsidRPr="00C368CC" w:rsidTr="00927360">
        <w:trPr>
          <w:trHeight w:val="340"/>
          <w:jc w:val="center"/>
        </w:trPr>
        <w:tc>
          <w:tcPr>
            <w:tcW w:w="701" w:type="dxa"/>
            <w:vMerge w:val="restart"/>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tcBorders>
              <w:bottom w:val="nil"/>
            </w:tcBorders>
            <w:vAlign w:val="center"/>
            <w:hideMark/>
          </w:tcPr>
          <w:p w:rsidR="00E240F8" w:rsidRPr="00C368CC" w:rsidRDefault="00E240F8" w:rsidP="00927360">
            <w:pPr>
              <w:snapToGrid w:val="0"/>
              <w:rPr>
                <w:sz w:val="21"/>
                <w:szCs w:val="21"/>
              </w:rPr>
            </w:pPr>
            <w:r w:rsidRPr="00C368CC">
              <w:rPr>
                <w:rFonts w:hint="eastAsia"/>
                <w:sz w:val="21"/>
                <w:szCs w:val="21"/>
              </w:rPr>
              <w:t>2、无组织废气执法监测</w:t>
            </w:r>
          </w:p>
        </w:tc>
        <w:tc>
          <w:tcPr>
            <w:tcW w:w="1276" w:type="dxa"/>
            <w:vMerge w:val="restart"/>
            <w:vAlign w:val="center"/>
            <w:hideMark/>
          </w:tcPr>
          <w:p w:rsidR="00E240F8" w:rsidRPr="00D43080" w:rsidRDefault="00E240F8" w:rsidP="00927360">
            <w:pPr>
              <w:snapToGrid w:val="0"/>
              <w:jc w:val="center"/>
              <w:rPr>
                <w:rFonts w:asciiTheme="minorEastAsia" w:hAnsiTheme="minorEastAsia"/>
                <w:sz w:val="21"/>
                <w:szCs w:val="21"/>
              </w:rPr>
            </w:pPr>
            <w:r w:rsidRPr="00D43080">
              <w:rPr>
                <w:rFonts w:asciiTheme="minorEastAsia" w:hAnsiTheme="minorEastAsia" w:hint="eastAsia"/>
                <w:color w:val="000000"/>
                <w:sz w:val="21"/>
                <w:szCs w:val="21"/>
              </w:rPr>
              <w:t>13380</w:t>
            </w:r>
            <w:r>
              <w:rPr>
                <w:rFonts w:asciiTheme="minorEastAsia" w:hAnsiTheme="minorEastAsia"/>
                <w:color w:val="000000"/>
                <w:sz w:val="21"/>
                <w:szCs w:val="21"/>
              </w:rPr>
              <w:t>.00</w:t>
            </w:r>
          </w:p>
        </w:tc>
        <w:tc>
          <w:tcPr>
            <w:tcW w:w="831" w:type="dxa"/>
            <w:vMerge w:val="restart"/>
            <w:vAlign w:val="center"/>
            <w:hideMark/>
          </w:tcPr>
          <w:p w:rsidR="00E240F8" w:rsidRPr="00D43080" w:rsidRDefault="00E240F8" w:rsidP="00927360">
            <w:pPr>
              <w:snapToGrid w:val="0"/>
              <w:jc w:val="center"/>
              <w:rPr>
                <w:rFonts w:asciiTheme="minorEastAsia" w:hAnsiTheme="minorEastAsia"/>
                <w:sz w:val="21"/>
                <w:szCs w:val="21"/>
              </w:rPr>
            </w:pPr>
            <w:r w:rsidRPr="00D43080">
              <w:rPr>
                <w:rFonts w:asciiTheme="minorEastAsia" w:hAnsiTheme="minorEastAsia" w:hint="eastAsia"/>
                <w:color w:val="000000"/>
                <w:sz w:val="21"/>
                <w:szCs w:val="21"/>
              </w:rPr>
              <w:t>10</w:t>
            </w:r>
            <w:r>
              <w:rPr>
                <w:rFonts w:asciiTheme="minorEastAsia" w:hAnsiTheme="minorEastAsia" w:hint="eastAsia"/>
                <w:color w:val="000000"/>
                <w:sz w:val="21"/>
                <w:szCs w:val="21"/>
              </w:rPr>
              <w:t>份</w:t>
            </w:r>
          </w:p>
        </w:tc>
        <w:tc>
          <w:tcPr>
            <w:tcW w:w="1295" w:type="dxa"/>
            <w:vMerge w:val="restart"/>
            <w:vAlign w:val="center"/>
            <w:hideMark/>
          </w:tcPr>
          <w:p w:rsidR="00E240F8" w:rsidRPr="00D43080" w:rsidRDefault="00E240F8" w:rsidP="00927360">
            <w:pPr>
              <w:snapToGrid w:val="0"/>
              <w:jc w:val="center"/>
              <w:rPr>
                <w:rFonts w:asciiTheme="minorEastAsia" w:hAnsiTheme="minorEastAsia"/>
                <w:sz w:val="21"/>
                <w:szCs w:val="21"/>
              </w:rPr>
            </w:pPr>
            <w:r w:rsidRPr="00D43080">
              <w:rPr>
                <w:rFonts w:asciiTheme="minorEastAsia" w:hAnsiTheme="minorEastAsia" w:hint="eastAsia"/>
                <w:color w:val="000000"/>
                <w:sz w:val="21"/>
                <w:szCs w:val="21"/>
              </w:rPr>
              <w:t>133800</w:t>
            </w:r>
            <w:r>
              <w:rPr>
                <w:rFonts w:asciiTheme="minorEastAsia" w:hAnsiTheme="minorEastAsia"/>
                <w:color w:val="000000"/>
                <w:sz w:val="21"/>
                <w:szCs w:val="21"/>
              </w:rPr>
              <w:t>.00</w:t>
            </w:r>
          </w:p>
        </w:tc>
      </w:tr>
      <w:tr w:rsidR="00E240F8" w:rsidRPr="00C368CC" w:rsidTr="00927360">
        <w:trPr>
          <w:trHeight w:val="567"/>
          <w:jc w:val="center"/>
        </w:trPr>
        <w:tc>
          <w:tcPr>
            <w:tcW w:w="701" w:type="dxa"/>
            <w:vMerge/>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tcBorders>
              <w:top w:val="nil"/>
              <w:bottom w:val="single" w:sz="4" w:space="0" w:color="auto"/>
            </w:tcBorders>
            <w:vAlign w:val="center"/>
            <w:hideMark/>
          </w:tcPr>
          <w:p w:rsidR="00E240F8" w:rsidRPr="00C368CC" w:rsidRDefault="00E240F8" w:rsidP="00927360">
            <w:pPr>
              <w:snapToGrid w:val="0"/>
              <w:rPr>
                <w:sz w:val="21"/>
                <w:szCs w:val="21"/>
              </w:rPr>
            </w:pPr>
            <w:r w:rsidRPr="00C368CC">
              <w:rPr>
                <w:rFonts w:hint="eastAsia"/>
                <w:sz w:val="21"/>
                <w:szCs w:val="21"/>
              </w:rPr>
              <w:t>监测因子为NOX 、SO2、颗粒物、臭气浓度、氨、硫化氢等常规污染物。单次执法监测任务监测4个点位，监测频率为4次。</w:t>
            </w:r>
          </w:p>
        </w:tc>
        <w:tc>
          <w:tcPr>
            <w:tcW w:w="1276" w:type="dxa"/>
            <w:vMerge/>
            <w:vAlign w:val="center"/>
            <w:hideMark/>
          </w:tcPr>
          <w:p w:rsidR="00E240F8" w:rsidRPr="00D43080" w:rsidRDefault="00E240F8" w:rsidP="00927360">
            <w:pPr>
              <w:snapToGrid w:val="0"/>
              <w:jc w:val="center"/>
              <w:rPr>
                <w:rFonts w:asciiTheme="minorEastAsia" w:hAnsiTheme="minorEastAsia"/>
                <w:sz w:val="21"/>
                <w:szCs w:val="21"/>
              </w:rPr>
            </w:pPr>
          </w:p>
        </w:tc>
        <w:tc>
          <w:tcPr>
            <w:tcW w:w="831" w:type="dxa"/>
            <w:vMerge/>
            <w:vAlign w:val="center"/>
            <w:hideMark/>
          </w:tcPr>
          <w:p w:rsidR="00E240F8" w:rsidRPr="00D43080" w:rsidRDefault="00E240F8" w:rsidP="00927360">
            <w:pPr>
              <w:snapToGrid w:val="0"/>
              <w:jc w:val="center"/>
              <w:rPr>
                <w:rFonts w:asciiTheme="minorEastAsia" w:hAnsiTheme="minorEastAsia"/>
                <w:sz w:val="21"/>
                <w:szCs w:val="21"/>
              </w:rPr>
            </w:pPr>
          </w:p>
        </w:tc>
        <w:tc>
          <w:tcPr>
            <w:tcW w:w="1295" w:type="dxa"/>
            <w:vMerge/>
            <w:vAlign w:val="center"/>
            <w:hideMark/>
          </w:tcPr>
          <w:p w:rsidR="00E240F8" w:rsidRPr="00D43080" w:rsidRDefault="00E240F8" w:rsidP="00927360">
            <w:pPr>
              <w:snapToGrid w:val="0"/>
              <w:jc w:val="center"/>
              <w:rPr>
                <w:rFonts w:asciiTheme="minorEastAsia" w:hAnsiTheme="minorEastAsia"/>
                <w:sz w:val="21"/>
                <w:szCs w:val="21"/>
              </w:rPr>
            </w:pPr>
          </w:p>
        </w:tc>
      </w:tr>
      <w:tr w:rsidR="00E240F8" w:rsidRPr="00C368CC" w:rsidTr="00927360">
        <w:trPr>
          <w:trHeight w:val="340"/>
          <w:jc w:val="center"/>
        </w:trPr>
        <w:tc>
          <w:tcPr>
            <w:tcW w:w="701" w:type="dxa"/>
            <w:vMerge w:val="restart"/>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tcBorders>
              <w:bottom w:val="nil"/>
            </w:tcBorders>
            <w:vAlign w:val="center"/>
            <w:hideMark/>
          </w:tcPr>
          <w:p w:rsidR="00E240F8" w:rsidRPr="00C368CC" w:rsidRDefault="00E240F8" w:rsidP="00927360">
            <w:pPr>
              <w:snapToGrid w:val="0"/>
              <w:rPr>
                <w:sz w:val="21"/>
                <w:szCs w:val="21"/>
              </w:rPr>
            </w:pPr>
            <w:r w:rsidRPr="00C368CC">
              <w:rPr>
                <w:rFonts w:hint="eastAsia"/>
                <w:sz w:val="21"/>
                <w:szCs w:val="21"/>
              </w:rPr>
              <w:t>3、污水/废水执法监测</w:t>
            </w:r>
          </w:p>
        </w:tc>
        <w:tc>
          <w:tcPr>
            <w:tcW w:w="1276" w:type="dxa"/>
            <w:vMerge w:val="restart"/>
            <w:vAlign w:val="center"/>
            <w:hideMark/>
          </w:tcPr>
          <w:p w:rsidR="00E240F8" w:rsidRPr="00D43080" w:rsidRDefault="00E240F8" w:rsidP="00927360">
            <w:pPr>
              <w:snapToGrid w:val="0"/>
              <w:jc w:val="center"/>
              <w:rPr>
                <w:rFonts w:asciiTheme="minorEastAsia" w:hAnsiTheme="minorEastAsia"/>
                <w:sz w:val="21"/>
                <w:szCs w:val="21"/>
              </w:rPr>
            </w:pPr>
            <w:r w:rsidRPr="00D43080">
              <w:rPr>
                <w:rFonts w:asciiTheme="minorEastAsia" w:hAnsiTheme="minorEastAsia" w:hint="eastAsia"/>
                <w:color w:val="000000"/>
                <w:sz w:val="21"/>
                <w:szCs w:val="21"/>
              </w:rPr>
              <w:t>9050</w:t>
            </w:r>
            <w:r>
              <w:rPr>
                <w:rFonts w:asciiTheme="minorEastAsia" w:hAnsiTheme="minorEastAsia"/>
                <w:color w:val="000000"/>
                <w:sz w:val="21"/>
                <w:szCs w:val="21"/>
              </w:rPr>
              <w:t>.00</w:t>
            </w:r>
          </w:p>
        </w:tc>
        <w:tc>
          <w:tcPr>
            <w:tcW w:w="831" w:type="dxa"/>
            <w:vMerge w:val="restart"/>
            <w:vAlign w:val="center"/>
            <w:hideMark/>
          </w:tcPr>
          <w:p w:rsidR="00E240F8" w:rsidRPr="00D43080" w:rsidRDefault="00E240F8" w:rsidP="00927360">
            <w:pPr>
              <w:snapToGrid w:val="0"/>
              <w:jc w:val="center"/>
              <w:rPr>
                <w:rFonts w:asciiTheme="minorEastAsia" w:hAnsiTheme="minorEastAsia"/>
                <w:sz w:val="21"/>
                <w:szCs w:val="21"/>
              </w:rPr>
            </w:pPr>
            <w:r w:rsidRPr="00D43080">
              <w:rPr>
                <w:rFonts w:asciiTheme="minorEastAsia" w:hAnsiTheme="minorEastAsia" w:hint="eastAsia"/>
                <w:color w:val="000000"/>
                <w:sz w:val="21"/>
                <w:szCs w:val="21"/>
              </w:rPr>
              <w:t>60</w:t>
            </w:r>
            <w:r>
              <w:rPr>
                <w:rFonts w:asciiTheme="minorEastAsia" w:hAnsiTheme="minorEastAsia" w:hint="eastAsia"/>
                <w:color w:val="000000"/>
                <w:sz w:val="21"/>
                <w:szCs w:val="21"/>
              </w:rPr>
              <w:t>份</w:t>
            </w:r>
          </w:p>
        </w:tc>
        <w:tc>
          <w:tcPr>
            <w:tcW w:w="1295" w:type="dxa"/>
            <w:vMerge w:val="restart"/>
            <w:vAlign w:val="center"/>
            <w:hideMark/>
          </w:tcPr>
          <w:p w:rsidR="00E240F8" w:rsidRPr="00D43080" w:rsidRDefault="00E240F8" w:rsidP="00927360">
            <w:pPr>
              <w:snapToGrid w:val="0"/>
              <w:jc w:val="center"/>
              <w:rPr>
                <w:rFonts w:asciiTheme="minorEastAsia" w:hAnsiTheme="minorEastAsia"/>
                <w:sz w:val="21"/>
                <w:szCs w:val="21"/>
              </w:rPr>
            </w:pPr>
            <w:r w:rsidRPr="00D43080">
              <w:rPr>
                <w:rFonts w:asciiTheme="minorEastAsia" w:hAnsiTheme="minorEastAsia" w:hint="eastAsia"/>
                <w:color w:val="000000"/>
                <w:sz w:val="21"/>
                <w:szCs w:val="21"/>
              </w:rPr>
              <w:t>543000</w:t>
            </w:r>
            <w:r>
              <w:rPr>
                <w:rFonts w:asciiTheme="minorEastAsia" w:hAnsiTheme="minorEastAsia"/>
                <w:color w:val="000000"/>
                <w:sz w:val="21"/>
                <w:szCs w:val="21"/>
              </w:rPr>
              <w:t>.00</w:t>
            </w:r>
          </w:p>
        </w:tc>
      </w:tr>
      <w:tr w:rsidR="00E240F8" w:rsidRPr="00C368CC" w:rsidTr="00927360">
        <w:trPr>
          <w:trHeight w:val="567"/>
          <w:jc w:val="center"/>
        </w:trPr>
        <w:tc>
          <w:tcPr>
            <w:tcW w:w="701" w:type="dxa"/>
            <w:vMerge/>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tcBorders>
              <w:top w:val="nil"/>
              <w:bottom w:val="single" w:sz="4" w:space="0" w:color="auto"/>
            </w:tcBorders>
            <w:vAlign w:val="center"/>
            <w:hideMark/>
          </w:tcPr>
          <w:p w:rsidR="00E240F8" w:rsidRPr="00C368CC" w:rsidRDefault="00E240F8" w:rsidP="00927360">
            <w:pPr>
              <w:snapToGrid w:val="0"/>
              <w:rPr>
                <w:sz w:val="21"/>
                <w:szCs w:val="21"/>
              </w:rPr>
            </w:pPr>
            <w:r w:rsidRPr="00C368CC">
              <w:rPr>
                <w:rFonts w:hint="eastAsia"/>
                <w:sz w:val="21"/>
                <w:szCs w:val="21"/>
              </w:rPr>
              <w:t>监测因子有化学需氧量、悬浮物、阴离子表面活性剂、总氮、氨氮、总磷、汞、镉、铬、六价铬、砷、铅、烷基汞（甲基汞、乙基汞）、pH值、色度、五日生化需氧量、动植物油、石油类、大肠菌群。每个项目取样频率为4次。</w:t>
            </w:r>
          </w:p>
        </w:tc>
        <w:tc>
          <w:tcPr>
            <w:tcW w:w="1276" w:type="dxa"/>
            <w:vMerge/>
            <w:vAlign w:val="center"/>
            <w:hideMark/>
          </w:tcPr>
          <w:p w:rsidR="00E240F8" w:rsidRPr="00C368CC" w:rsidRDefault="00E240F8" w:rsidP="00927360">
            <w:pPr>
              <w:snapToGrid w:val="0"/>
              <w:jc w:val="center"/>
              <w:rPr>
                <w:sz w:val="21"/>
                <w:szCs w:val="21"/>
              </w:rPr>
            </w:pPr>
          </w:p>
        </w:tc>
        <w:tc>
          <w:tcPr>
            <w:tcW w:w="831" w:type="dxa"/>
            <w:vMerge/>
            <w:vAlign w:val="center"/>
            <w:hideMark/>
          </w:tcPr>
          <w:p w:rsidR="00E240F8" w:rsidRPr="00C368CC" w:rsidRDefault="00E240F8" w:rsidP="00927360">
            <w:pPr>
              <w:snapToGrid w:val="0"/>
              <w:jc w:val="center"/>
              <w:rPr>
                <w:sz w:val="21"/>
                <w:szCs w:val="21"/>
              </w:rPr>
            </w:pPr>
          </w:p>
        </w:tc>
        <w:tc>
          <w:tcPr>
            <w:tcW w:w="1295" w:type="dxa"/>
            <w:vMerge/>
            <w:vAlign w:val="center"/>
            <w:hideMark/>
          </w:tcPr>
          <w:p w:rsidR="00E240F8" w:rsidRPr="00C368CC" w:rsidRDefault="00E240F8" w:rsidP="00927360">
            <w:pPr>
              <w:snapToGrid w:val="0"/>
              <w:jc w:val="center"/>
              <w:rPr>
                <w:sz w:val="21"/>
                <w:szCs w:val="21"/>
              </w:rPr>
            </w:pPr>
          </w:p>
        </w:tc>
      </w:tr>
      <w:tr w:rsidR="00E240F8" w:rsidRPr="00C368CC" w:rsidTr="00927360">
        <w:trPr>
          <w:trHeight w:val="340"/>
          <w:jc w:val="center"/>
        </w:trPr>
        <w:tc>
          <w:tcPr>
            <w:tcW w:w="701" w:type="dxa"/>
            <w:vMerge w:val="restart"/>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tcBorders>
              <w:bottom w:val="nil"/>
            </w:tcBorders>
            <w:vAlign w:val="center"/>
            <w:hideMark/>
          </w:tcPr>
          <w:p w:rsidR="00E240F8" w:rsidRPr="00C368CC" w:rsidRDefault="00E240F8" w:rsidP="00927360">
            <w:pPr>
              <w:snapToGrid w:val="0"/>
              <w:rPr>
                <w:sz w:val="21"/>
                <w:szCs w:val="21"/>
              </w:rPr>
            </w:pPr>
            <w:r>
              <w:rPr>
                <w:sz w:val="21"/>
                <w:szCs w:val="21"/>
              </w:rPr>
              <w:t>4</w:t>
            </w:r>
            <w:r w:rsidRPr="00C368CC">
              <w:rPr>
                <w:rFonts w:hint="eastAsia"/>
                <w:sz w:val="21"/>
                <w:szCs w:val="21"/>
              </w:rPr>
              <w:t>、其他执法监测项目</w:t>
            </w:r>
          </w:p>
        </w:tc>
        <w:tc>
          <w:tcPr>
            <w:tcW w:w="1276" w:type="dxa"/>
            <w:vMerge w:val="restart"/>
            <w:vAlign w:val="center"/>
            <w:hideMark/>
          </w:tcPr>
          <w:p w:rsidR="00E240F8" w:rsidRPr="00A23A3A" w:rsidRDefault="00E240F8" w:rsidP="00FE1CD6">
            <w:pPr>
              <w:snapToGrid w:val="0"/>
              <w:jc w:val="center"/>
              <w:rPr>
                <w:sz w:val="21"/>
                <w:szCs w:val="21"/>
              </w:rPr>
            </w:pPr>
            <w:r w:rsidRPr="00A23A3A">
              <w:rPr>
                <w:rFonts w:hint="eastAsia"/>
                <w:sz w:val="21"/>
                <w:szCs w:val="21"/>
              </w:rPr>
              <w:t>10</w:t>
            </w:r>
            <w:r w:rsidR="00FE1CD6">
              <w:rPr>
                <w:sz w:val="21"/>
                <w:szCs w:val="21"/>
              </w:rPr>
              <w:t>25</w:t>
            </w:r>
            <w:r w:rsidRPr="00A23A3A">
              <w:rPr>
                <w:rFonts w:hint="eastAsia"/>
                <w:sz w:val="21"/>
                <w:szCs w:val="21"/>
              </w:rPr>
              <w:t>0</w:t>
            </w:r>
            <w:r w:rsidRPr="00A23A3A">
              <w:rPr>
                <w:rFonts w:asciiTheme="minorEastAsia" w:hAnsiTheme="minorEastAsia"/>
                <w:color w:val="000000"/>
                <w:sz w:val="21"/>
                <w:szCs w:val="21"/>
              </w:rPr>
              <w:t>.00</w:t>
            </w:r>
          </w:p>
        </w:tc>
        <w:tc>
          <w:tcPr>
            <w:tcW w:w="831" w:type="dxa"/>
            <w:vMerge w:val="restart"/>
            <w:vAlign w:val="center"/>
            <w:hideMark/>
          </w:tcPr>
          <w:p w:rsidR="00E240F8" w:rsidRPr="00A23A3A" w:rsidRDefault="00E240F8" w:rsidP="00927360">
            <w:pPr>
              <w:snapToGrid w:val="0"/>
              <w:jc w:val="center"/>
              <w:rPr>
                <w:sz w:val="21"/>
                <w:szCs w:val="21"/>
              </w:rPr>
            </w:pPr>
            <w:r w:rsidRPr="00A23A3A">
              <w:rPr>
                <w:sz w:val="21"/>
                <w:szCs w:val="21"/>
              </w:rPr>
              <w:t>40</w:t>
            </w:r>
            <w:r w:rsidRPr="00A23A3A">
              <w:rPr>
                <w:rFonts w:hint="eastAsia"/>
                <w:sz w:val="21"/>
                <w:szCs w:val="21"/>
              </w:rPr>
              <w:t>份</w:t>
            </w:r>
          </w:p>
        </w:tc>
        <w:tc>
          <w:tcPr>
            <w:tcW w:w="1295" w:type="dxa"/>
            <w:vMerge w:val="restart"/>
            <w:vAlign w:val="center"/>
            <w:hideMark/>
          </w:tcPr>
          <w:p w:rsidR="00E240F8" w:rsidRPr="00A23A3A" w:rsidRDefault="00E240F8" w:rsidP="00FE1CD6">
            <w:pPr>
              <w:snapToGrid w:val="0"/>
              <w:jc w:val="center"/>
              <w:rPr>
                <w:sz w:val="21"/>
                <w:szCs w:val="21"/>
              </w:rPr>
            </w:pPr>
            <w:r w:rsidRPr="00A23A3A">
              <w:rPr>
                <w:sz w:val="21"/>
                <w:szCs w:val="21"/>
              </w:rPr>
              <w:t>4</w:t>
            </w:r>
            <w:r w:rsidR="00FE1CD6">
              <w:rPr>
                <w:sz w:val="21"/>
                <w:szCs w:val="21"/>
              </w:rPr>
              <w:t>1</w:t>
            </w:r>
            <w:r w:rsidRPr="00A23A3A">
              <w:rPr>
                <w:sz w:val="21"/>
                <w:szCs w:val="21"/>
              </w:rPr>
              <w:t>0</w:t>
            </w:r>
            <w:r w:rsidRPr="00A23A3A">
              <w:rPr>
                <w:rFonts w:hint="eastAsia"/>
                <w:sz w:val="21"/>
                <w:szCs w:val="21"/>
              </w:rPr>
              <w:t>000</w:t>
            </w:r>
            <w:r w:rsidRPr="00A23A3A">
              <w:rPr>
                <w:rFonts w:asciiTheme="minorEastAsia" w:hAnsiTheme="minorEastAsia"/>
                <w:color w:val="000000"/>
                <w:sz w:val="21"/>
                <w:szCs w:val="21"/>
              </w:rPr>
              <w:t>.00</w:t>
            </w:r>
          </w:p>
        </w:tc>
      </w:tr>
      <w:tr w:rsidR="00E240F8" w:rsidRPr="00C368CC" w:rsidTr="00927360">
        <w:trPr>
          <w:trHeight w:val="567"/>
          <w:jc w:val="center"/>
        </w:trPr>
        <w:tc>
          <w:tcPr>
            <w:tcW w:w="701" w:type="dxa"/>
            <w:vMerge/>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tcBorders>
              <w:top w:val="nil"/>
            </w:tcBorders>
            <w:vAlign w:val="center"/>
            <w:hideMark/>
          </w:tcPr>
          <w:p w:rsidR="00E240F8" w:rsidRPr="00C368CC" w:rsidRDefault="00E240F8" w:rsidP="00927360">
            <w:pPr>
              <w:snapToGrid w:val="0"/>
              <w:rPr>
                <w:sz w:val="21"/>
                <w:szCs w:val="21"/>
              </w:rPr>
            </w:pPr>
            <w:r>
              <w:rPr>
                <w:sz w:val="21"/>
                <w:szCs w:val="21"/>
              </w:rPr>
              <w:t>4</w:t>
            </w:r>
            <w:r w:rsidRPr="00C368CC">
              <w:rPr>
                <w:rFonts w:hint="eastAsia"/>
                <w:sz w:val="21"/>
                <w:szCs w:val="21"/>
              </w:rPr>
              <w:t>.1有组织废气中颗粒物、氮氧化物、二氧化硫、氯化氢、汞及其化合物、烟气黑度、镉、铊及其化合物、锑、铍、砷、铅、铬、钴、铜、锰、镍及其化合物、一氧化碳、氟化物、氨、硫化氢、硫酸雾、氯气、臭气浓度、三甲胺、甲硫醇、甲硫醚、二甲二硫、二硫化碳、苯、甲苯、二甲苯、氯苯、1,2－二氯苯、1,4－二氯苯、1,3－二氯苯、1,2,4－三氯苯、氯乙烯、非甲烷总烃、氰化氢、萘、苊、二氢苊、芴、菲、蒽、荧蒽、芘、苯并[a]蒽、䓛、苯并[a]芘、苯并[b]荧蒽、苯并[k]荧蒽、茚并[1,2,3-cd]芘、二苯并[a,h]蒽、苯并[g，h，i]苝、乙醛、甲醛、丙烯腈、苯乙烯、乙苯、丙酮、正己烷、乙酸乙酯、六甲基二硅氧烷、3－戊酮、正庚烷、环戊酮、乳酸乙酯、乙酸丁酯、丙二醇单甲醚乙酸酯、2－庚酮、苯甲醚、苯甲醛、1－癸烯、2－壬酮、1－十二烯、酚类化合物、苯胺；</w:t>
            </w:r>
          </w:p>
        </w:tc>
        <w:tc>
          <w:tcPr>
            <w:tcW w:w="1276" w:type="dxa"/>
            <w:vMerge/>
            <w:vAlign w:val="center"/>
            <w:hideMark/>
          </w:tcPr>
          <w:p w:rsidR="00E240F8" w:rsidRPr="00C368CC" w:rsidRDefault="00E240F8" w:rsidP="00927360">
            <w:pPr>
              <w:snapToGrid w:val="0"/>
              <w:jc w:val="center"/>
              <w:rPr>
                <w:sz w:val="21"/>
                <w:szCs w:val="21"/>
              </w:rPr>
            </w:pPr>
          </w:p>
        </w:tc>
        <w:tc>
          <w:tcPr>
            <w:tcW w:w="831" w:type="dxa"/>
            <w:vMerge/>
            <w:vAlign w:val="center"/>
            <w:hideMark/>
          </w:tcPr>
          <w:p w:rsidR="00E240F8" w:rsidRPr="00C368CC" w:rsidRDefault="00E240F8" w:rsidP="00927360">
            <w:pPr>
              <w:snapToGrid w:val="0"/>
              <w:jc w:val="center"/>
              <w:rPr>
                <w:sz w:val="21"/>
                <w:szCs w:val="21"/>
              </w:rPr>
            </w:pPr>
          </w:p>
        </w:tc>
        <w:tc>
          <w:tcPr>
            <w:tcW w:w="1295" w:type="dxa"/>
            <w:vMerge/>
            <w:vAlign w:val="center"/>
            <w:hideMark/>
          </w:tcPr>
          <w:p w:rsidR="00E240F8" w:rsidRPr="00C368CC" w:rsidRDefault="00E240F8" w:rsidP="00927360">
            <w:pPr>
              <w:snapToGrid w:val="0"/>
              <w:jc w:val="center"/>
              <w:rPr>
                <w:sz w:val="21"/>
                <w:szCs w:val="21"/>
              </w:rPr>
            </w:pPr>
          </w:p>
        </w:tc>
      </w:tr>
      <w:tr w:rsidR="00E240F8" w:rsidRPr="00C368CC" w:rsidTr="00927360">
        <w:trPr>
          <w:trHeight w:val="567"/>
          <w:jc w:val="center"/>
        </w:trPr>
        <w:tc>
          <w:tcPr>
            <w:tcW w:w="701" w:type="dxa"/>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vAlign w:val="center"/>
            <w:hideMark/>
          </w:tcPr>
          <w:p w:rsidR="00E240F8" w:rsidRPr="00C368CC" w:rsidRDefault="00E240F8" w:rsidP="00927360">
            <w:pPr>
              <w:snapToGrid w:val="0"/>
              <w:rPr>
                <w:sz w:val="21"/>
                <w:szCs w:val="21"/>
              </w:rPr>
            </w:pPr>
            <w:r>
              <w:rPr>
                <w:sz w:val="21"/>
                <w:szCs w:val="21"/>
              </w:rPr>
              <w:t>4</w:t>
            </w:r>
            <w:r w:rsidRPr="00C368CC">
              <w:rPr>
                <w:rFonts w:hint="eastAsia"/>
                <w:sz w:val="21"/>
                <w:szCs w:val="21"/>
              </w:rPr>
              <w:t>.2无组织废气中颗粒物、氮氧化物、二氧化硫、硫酸雾、氯化氢、氰化氢、镍及其化合物、苯、甲苯、二甲苯、苯乙烯、非甲烷总烃、氨、硫化氢、甲烷、氯气、臭气浓度、三甲胺、甲硫醇、甲硫醚、二甲二硫、二硫化碳、苯乙烯、苯酚、邻甲酚、间甲酚、对甲酚、1,3－苯二酚、2,4－二硝基苯酚、4－氯苯酚、2－萘酚、1－萘酚、2,6－二甲基苯酚、2,4－二氯酚、2,4,6－三氯酚、苯并[a]芘、萘、苊、二氢</w:t>
            </w:r>
            <w:r w:rsidRPr="00C368CC">
              <w:rPr>
                <w:rFonts w:hint="eastAsia"/>
                <w:sz w:val="21"/>
                <w:szCs w:val="21"/>
              </w:rPr>
              <w:lastRenderedPageBreak/>
              <w:t>苊、芴、菲、蒽、荧蒽、芘、苯并[a]蒽、䓛、苯并[a]芘、苯并[b]荧蒽、苯并[k]荧蒽、茚并[1,2,3-cd]芘、二苯并[a,h]蒽、苯并[g，h，i]苝、1,1－二氯乙烷、1,2－二溴乙烷、1,2－二氯乙烯、二氯甲烷、三氯甲烷、1,2－二氯乙烷、1,1,1－三氯乙烷、1,3－二氯丙烯、四氯化碳、1,2－二氯丙烷、三氯乙烯、1－溴－2－氯乙烷、1,1,2－三氯乙烷、四氯乙烯、三溴甲烷、1,1,2,2－四氯乙烷、1,2,3－三氯丙烷、1,2－二氯苯、1,3－二氯苯、1,4－二氯苯、六氯乙烷、甲醇；</w:t>
            </w:r>
          </w:p>
        </w:tc>
        <w:tc>
          <w:tcPr>
            <w:tcW w:w="1276" w:type="dxa"/>
            <w:vMerge/>
            <w:vAlign w:val="center"/>
            <w:hideMark/>
          </w:tcPr>
          <w:p w:rsidR="00E240F8" w:rsidRPr="00C368CC" w:rsidRDefault="00E240F8" w:rsidP="00927360">
            <w:pPr>
              <w:snapToGrid w:val="0"/>
              <w:jc w:val="center"/>
              <w:rPr>
                <w:sz w:val="21"/>
                <w:szCs w:val="21"/>
              </w:rPr>
            </w:pPr>
          </w:p>
        </w:tc>
        <w:tc>
          <w:tcPr>
            <w:tcW w:w="831" w:type="dxa"/>
            <w:vMerge/>
            <w:vAlign w:val="center"/>
            <w:hideMark/>
          </w:tcPr>
          <w:p w:rsidR="00E240F8" w:rsidRPr="00C368CC" w:rsidRDefault="00E240F8" w:rsidP="00927360">
            <w:pPr>
              <w:snapToGrid w:val="0"/>
              <w:jc w:val="center"/>
              <w:rPr>
                <w:sz w:val="21"/>
                <w:szCs w:val="21"/>
              </w:rPr>
            </w:pPr>
          </w:p>
        </w:tc>
        <w:tc>
          <w:tcPr>
            <w:tcW w:w="1295" w:type="dxa"/>
            <w:vMerge/>
            <w:vAlign w:val="center"/>
            <w:hideMark/>
          </w:tcPr>
          <w:p w:rsidR="00E240F8" w:rsidRPr="00C368CC" w:rsidRDefault="00E240F8" w:rsidP="00927360">
            <w:pPr>
              <w:snapToGrid w:val="0"/>
              <w:jc w:val="center"/>
              <w:rPr>
                <w:sz w:val="21"/>
                <w:szCs w:val="21"/>
              </w:rPr>
            </w:pPr>
          </w:p>
        </w:tc>
      </w:tr>
      <w:tr w:rsidR="00E240F8" w:rsidRPr="00C368CC" w:rsidTr="00927360">
        <w:trPr>
          <w:trHeight w:val="567"/>
          <w:jc w:val="center"/>
        </w:trPr>
        <w:tc>
          <w:tcPr>
            <w:tcW w:w="701" w:type="dxa"/>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vAlign w:val="center"/>
            <w:hideMark/>
          </w:tcPr>
          <w:p w:rsidR="00E240F8" w:rsidRPr="00C368CC" w:rsidRDefault="00E240F8" w:rsidP="00927360">
            <w:pPr>
              <w:snapToGrid w:val="0"/>
              <w:rPr>
                <w:sz w:val="21"/>
                <w:szCs w:val="21"/>
              </w:rPr>
            </w:pPr>
            <w:r>
              <w:rPr>
                <w:sz w:val="21"/>
                <w:szCs w:val="21"/>
              </w:rPr>
              <w:t>4</w:t>
            </w:r>
            <w:r w:rsidRPr="00C368CC">
              <w:rPr>
                <w:rFonts w:hint="eastAsia"/>
                <w:sz w:val="21"/>
                <w:szCs w:val="21"/>
              </w:rPr>
              <w:t>.3废水中pH值、色度、悬浮物、化学需氧量、五日生化需氧量、氨氮、总氮、总磷、总有机碳、石油类、动植物油、硫化物、挥发酚、阴离子表面活性剂、总钒、苯、甲苯、邻二甲苯、对二甲苯、间二甲苯、乙苯、总氰化物、苯并[a]芘、总砷、总铅、总镉、总镍、总铜、总锌、总汞、总钴、总银、铍、钡、硒、烷基汞、六价铬、氟化物、粪大肠菌群、萘、苊、二氢苊、芴、菲、蒽、荧蒽、芘、苯并[a]蒽、䓛、苯并[b]荧蒽、苯并[k]荧蒽、茚并[1,2,3-cd]芘、二苯并[a,h]蒽、苯并[g，h，i]苝、三氯甲烷、四氯化碳、三氯乙烯、四氯乙烯、氯苯、1,2－二氯苯、1,4－二氯苯、1,3－二氯苯、苯酚、对－硝基氯苯、2,4－二硝基氯苯、苯酚、3－甲酚、4－甲酚、2－甲酚、2,4－二氯酚、2,4,6－三氯酚、邻苯二甲酸二丁酯、邻苯二甲酸二辛酯、总α放射性、 总β放射性、丙烯腈、丙烯醛、苯胺、铬、总硬度、溶解性总固体、硫酸盐、氯化物、铁、锰、亚硝酸盐（氮）、硝酸盐氮、水温、全盐量；</w:t>
            </w:r>
          </w:p>
        </w:tc>
        <w:tc>
          <w:tcPr>
            <w:tcW w:w="1276" w:type="dxa"/>
            <w:vMerge/>
            <w:vAlign w:val="center"/>
            <w:hideMark/>
          </w:tcPr>
          <w:p w:rsidR="00E240F8" w:rsidRPr="00C368CC" w:rsidRDefault="00E240F8" w:rsidP="00927360">
            <w:pPr>
              <w:snapToGrid w:val="0"/>
              <w:jc w:val="center"/>
              <w:rPr>
                <w:sz w:val="21"/>
                <w:szCs w:val="21"/>
              </w:rPr>
            </w:pPr>
          </w:p>
        </w:tc>
        <w:tc>
          <w:tcPr>
            <w:tcW w:w="831" w:type="dxa"/>
            <w:vMerge/>
            <w:vAlign w:val="center"/>
            <w:hideMark/>
          </w:tcPr>
          <w:p w:rsidR="00E240F8" w:rsidRPr="00C368CC" w:rsidRDefault="00E240F8" w:rsidP="00927360">
            <w:pPr>
              <w:snapToGrid w:val="0"/>
              <w:jc w:val="center"/>
              <w:rPr>
                <w:sz w:val="21"/>
                <w:szCs w:val="21"/>
              </w:rPr>
            </w:pPr>
          </w:p>
        </w:tc>
        <w:tc>
          <w:tcPr>
            <w:tcW w:w="1295" w:type="dxa"/>
            <w:vMerge/>
            <w:vAlign w:val="center"/>
            <w:hideMark/>
          </w:tcPr>
          <w:p w:rsidR="00E240F8" w:rsidRPr="00C368CC" w:rsidRDefault="00E240F8" w:rsidP="00927360">
            <w:pPr>
              <w:snapToGrid w:val="0"/>
              <w:jc w:val="center"/>
              <w:rPr>
                <w:sz w:val="21"/>
                <w:szCs w:val="21"/>
              </w:rPr>
            </w:pPr>
          </w:p>
        </w:tc>
      </w:tr>
      <w:tr w:rsidR="00E240F8" w:rsidRPr="00C368CC" w:rsidTr="00927360">
        <w:trPr>
          <w:trHeight w:val="567"/>
          <w:jc w:val="center"/>
        </w:trPr>
        <w:tc>
          <w:tcPr>
            <w:tcW w:w="701" w:type="dxa"/>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vAlign w:val="center"/>
            <w:hideMark/>
          </w:tcPr>
          <w:p w:rsidR="00E240F8" w:rsidRPr="00C368CC" w:rsidRDefault="00E240F8" w:rsidP="00927360">
            <w:pPr>
              <w:snapToGrid w:val="0"/>
              <w:rPr>
                <w:sz w:val="21"/>
                <w:szCs w:val="21"/>
              </w:rPr>
            </w:pPr>
            <w:r>
              <w:rPr>
                <w:sz w:val="21"/>
                <w:szCs w:val="21"/>
              </w:rPr>
              <w:t>4</w:t>
            </w:r>
            <w:r w:rsidRPr="00C368CC">
              <w:rPr>
                <w:rFonts w:hint="eastAsia"/>
                <w:sz w:val="21"/>
                <w:szCs w:val="21"/>
              </w:rPr>
              <w:t>.4土壤中砷、镉、铜、铅、汞、镍、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领二甲苯、硝基苯、苯胺、2－氯酚、苯并[a]蒽、苯并[a]芘、苯并[b]荧蒽、苯并[K]荧蒽、䓛、二苯并[a.h]蒽、茚并[1,2,3-cd]芘、萘、六价铬；</w:t>
            </w:r>
          </w:p>
        </w:tc>
        <w:tc>
          <w:tcPr>
            <w:tcW w:w="1276" w:type="dxa"/>
            <w:vMerge/>
            <w:vAlign w:val="center"/>
            <w:hideMark/>
          </w:tcPr>
          <w:p w:rsidR="00E240F8" w:rsidRPr="00C368CC" w:rsidRDefault="00E240F8" w:rsidP="00927360">
            <w:pPr>
              <w:snapToGrid w:val="0"/>
              <w:jc w:val="center"/>
              <w:rPr>
                <w:sz w:val="21"/>
                <w:szCs w:val="21"/>
              </w:rPr>
            </w:pPr>
          </w:p>
        </w:tc>
        <w:tc>
          <w:tcPr>
            <w:tcW w:w="831" w:type="dxa"/>
            <w:vMerge/>
            <w:vAlign w:val="center"/>
            <w:hideMark/>
          </w:tcPr>
          <w:p w:rsidR="00E240F8" w:rsidRPr="00C368CC" w:rsidRDefault="00E240F8" w:rsidP="00927360">
            <w:pPr>
              <w:snapToGrid w:val="0"/>
              <w:jc w:val="center"/>
              <w:rPr>
                <w:sz w:val="21"/>
                <w:szCs w:val="21"/>
              </w:rPr>
            </w:pPr>
          </w:p>
        </w:tc>
        <w:tc>
          <w:tcPr>
            <w:tcW w:w="1295" w:type="dxa"/>
            <w:vMerge/>
            <w:vAlign w:val="center"/>
            <w:hideMark/>
          </w:tcPr>
          <w:p w:rsidR="00E240F8" w:rsidRPr="00C368CC" w:rsidRDefault="00E240F8" w:rsidP="00927360">
            <w:pPr>
              <w:snapToGrid w:val="0"/>
              <w:jc w:val="center"/>
              <w:rPr>
                <w:sz w:val="21"/>
                <w:szCs w:val="21"/>
              </w:rPr>
            </w:pPr>
          </w:p>
        </w:tc>
      </w:tr>
      <w:tr w:rsidR="00E240F8" w:rsidRPr="00C368CC" w:rsidTr="00927360">
        <w:trPr>
          <w:trHeight w:val="626"/>
          <w:jc w:val="center"/>
        </w:trPr>
        <w:tc>
          <w:tcPr>
            <w:tcW w:w="701" w:type="dxa"/>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vAlign w:val="center"/>
            <w:hideMark/>
          </w:tcPr>
          <w:p w:rsidR="00E240F8" w:rsidRPr="00C368CC" w:rsidRDefault="00E240F8" w:rsidP="00927360">
            <w:pPr>
              <w:snapToGrid w:val="0"/>
              <w:rPr>
                <w:sz w:val="21"/>
                <w:szCs w:val="21"/>
              </w:rPr>
            </w:pPr>
            <w:r>
              <w:rPr>
                <w:sz w:val="21"/>
                <w:szCs w:val="21"/>
              </w:rPr>
              <w:t>4</w:t>
            </w:r>
            <w:r w:rsidRPr="00C368CC">
              <w:rPr>
                <w:rFonts w:hint="eastAsia"/>
                <w:sz w:val="21"/>
                <w:szCs w:val="21"/>
              </w:rPr>
              <w:t>.5煤质中水分、灰分、挥发酚、全硫；</w:t>
            </w:r>
          </w:p>
        </w:tc>
        <w:tc>
          <w:tcPr>
            <w:tcW w:w="1276" w:type="dxa"/>
            <w:vMerge/>
            <w:vAlign w:val="center"/>
            <w:hideMark/>
          </w:tcPr>
          <w:p w:rsidR="00E240F8" w:rsidRPr="00C368CC" w:rsidRDefault="00E240F8" w:rsidP="00927360">
            <w:pPr>
              <w:snapToGrid w:val="0"/>
              <w:jc w:val="center"/>
              <w:rPr>
                <w:sz w:val="21"/>
                <w:szCs w:val="21"/>
              </w:rPr>
            </w:pPr>
          </w:p>
        </w:tc>
        <w:tc>
          <w:tcPr>
            <w:tcW w:w="831" w:type="dxa"/>
            <w:vMerge/>
            <w:vAlign w:val="center"/>
            <w:hideMark/>
          </w:tcPr>
          <w:p w:rsidR="00E240F8" w:rsidRPr="00C368CC" w:rsidRDefault="00E240F8" w:rsidP="00927360">
            <w:pPr>
              <w:snapToGrid w:val="0"/>
              <w:jc w:val="center"/>
              <w:rPr>
                <w:sz w:val="21"/>
                <w:szCs w:val="21"/>
              </w:rPr>
            </w:pPr>
          </w:p>
        </w:tc>
        <w:tc>
          <w:tcPr>
            <w:tcW w:w="1295" w:type="dxa"/>
            <w:vMerge/>
            <w:vAlign w:val="center"/>
            <w:hideMark/>
          </w:tcPr>
          <w:p w:rsidR="00E240F8" w:rsidRPr="00C368CC" w:rsidRDefault="00E240F8" w:rsidP="00927360">
            <w:pPr>
              <w:snapToGrid w:val="0"/>
              <w:jc w:val="center"/>
              <w:rPr>
                <w:sz w:val="21"/>
                <w:szCs w:val="21"/>
              </w:rPr>
            </w:pPr>
          </w:p>
        </w:tc>
      </w:tr>
      <w:tr w:rsidR="00E240F8" w:rsidRPr="00C368CC" w:rsidTr="00927360">
        <w:trPr>
          <w:trHeight w:val="567"/>
          <w:jc w:val="center"/>
        </w:trPr>
        <w:tc>
          <w:tcPr>
            <w:tcW w:w="701" w:type="dxa"/>
            <w:vAlign w:val="center"/>
          </w:tcPr>
          <w:p w:rsidR="00E240F8" w:rsidRPr="00BE1703" w:rsidRDefault="00E240F8" w:rsidP="00E240F8">
            <w:pPr>
              <w:pStyle w:val="a4"/>
              <w:numPr>
                <w:ilvl w:val="0"/>
                <w:numId w:val="1"/>
              </w:numPr>
              <w:snapToGrid w:val="0"/>
              <w:ind w:left="0" w:rightChars="-50" w:right="-120" w:firstLine="0"/>
              <w:jc w:val="center"/>
              <w:rPr>
                <w:sz w:val="21"/>
                <w:szCs w:val="21"/>
              </w:rPr>
            </w:pPr>
          </w:p>
        </w:tc>
        <w:tc>
          <w:tcPr>
            <w:tcW w:w="5106" w:type="dxa"/>
            <w:vAlign w:val="center"/>
            <w:hideMark/>
          </w:tcPr>
          <w:p w:rsidR="00E240F8" w:rsidRPr="00C368CC" w:rsidRDefault="00E240F8" w:rsidP="00927360">
            <w:pPr>
              <w:snapToGrid w:val="0"/>
              <w:rPr>
                <w:sz w:val="21"/>
                <w:szCs w:val="21"/>
              </w:rPr>
            </w:pPr>
            <w:r>
              <w:rPr>
                <w:sz w:val="21"/>
                <w:szCs w:val="21"/>
              </w:rPr>
              <w:t>4</w:t>
            </w:r>
            <w:r w:rsidRPr="00C368CC">
              <w:rPr>
                <w:rFonts w:hint="eastAsia"/>
                <w:sz w:val="21"/>
                <w:szCs w:val="21"/>
              </w:rPr>
              <w:t>.6固体废物中pH、砷、铅、镉、镍、铜、锌、总铬、六价铬、烷基汞、汞、钴、银、铍、钡、银、硒、氟化物、氰化物、滴滴涕、六六六、乐果、对硫磷、甲基对硫磷、马拉硫磷、氯丹、六氯苯、硝基苯、二硝基苯、对硝基氯苯、2,4－二硝基氯苯、五</w:t>
            </w:r>
            <w:r w:rsidRPr="00C368CC">
              <w:rPr>
                <w:rFonts w:hint="eastAsia"/>
                <w:sz w:val="21"/>
                <w:szCs w:val="21"/>
              </w:rPr>
              <w:lastRenderedPageBreak/>
              <w:t>氯酚、苯酚、2,4－二氯苯酚、2,4,6－三氯苯酚、苯并[a]芘、多氯联苯、苯、甲苯、乙苯、二甲苯、氯苯、1,2－二氯苯、1,4－二氯苯、三氯甲烷、四氯化碳、三氯乙烯、四氯乙烯检测。</w:t>
            </w:r>
          </w:p>
        </w:tc>
        <w:tc>
          <w:tcPr>
            <w:tcW w:w="1276" w:type="dxa"/>
            <w:vMerge/>
            <w:vAlign w:val="center"/>
            <w:hideMark/>
          </w:tcPr>
          <w:p w:rsidR="00E240F8" w:rsidRPr="00C368CC" w:rsidRDefault="00E240F8" w:rsidP="00927360">
            <w:pPr>
              <w:snapToGrid w:val="0"/>
              <w:jc w:val="center"/>
              <w:rPr>
                <w:sz w:val="21"/>
                <w:szCs w:val="21"/>
              </w:rPr>
            </w:pPr>
          </w:p>
        </w:tc>
        <w:tc>
          <w:tcPr>
            <w:tcW w:w="831" w:type="dxa"/>
            <w:vMerge/>
            <w:vAlign w:val="center"/>
            <w:hideMark/>
          </w:tcPr>
          <w:p w:rsidR="00E240F8" w:rsidRPr="00C368CC" w:rsidRDefault="00E240F8" w:rsidP="00927360">
            <w:pPr>
              <w:snapToGrid w:val="0"/>
              <w:jc w:val="center"/>
              <w:rPr>
                <w:sz w:val="21"/>
                <w:szCs w:val="21"/>
              </w:rPr>
            </w:pPr>
          </w:p>
        </w:tc>
        <w:tc>
          <w:tcPr>
            <w:tcW w:w="1295" w:type="dxa"/>
            <w:vMerge/>
            <w:vAlign w:val="center"/>
            <w:hideMark/>
          </w:tcPr>
          <w:p w:rsidR="00E240F8" w:rsidRPr="00C368CC" w:rsidRDefault="00E240F8" w:rsidP="00927360">
            <w:pPr>
              <w:snapToGrid w:val="0"/>
              <w:jc w:val="center"/>
              <w:rPr>
                <w:sz w:val="21"/>
                <w:szCs w:val="21"/>
              </w:rPr>
            </w:pPr>
          </w:p>
        </w:tc>
      </w:tr>
      <w:tr w:rsidR="00E240F8" w:rsidRPr="00C368CC" w:rsidTr="00927360">
        <w:trPr>
          <w:trHeight w:val="567"/>
          <w:jc w:val="center"/>
        </w:trPr>
        <w:tc>
          <w:tcPr>
            <w:tcW w:w="5807" w:type="dxa"/>
            <w:gridSpan w:val="2"/>
            <w:vAlign w:val="center"/>
          </w:tcPr>
          <w:p w:rsidR="00E240F8" w:rsidRPr="00BE1703" w:rsidRDefault="00E240F8" w:rsidP="00927360">
            <w:pPr>
              <w:pStyle w:val="a4"/>
              <w:snapToGrid w:val="0"/>
              <w:ind w:left="0" w:rightChars="-50" w:right="-120" w:firstLine="0"/>
              <w:jc w:val="center"/>
              <w:rPr>
                <w:b/>
                <w:bCs/>
              </w:rPr>
            </w:pPr>
            <w:r>
              <w:rPr>
                <w:rFonts w:hint="eastAsia"/>
                <w:b/>
                <w:bCs/>
              </w:rPr>
              <w:lastRenderedPageBreak/>
              <w:t>合计</w:t>
            </w:r>
          </w:p>
        </w:tc>
        <w:tc>
          <w:tcPr>
            <w:tcW w:w="1276" w:type="dxa"/>
            <w:vAlign w:val="center"/>
          </w:tcPr>
          <w:p w:rsidR="00E240F8" w:rsidRPr="00AD1A68" w:rsidRDefault="00E240F8" w:rsidP="00FE1CD6">
            <w:pPr>
              <w:snapToGrid w:val="0"/>
              <w:jc w:val="center"/>
              <w:rPr>
                <w:b/>
                <w:bCs/>
                <w:sz w:val="22"/>
              </w:rPr>
            </w:pPr>
            <w:r>
              <w:rPr>
                <w:b/>
                <w:bCs/>
                <w:sz w:val="22"/>
              </w:rPr>
              <w:t>42</w:t>
            </w:r>
            <w:r w:rsidR="00FE1CD6">
              <w:rPr>
                <w:b/>
                <w:bCs/>
                <w:sz w:val="22"/>
              </w:rPr>
              <w:t>280</w:t>
            </w:r>
            <w:bookmarkStart w:id="1" w:name="_GoBack"/>
            <w:bookmarkEnd w:id="1"/>
            <w:r>
              <w:rPr>
                <w:b/>
                <w:bCs/>
                <w:sz w:val="22"/>
              </w:rPr>
              <w:t>.00</w:t>
            </w:r>
          </w:p>
        </w:tc>
        <w:tc>
          <w:tcPr>
            <w:tcW w:w="831" w:type="dxa"/>
            <w:vAlign w:val="center"/>
          </w:tcPr>
          <w:p w:rsidR="00E240F8" w:rsidRPr="00AD1A68" w:rsidRDefault="00E240F8" w:rsidP="00927360">
            <w:pPr>
              <w:snapToGrid w:val="0"/>
              <w:jc w:val="center"/>
              <w:rPr>
                <w:b/>
                <w:bCs/>
                <w:sz w:val="22"/>
              </w:rPr>
            </w:pPr>
            <w:r>
              <w:rPr>
                <w:rFonts w:hint="eastAsia"/>
                <w:b/>
                <w:bCs/>
                <w:sz w:val="22"/>
              </w:rPr>
              <w:t>/</w:t>
            </w:r>
          </w:p>
        </w:tc>
        <w:tc>
          <w:tcPr>
            <w:tcW w:w="1295" w:type="dxa"/>
            <w:vAlign w:val="center"/>
          </w:tcPr>
          <w:p w:rsidR="00E240F8" w:rsidRPr="00AD1A68" w:rsidRDefault="00E240F8" w:rsidP="00FE1CD6">
            <w:pPr>
              <w:snapToGrid w:val="0"/>
              <w:jc w:val="center"/>
              <w:rPr>
                <w:b/>
                <w:bCs/>
                <w:sz w:val="22"/>
              </w:rPr>
            </w:pPr>
            <w:r>
              <w:rPr>
                <w:rFonts w:hint="eastAsia"/>
                <w:b/>
                <w:bCs/>
                <w:sz w:val="22"/>
              </w:rPr>
              <w:t>1</w:t>
            </w:r>
            <w:r w:rsidR="00FE1CD6">
              <w:rPr>
                <w:b/>
                <w:bCs/>
                <w:sz w:val="22"/>
              </w:rPr>
              <w:t>49</w:t>
            </w:r>
            <w:r>
              <w:rPr>
                <w:b/>
                <w:bCs/>
                <w:sz w:val="22"/>
              </w:rPr>
              <w:t>0000.00</w:t>
            </w:r>
          </w:p>
        </w:tc>
      </w:tr>
    </w:tbl>
    <w:p w:rsidR="00E240F8" w:rsidRPr="00C368CC" w:rsidRDefault="00E240F8" w:rsidP="00E240F8"/>
    <w:p w:rsidR="000F2D96" w:rsidRDefault="000F2D96"/>
    <w:sectPr w:rsidR="000F2D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667F0"/>
    <w:multiLevelType w:val="hybridMultilevel"/>
    <w:tmpl w:val="77E4E9CE"/>
    <w:lvl w:ilvl="0" w:tplc="893070A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F8"/>
    <w:rsid w:val="000F2D96"/>
    <w:rsid w:val="00E240F8"/>
    <w:rsid w:val="00FE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F2B7"/>
  <w15:chartTrackingRefBased/>
  <w15:docId w15:val="{548AAE02-5657-48C7-B31E-48E4FEDC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0F8"/>
    <w:pPr>
      <w:widowControl w:val="0"/>
    </w:pPr>
    <w:rPr>
      <w:sz w:val="24"/>
    </w:rPr>
  </w:style>
  <w:style w:type="paragraph" w:styleId="2">
    <w:name w:val="heading 2"/>
    <w:basedOn w:val="a"/>
    <w:next w:val="a"/>
    <w:link w:val="20"/>
    <w:uiPriority w:val="9"/>
    <w:unhideWhenUsed/>
    <w:qFormat/>
    <w:rsid w:val="00E240F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E240F8"/>
    <w:rPr>
      <w:rFonts w:asciiTheme="majorHAnsi" w:eastAsiaTheme="majorEastAsia" w:hAnsiTheme="majorHAnsi" w:cstheme="majorBidi"/>
      <w:b/>
      <w:bCs/>
      <w:sz w:val="32"/>
      <w:szCs w:val="32"/>
    </w:rPr>
  </w:style>
  <w:style w:type="table" w:styleId="a3">
    <w:name w:val="Table Grid"/>
    <w:basedOn w:val="a1"/>
    <w:uiPriority w:val="99"/>
    <w:qFormat/>
    <w:rsid w:val="00E2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E240F8"/>
    <w:pPr>
      <w:autoSpaceDE w:val="0"/>
      <w:autoSpaceDN w:val="0"/>
      <w:spacing w:line="228" w:lineRule="exact"/>
      <w:ind w:left="312" w:hanging="506"/>
    </w:pPr>
    <w:rPr>
      <w:rFonts w:ascii="宋体" w:eastAsia="宋体" w:hAnsi="宋体" w:cs="宋体"/>
      <w:kern w:val="0"/>
      <w:sz w:val="22"/>
    </w:rPr>
  </w:style>
  <w:style w:type="character" w:customStyle="1" w:styleId="a5">
    <w:name w:val="列出段落 字符"/>
    <w:link w:val="a4"/>
    <w:uiPriority w:val="34"/>
    <w:qFormat/>
    <w:rsid w:val="00E240F8"/>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2022-06-30T01:29:00Z</dcterms:created>
  <dcterms:modified xsi:type="dcterms:W3CDTF">2022-06-30T01:36:00Z</dcterms:modified>
</cp:coreProperties>
</file>