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8B9" w:rsidRDefault="00087554">
      <w:r>
        <w:rPr>
          <w:noProof/>
        </w:rPr>
        <w:drawing>
          <wp:inline distT="0" distB="0" distL="0" distR="0" wp14:anchorId="7C7A9C38" wp14:editId="7FA2B1C0">
            <wp:extent cx="8791575" cy="28003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8791575" cy="2800350"/>
                    </a:xfrm>
                    <a:prstGeom prst="rect">
                      <a:avLst/>
                    </a:prstGeom>
                  </pic:spPr>
                </pic:pic>
              </a:graphicData>
            </a:graphic>
          </wp:inline>
        </w:drawing>
      </w:r>
    </w:p>
    <w:p w:rsidR="00087554" w:rsidRDefault="00087554">
      <w:bookmarkStart w:id="0" w:name="_GoBack"/>
      <w:r>
        <w:rPr>
          <w:noProof/>
        </w:rPr>
        <w:drawing>
          <wp:inline distT="0" distB="0" distL="0" distR="0" wp14:anchorId="69077D66" wp14:editId="70C98A0A">
            <wp:extent cx="6761552" cy="2202180"/>
            <wp:effectExtent l="0" t="0" r="127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853699" cy="2232191"/>
                    </a:xfrm>
                    <a:prstGeom prst="rect">
                      <a:avLst/>
                    </a:prstGeom>
                  </pic:spPr>
                </pic:pic>
              </a:graphicData>
            </a:graphic>
          </wp:inline>
        </w:drawing>
      </w:r>
      <w:bookmarkEnd w:id="0"/>
    </w:p>
    <w:p w:rsidR="00087554" w:rsidRDefault="00087554">
      <w:pPr>
        <w:rPr>
          <w:rFonts w:hint="eastAsia"/>
        </w:rPr>
      </w:pPr>
      <w:r>
        <w:rPr>
          <w:noProof/>
        </w:rPr>
        <w:lastRenderedPageBreak/>
        <w:drawing>
          <wp:inline distT="0" distB="0" distL="0" distR="0" wp14:anchorId="34D908D6" wp14:editId="2E1F1FF3">
            <wp:extent cx="8562975" cy="129540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8562975" cy="1295400"/>
                    </a:xfrm>
                    <a:prstGeom prst="rect">
                      <a:avLst/>
                    </a:prstGeom>
                  </pic:spPr>
                </pic:pic>
              </a:graphicData>
            </a:graphic>
          </wp:inline>
        </w:drawing>
      </w:r>
    </w:p>
    <w:tbl>
      <w:tblPr>
        <w:tblStyle w:val="a3"/>
        <w:tblW w:w="5000" w:type="pct"/>
        <w:tblLayout w:type="fixed"/>
        <w:tblLook w:val="04A0" w:firstRow="1" w:lastRow="0" w:firstColumn="1" w:lastColumn="0" w:noHBand="0" w:noVBand="1"/>
      </w:tblPr>
      <w:tblGrid>
        <w:gridCol w:w="1074"/>
        <w:gridCol w:w="3504"/>
        <w:gridCol w:w="3071"/>
        <w:gridCol w:w="1278"/>
        <w:gridCol w:w="706"/>
        <w:gridCol w:w="709"/>
        <w:gridCol w:w="711"/>
        <w:gridCol w:w="1478"/>
        <w:gridCol w:w="1417"/>
      </w:tblGrid>
      <w:tr w:rsidR="00C710C9" w:rsidTr="00C710C9">
        <w:tc>
          <w:tcPr>
            <w:tcW w:w="385" w:type="pct"/>
          </w:tcPr>
          <w:p w:rsidR="00C710C9" w:rsidRDefault="00C710C9">
            <w:pPr>
              <w:rPr>
                <w:rFonts w:hint="eastAsia"/>
              </w:rPr>
            </w:pPr>
            <w:r>
              <w:rPr>
                <w:rFonts w:hint="eastAsia"/>
              </w:rPr>
              <w:t>序号</w:t>
            </w:r>
          </w:p>
        </w:tc>
        <w:tc>
          <w:tcPr>
            <w:tcW w:w="1256" w:type="pct"/>
          </w:tcPr>
          <w:p w:rsidR="00C710C9" w:rsidRDefault="00C710C9">
            <w:pPr>
              <w:rPr>
                <w:rFonts w:hint="eastAsia"/>
              </w:rPr>
            </w:pPr>
            <w:r>
              <w:rPr>
                <w:rFonts w:hint="eastAsia"/>
              </w:rPr>
              <w:t>标的名称</w:t>
            </w:r>
          </w:p>
        </w:tc>
        <w:tc>
          <w:tcPr>
            <w:tcW w:w="1101" w:type="pct"/>
          </w:tcPr>
          <w:p w:rsidR="00C710C9" w:rsidRDefault="00C710C9" w:rsidP="00C710C9">
            <w:pPr>
              <w:widowControl/>
              <w:rPr>
                <w:rFonts w:hint="eastAsia"/>
              </w:rPr>
            </w:pPr>
            <w:r>
              <w:rPr>
                <w:rStyle w:val="fontstyle01"/>
                <w:rFonts w:hint="default"/>
              </w:rPr>
              <w:t>品牌、规格型号/主要服务内容</w:t>
            </w:r>
          </w:p>
        </w:tc>
        <w:tc>
          <w:tcPr>
            <w:tcW w:w="458" w:type="pct"/>
          </w:tcPr>
          <w:p w:rsidR="00C710C9" w:rsidRDefault="00C710C9">
            <w:pPr>
              <w:rPr>
                <w:rFonts w:hint="eastAsia"/>
              </w:rPr>
            </w:pPr>
            <w:r>
              <w:rPr>
                <w:rFonts w:hint="eastAsia"/>
              </w:rPr>
              <w:t>制造商</w:t>
            </w:r>
            <w:r>
              <w:t>名称</w:t>
            </w:r>
          </w:p>
        </w:tc>
        <w:tc>
          <w:tcPr>
            <w:tcW w:w="253" w:type="pct"/>
          </w:tcPr>
          <w:p w:rsidR="00C710C9" w:rsidRDefault="00C710C9">
            <w:pPr>
              <w:rPr>
                <w:rFonts w:hint="eastAsia"/>
              </w:rPr>
            </w:pPr>
            <w:r>
              <w:rPr>
                <w:rFonts w:hint="eastAsia"/>
              </w:rPr>
              <w:t>产地</w:t>
            </w:r>
          </w:p>
        </w:tc>
        <w:tc>
          <w:tcPr>
            <w:tcW w:w="254" w:type="pct"/>
          </w:tcPr>
          <w:p w:rsidR="00C710C9" w:rsidRDefault="00C710C9">
            <w:pPr>
              <w:rPr>
                <w:rFonts w:hint="eastAsia"/>
              </w:rPr>
            </w:pPr>
            <w:r>
              <w:rPr>
                <w:rFonts w:hint="eastAsia"/>
              </w:rPr>
              <w:t>数量</w:t>
            </w:r>
          </w:p>
        </w:tc>
        <w:tc>
          <w:tcPr>
            <w:tcW w:w="255" w:type="pct"/>
          </w:tcPr>
          <w:p w:rsidR="00C710C9" w:rsidRDefault="00C710C9">
            <w:pPr>
              <w:rPr>
                <w:rFonts w:hint="eastAsia"/>
              </w:rPr>
            </w:pPr>
            <w:r>
              <w:rPr>
                <w:rFonts w:hint="eastAsia"/>
              </w:rPr>
              <w:t>单位</w:t>
            </w:r>
          </w:p>
        </w:tc>
        <w:tc>
          <w:tcPr>
            <w:tcW w:w="530" w:type="pct"/>
          </w:tcPr>
          <w:p w:rsidR="00C710C9" w:rsidRDefault="00C710C9" w:rsidP="00C710C9">
            <w:pPr>
              <w:rPr>
                <w:rFonts w:hint="eastAsia"/>
              </w:rPr>
            </w:pPr>
            <w:r>
              <w:rPr>
                <w:rFonts w:hint="eastAsia"/>
              </w:rPr>
              <w:t>单价（</w:t>
            </w:r>
            <w:r>
              <w:t>元）</w:t>
            </w:r>
          </w:p>
        </w:tc>
        <w:tc>
          <w:tcPr>
            <w:tcW w:w="508" w:type="pct"/>
          </w:tcPr>
          <w:p w:rsidR="00C710C9" w:rsidRDefault="00C710C9">
            <w:pPr>
              <w:rPr>
                <w:rFonts w:hint="eastAsia"/>
              </w:rPr>
            </w:pPr>
            <w:r>
              <w:rPr>
                <w:rFonts w:hint="eastAsia"/>
              </w:rPr>
              <w:t>总</w:t>
            </w:r>
            <w:r>
              <w:rPr>
                <w:rFonts w:hint="eastAsia"/>
              </w:rPr>
              <w:t>价（</w:t>
            </w:r>
            <w:r>
              <w:t>元）</w:t>
            </w:r>
          </w:p>
        </w:tc>
      </w:tr>
      <w:tr w:rsidR="00C710C9" w:rsidTr="00C710C9">
        <w:tc>
          <w:tcPr>
            <w:tcW w:w="385" w:type="pct"/>
          </w:tcPr>
          <w:p w:rsidR="00C710C9" w:rsidRDefault="00C710C9">
            <w:pPr>
              <w:rPr>
                <w:rFonts w:hint="eastAsia"/>
              </w:rPr>
            </w:pPr>
            <w:r>
              <w:rPr>
                <w:rFonts w:hint="eastAsia"/>
              </w:rPr>
              <w:t>1</w:t>
            </w:r>
          </w:p>
        </w:tc>
        <w:tc>
          <w:tcPr>
            <w:tcW w:w="1256" w:type="pct"/>
          </w:tcPr>
          <w:p w:rsidR="00C710C9" w:rsidRPr="00C710C9" w:rsidRDefault="00C710C9" w:rsidP="00C710C9">
            <w:pPr>
              <w:widowControl/>
              <w:rPr>
                <w:rFonts w:hint="eastAsia"/>
              </w:rPr>
            </w:pPr>
            <w:r>
              <w:rPr>
                <w:rStyle w:val="fontstyle01"/>
                <w:rFonts w:hint="default"/>
              </w:rPr>
              <w:t>开展面向草</w:t>
            </w:r>
            <w:proofErr w:type="gramStart"/>
            <w:r>
              <w:rPr>
                <w:rStyle w:val="fontstyle01"/>
                <w:rFonts w:hint="default"/>
              </w:rPr>
              <w:t>畜平衡</w:t>
            </w:r>
            <w:proofErr w:type="gramEnd"/>
            <w:r>
              <w:rPr>
                <w:rStyle w:val="fontstyle01"/>
                <w:rFonts w:hint="default"/>
              </w:rPr>
              <w:t>监测使用的MODIS/Landsat/</w:t>
            </w:r>
            <w:r w:rsidR="00D553C3">
              <w:rPr>
                <w:rStyle w:val="fontstyle01"/>
                <w:rFonts w:hint="default"/>
              </w:rPr>
              <w:t>Sentinel-2</w:t>
            </w:r>
            <w:r>
              <w:rPr>
                <w:rStyle w:val="fontstyle01"/>
                <w:rFonts w:hint="default"/>
              </w:rPr>
              <w:t>数据云、雾像元去除与</w:t>
            </w:r>
            <w:proofErr w:type="gramStart"/>
            <w:r>
              <w:rPr>
                <w:rStyle w:val="fontstyle01"/>
                <w:rFonts w:hint="default"/>
              </w:rPr>
              <w:t>缺失值</w:t>
            </w:r>
            <w:proofErr w:type="gramEnd"/>
            <w:r>
              <w:rPr>
                <w:rStyle w:val="fontstyle01"/>
                <w:rFonts w:hint="default"/>
              </w:rPr>
              <w:t>填补遥感再生产业务数据集</w:t>
            </w:r>
          </w:p>
        </w:tc>
        <w:tc>
          <w:tcPr>
            <w:tcW w:w="1101" w:type="pct"/>
          </w:tcPr>
          <w:p w:rsidR="00C710C9" w:rsidRPr="00C710C9" w:rsidRDefault="00C710C9" w:rsidP="00C710C9">
            <w:pPr>
              <w:widowControl/>
              <w:rPr>
                <w:rFonts w:hint="eastAsia"/>
              </w:rPr>
            </w:pPr>
            <w:r>
              <w:rPr>
                <w:rStyle w:val="fontstyle01"/>
                <w:rFonts w:hint="default"/>
              </w:rPr>
              <w:t>(1)</w:t>
            </w:r>
            <w:r>
              <w:rPr>
                <w:rStyle w:val="fontstyle01"/>
                <w:rFonts w:hint="default"/>
              </w:rPr>
              <w:t>预处理内蒙</w:t>
            </w:r>
            <w:r>
              <w:rPr>
                <w:rStyle w:val="fontstyle01"/>
                <w:rFonts w:hint="default"/>
              </w:rPr>
              <w:t>自治区草</w:t>
            </w:r>
            <w:proofErr w:type="gramStart"/>
            <w:r>
              <w:rPr>
                <w:rStyle w:val="fontstyle01"/>
                <w:rFonts w:hint="default"/>
              </w:rPr>
              <w:t>畜平衡</w:t>
            </w:r>
            <w:proofErr w:type="gramEnd"/>
            <w:r>
              <w:rPr>
                <w:rStyle w:val="fontstyle01"/>
                <w:rFonts w:hint="default"/>
              </w:rPr>
              <w:t>监测区域植被生长物候过程连续、空间覆盖完整的500m、</w:t>
            </w:r>
            <w:r w:rsidR="00D553C3">
              <w:rPr>
                <w:rStyle w:val="fontstyle01"/>
                <w:rFonts w:hint="default"/>
              </w:rPr>
              <w:t>30m</w:t>
            </w:r>
            <w:r>
              <w:rPr>
                <w:rStyle w:val="fontstyle01"/>
                <w:rFonts w:hint="default"/>
              </w:rPr>
              <w:t>空间分辨率多光谱遥感原始数据集；</w:t>
            </w:r>
            <w:r>
              <w:rPr>
                <w:rFonts w:hint="eastAsia"/>
                <w:color w:val="000000"/>
                <w:sz w:val="22"/>
              </w:rPr>
              <w:br/>
            </w:r>
            <w:r>
              <w:rPr>
                <w:rStyle w:val="fontstyle01"/>
                <w:rFonts w:hint="default"/>
              </w:rPr>
              <w:t>(2)完成草</w:t>
            </w:r>
            <w:proofErr w:type="gramStart"/>
            <w:r>
              <w:rPr>
                <w:rStyle w:val="fontstyle01"/>
                <w:rFonts w:hint="default"/>
              </w:rPr>
              <w:t>畜平衡</w:t>
            </w:r>
            <w:proofErr w:type="gramEnd"/>
            <w:r>
              <w:rPr>
                <w:rStyle w:val="fontstyle01"/>
                <w:rFonts w:hint="default"/>
              </w:rPr>
              <w:t>监测区</w:t>
            </w:r>
            <w:r w:rsidR="00D553C3">
              <w:rPr>
                <w:rStyle w:val="fontstyle01"/>
                <w:rFonts w:hint="default"/>
              </w:rPr>
              <w:t>MODIS</w:t>
            </w:r>
            <w:r>
              <w:rPr>
                <w:rStyle w:val="fontstyle01"/>
                <w:rFonts w:hint="default"/>
              </w:rPr>
              <w:t>、</w:t>
            </w:r>
            <w:r w:rsidR="00D553C3">
              <w:rPr>
                <w:rStyle w:val="fontstyle01"/>
                <w:rFonts w:hint="default"/>
              </w:rPr>
              <w:t>Landsat</w:t>
            </w:r>
            <w:r>
              <w:rPr>
                <w:rStyle w:val="fontstyle01"/>
                <w:rFonts w:hint="default"/>
              </w:rPr>
              <w:t>、</w:t>
            </w:r>
            <w:r w:rsidR="00D553C3">
              <w:rPr>
                <w:rStyle w:val="fontstyle01"/>
                <w:rFonts w:hint="default"/>
              </w:rPr>
              <w:t>Sentinel-2</w:t>
            </w:r>
            <w:r>
              <w:rPr>
                <w:rStyle w:val="fontstyle01"/>
                <w:rFonts w:hint="default"/>
              </w:rPr>
              <w:t>数据的云、雾像元去除与</w:t>
            </w:r>
            <w:proofErr w:type="gramStart"/>
            <w:r>
              <w:rPr>
                <w:rStyle w:val="fontstyle01"/>
                <w:rFonts w:hint="default"/>
              </w:rPr>
              <w:t>缺失值</w:t>
            </w:r>
            <w:proofErr w:type="gramEnd"/>
            <w:r>
              <w:rPr>
                <w:rStyle w:val="fontstyle01"/>
                <w:rFonts w:hint="default"/>
              </w:rPr>
              <w:t>填补，生产高质量 的包括中（30m）、低（MODIS 500m）分辨率的时空融合监测业务数据；</w:t>
            </w:r>
          </w:p>
        </w:tc>
        <w:tc>
          <w:tcPr>
            <w:tcW w:w="458" w:type="pct"/>
          </w:tcPr>
          <w:p w:rsidR="00C710C9" w:rsidRDefault="00C710C9">
            <w:pPr>
              <w:rPr>
                <w:rFonts w:hint="eastAsia"/>
              </w:rPr>
            </w:pPr>
            <w:r>
              <w:rPr>
                <w:rFonts w:hint="eastAsia"/>
              </w:rPr>
              <w:t>—</w:t>
            </w:r>
          </w:p>
        </w:tc>
        <w:tc>
          <w:tcPr>
            <w:tcW w:w="253" w:type="pct"/>
          </w:tcPr>
          <w:p w:rsidR="00C710C9" w:rsidRDefault="00C710C9">
            <w:pPr>
              <w:rPr>
                <w:rFonts w:hint="eastAsia"/>
              </w:rPr>
            </w:pPr>
            <w:r>
              <w:rPr>
                <w:rFonts w:hint="eastAsia"/>
              </w:rPr>
              <w:t>—</w:t>
            </w:r>
          </w:p>
        </w:tc>
        <w:tc>
          <w:tcPr>
            <w:tcW w:w="254" w:type="pct"/>
          </w:tcPr>
          <w:p w:rsidR="00C710C9" w:rsidRDefault="00C710C9">
            <w:pPr>
              <w:rPr>
                <w:rFonts w:hint="eastAsia"/>
              </w:rPr>
            </w:pPr>
            <w:r>
              <w:rPr>
                <w:rFonts w:hint="eastAsia"/>
              </w:rPr>
              <w:t>1</w:t>
            </w:r>
          </w:p>
        </w:tc>
        <w:tc>
          <w:tcPr>
            <w:tcW w:w="255" w:type="pct"/>
          </w:tcPr>
          <w:p w:rsidR="00C710C9" w:rsidRDefault="00C710C9">
            <w:pPr>
              <w:rPr>
                <w:rFonts w:hint="eastAsia"/>
              </w:rPr>
            </w:pPr>
            <w:r>
              <w:rPr>
                <w:rFonts w:hint="eastAsia"/>
              </w:rPr>
              <w:t>套</w:t>
            </w:r>
          </w:p>
        </w:tc>
        <w:tc>
          <w:tcPr>
            <w:tcW w:w="530" w:type="pct"/>
          </w:tcPr>
          <w:p w:rsidR="00C710C9" w:rsidRDefault="00C710C9" w:rsidP="00D553C3">
            <w:pPr>
              <w:widowControl/>
              <w:rPr>
                <w:rFonts w:hint="eastAsia"/>
              </w:rPr>
            </w:pPr>
            <w:r>
              <w:rPr>
                <w:rStyle w:val="fontstyle01"/>
                <w:rFonts w:hint="default"/>
              </w:rPr>
              <w:t>360,000.00</w:t>
            </w:r>
          </w:p>
        </w:tc>
        <w:tc>
          <w:tcPr>
            <w:tcW w:w="508" w:type="pct"/>
          </w:tcPr>
          <w:p w:rsidR="00C710C9" w:rsidRDefault="00C710C9" w:rsidP="00D553C3">
            <w:pPr>
              <w:widowControl/>
              <w:rPr>
                <w:rFonts w:hint="eastAsia"/>
              </w:rPr>
            </w:pPr>
            <w:r>
              <w:rPr>
                <w:rStyle w:val="fontstyle01"/>
                <w:rFonts w:hint="default"/>
              </w:rPr>
              <w:t>360,000.00</w:t>
            </w:r>
          </w:p>
        </w:tc>
      </w:tr>
      <w:tr w:rsidR="00C710C9" w:rsidTr="00C710C9">
        <w:tc>
          <w:tcPr>
            <w:tcW w:w="385" w:type="pct"/>
          </w:tcPr>
          <w:p w:rsidR="00C710C9" w:rsidRDefault="00C710C9" w:rsidP="00C710C9">
            <w:pPr>
              <w:rPr>
                <w:rFonts w:hint="eastAsia"/>
              </w:rPr>
            </w:pPr>
            <w:r>
              <w:rPr>
                <w:rFonts w:hint="eastAsia"/>
              </w:rPr>
              <w:t>2</w:t>
            </w:r>
          </w:p>
        </w:tc>
        <w:tc>
          <w:tcPr>
            <w:tcW w:w="1256" w:type="pct"/>
          </w:tcPr>
          <w:p w:rsidR="00C710C9" w:rsidRPr="00C710C9" w:rsidRDefault="00C710C9" w:rsidP="00C710C9">
            <w:pPr>
              <w:widowControl/>
              <w:rPr>
                <w:rFonts w:hint="eastAsia"/>
              </w:rPr>
            </w:pPr>
            <w:r>
              <w:rPr>
                <w:rStyle w:val="fontstyle01"/>
                <w:rFonts w:hint="default"/>
              </w:rPr>
              <w:t>开展适用于草地资源监测的高时空分辨率冠层反射率、植被参数等指标的遥感时空融合数据集</w:t>
            </w:r>
          </w:p>
        </w:tc>
        <w:tc>
          <w:tcPr>
            <w:tcW w:w="1101" w:type="pct"/>
          </w:tcPr>
          <w:p w:rsidR="00C710C9" w:rsidRPr="00C710C9" w:rsidRDefault="00C710C9" w:rsidP="00C710C9">
            <w:pPr>
              <w:widowControl/>
              <w:rPr>
                <w:rFonts w:hint="eastAsia"/>
              </w:rPr>
            </w:pPr>
            <w:r>
              <w:rPr>
                <w:rStyle w:val="fontstyle01"/>
                <w:rFonts w:hint="default"/>
              </w:rPr>
              <w:t>(1)完成内蒙古自治区草</w:t>
            </w:r>
            <w:proofErr w:type="gramStart"/>
            <w:r>
              <w:rPr>
                <w:rStyle w:val="fontstyle01"/>
                <w:rFonts w:hint="default"/>
              </w:rPr>
              <w:t>畜平衡</w:t>
            </w:r>
            <w:proofErr w:type="gramEnd"/>
            <w:r>
              <w:rPr>
                <w:rStyle w:val="fontstyle01"/>
                <w:rFonts w:hint="default"/>
              </w:rPr>
              <w:t>监测覆盖范围全境、</w:t>
            </w:r>
            <w:r>
              <w:rPr>
                <w:rStyle w:val="fontstyle01"/>
                <w:rFonts w:hint="default"/>
              </w:rPr>
              <w:t xml:space="preserve"> 500m</w:t>
            </w:r>
            <w:r>
              <w:rPr>
                <w:rStyle w:val="fontstyle01"/>
                <w:rFonts w:hint="default"/>
              </w:rPr>
              <w:t>空间分辨率、不低于8 天重访周期的反射率和叶面积指数等指标的时空融</w:t>
            </w:r>
            <w:r>
              <w:rPr>
                <w:rStyle w:val="fontstyle01"/>
                <w:rFonts w:hint="default"/>
              </w:rPr>
              <w:lastRenderedPageBreak/>
              <w:t>合生产；</w:t>
            </w:r>
            <w:r>
              <w:rPr>
                <w:rFonts w:hint="eastAsia"/>
                <w:color w:val="000000"/>
                <w:sz w:val="22"/>
              </w:rPr>
              <w:br/>
            </w:r>
            <w:r>
              <w:rPr>
                <w:rStyle w:val="fontstyle01"/>
                <w:rFonts w:hint="default"/>
              </w:rPr>
              <w:t>(2)完成地表异质性强烈的重点旗县</w:t>
            </w:r>
            <w:r w:rsidR="00D553C3">
              <w:rPr>
                <w:rStyle w:val="fontstyle01"/>
                <w:rFonts w:hint="default"/>
              </w:rPr>
              <w:t>30m</w:t>
            </w:r>
            <w:r>
              <w:rPr>
                <w:rStyle w:val="fontstyle01"/>
                <w:rFonts w:hint="default"/>
              </w:rPr>
              <w:t>分辨率、不低于</w:t>
            </w:r>
            <w:r w:rsidR="00D553C3">
              <w:rPr>
                <w:rStyle w:val="fontstyle01"/>
                <w:rFonts w:hint="default"/>
              </w:rPr>
              <w:t>16</w:t>
            </w:r>
            <w:r>
              <w:rPr>
                <w:rStyle w:val="fontstyle01"/>
                <w:rFonts w:hint="default"/>
              </w:rPr>
              <w:t>天重访周期的反射率和植被指数等指标的时空融合生产;</w:t>
            </w:r>
            <w:r>
              <w:rPr>
                <w:rFonts w:hint="eastAsia"/>
                <w:color w:val="000000"/>
                <w:sz w:val="22"/>
              </w:rPr>
              <w:br/>
            </w:r>
            <w:r>
              <w:rPr>
                <w:rStyle w:val="fontstyle01"/>
                <w:rFonts w:hint="default"/>
              </w:rPr>
              <w:t>(3)分别完成内蒙古自治区全境及重点旗县监测期内反射率、叶面积指数、植被指数等遥感数据专题制图;</w:t>
            </w:r>
          </w:p>
        </w:tc>
        <w:tc>
          <w:tcPr>
            <w:tcW w:w="458" w:type="pct"/>
          </w:tcPr>
          <w:p w:rsidR="00C710C9" w:rsidRDefault="00C710C9" w:rsidP="00C710C9">
            <w:pPr>
              <w:rPr>
                <w:rFonts w:hint="eastAsia"/>
              </w:rPr>
            </w:pPr>
            <w:r>
              <w:rPr>
                <w:rFonts w:hint="eastAsia"/>
              </w:rPr>
              <w:lastRenderedPageBreak/>
              <w:t>—</w:t>
            </w:r>
          </w:p>
        </w:tc>
        <w:tc>
          <w:tcPr>
            <w:tcW w:w="253" w:type="pct"/>
          </w:tcPr>
          <w:p w:rsidR="00C710C9" w:rsidRDefault="00C710C9" w:rsidP="00C710C9">
            <w:pPr>
              <w:rPr>
                <w:rFonts w:hint="eastAsia"/>
              </w:rPr>
            </w:pPr>
            <w:r>
              <w:rPr>
                <w:rFonts w:hint="eastAsia"/>
              </w:rPr>
              <w:t>—</w:t>
            </w:r>
          </w:p>
        </w:tc>
        <w:tc>
          <w:tcPr>
            <w:tcW w:w="254" w:type="pct"/>
          </w:tcPr>
          <w:p w:rsidR="00C710C9" w:rsidRDefault="00C710C9" w:rsidP="00C710C9">
            <w:pPr>
              <w:rPr>
                <w:rFonts w:hint="eastAsia"/>
              </w:rPr>
            </w:pPr>
            <w:r>
              <w:rPr>
                <w:rFonts w:hint="eastAsia"/>
              </w:rPr>
              <w:t>1</w:t>
            </w:r>
          </w:p>
        </w:tc>
        <w:tc>
          <w:tcPr>
            <w:tcW w:w="255" w:type="pct"/>
          </w:tcPr>
          <w:p w:rsidR="00C710C9" w:rsidRDefault="00C710C9" w:rsidP="00C710C9">
            <w:pPr>
              <w:rPr>
                <w:rFonts w:hint="eastAsia"/>
              </w:rPr>
            </w:pPr>
            <w:r>
              <w:rPr>
                <w:rFonts w:hint="eastAsia"/>
              </w:rPr>
              <w:t>套</w:t>
            </w:r>
          </w:p>
        </w:tc>
        <w:tc>
          <w:tcPr>
            <w:tcW w:w="530" w:type="pct"/>
          </w:tcPr>
          <w:p w:rsidR="00C710C9" w:rsidRDefault="00C710C9" w:rsidP="00C710C9">
            <w:pPr>
              <w:widowControl/>
              <w:rPr>
                <w:rFonts w:hint="eastAsia"/>
              </w:rPr>
            </w:pPr>
            <w:r>
              <w:rPr>
                <w:rStyle w:val="fontstyle01"/>
                <w:rFonts w:hint="default"/>
              </w:rPr>
              <w:t>240,000.00</w:t>
            </w:r>
          </w:p>
        </w:tc>
        <w:tc>
          <w:tcPr>
            <w:tcW w:w="508" w:type="pct"/>
          </w:tcPr>
          <w:p w:rsidR="00C710C9" w:rsidRDefault="00C710C9" w:rsidP="00C710C9">
            <w:pPr>
              <w:widowControl/>
              <w:rPr>
                <w:rFonts w:hint="eastAsia"/>
              </w:rPr>
            </w:pPr>
            <w:r>
              <w:rPr>
                <w:rStyle w:val="fontstyle01"/>
                <w:rFonts w:hint="default"/>
              </w:rPr>
              <w:t>240,000.00</w:t>
            </w:r>
          </w:p>
        </w:tc>
      </w:tr>
      <w:tr w:rsidR="00C710C9" w:rsidTr="00C710C9">
        <w:tc>
          <w:tcPr>
            <w:tcW w:w="385" w:type="pct"/>
          </w:tcPr>
          <w:p w:rsidR="00C710C9" w:rsidRDefault="00C710C9" w:rsidP="00C710C9">
            <w:pPr>
              <w:rPr>
                <w:rFonts w:hint="eastAsia"/>
              </w:rPr>
            </w:pPr>
            <w:r>
              <w:rPr>
                <w:rFonts w:hint="eastAsia"/>
              </w:rPr>
              <w:t>3</w:t>
            </w:r>
          </w:p>
        </w:tc>
        <w:tc>
          <w:tcPr>
            <w:tcW w:w="1256" w:type="pct"/>
          </w:tcPr>
          <w:p w:rsidR="00C710C9" w:rsidRPr="00C710C9" w:rsidRDefault="00C710C9" w:rsidP="00C710C9">
            <w:pPr>
              <w:widowControl/>
              <w:rPr>
                <w:rFonts w:hint="eastAsia"/>
              </w:rPr>
            </w:pPr>
            <w:r>
              <w:rPr>
                <w:rStyle w:val="fontstyle01"/>
                <w:rFonts w:hint="default"/>
              </w:rPr>
              <w:t>开展适用于内蒙古自治区草</w:t>
            </w:r>
            <w:proofErr w:type="gramStart"/>
            <w:r>
              <w:rPr>
                <w:rStyle w:val="fontstyle01"/>
                <w:rFonts w:hint="default"/>
              </w:rPr>
              <w:t>畜平衡</w:t>
            </w:r>
            <w:proofErr w:type="gramEnd"/>
            <w:r>
              <w:rPr>
                <w:rStyle w:val="fontstyle01"/>
                <w:rFonts w:hint="default"/>
              </w:rPr>
              <w:t>区植被背景生物量的遥感估算数据集</w:t>
            </w:r>
          </w:p>
        </w:tc>
        <w:tc>
          <w:tcPr>
            <w:tcW w:w="1101" w:type="pct"/>
          </w:tcPr>
          <w:p w:rsidR="00C710C9" w:rsidRPr="00C710C9" w:rsidRDefault="00C710C9" w:rsidP="00C710C9">
            <w:pPr>
              <w:widowControl/>
              <w:rPr>
                <w:rFonts w:hint="eastAsia"/>
              </w:rPr>
            </w:pPr>
            <w:r>
              <w:rPr>
                <w:rStyle w:val="fontstyle01"/>
                <w:rFonts w:hint="default"/>
              </w:rPr>
              <w:t>(1)生产草</w:t>
            </w:r>
            <w:proofErr w:type="gramStart"/>
            <w:r>
              <w:rPr>
                <w:rStyle w:val="fontstyle01"/>
                <w:rFonts w:hint="default"/>
              </w:rPr>
              <w:t>畜平衡</w:t>
            </w:r>
            <w:proofErr w:type="gramEnd"/>
            <w:r>
              <w:rPr>
                <w:rStyle w:val="fontstyle01"/>
                <w:rFonts w:hint="default"/>
              </w:rPr>
              <w:t>监测区未经牲畜啃食扰动、自然生长的背景生物量估算驱动数据集，包括气象气候（温度、降水）等指标、草地植被生长扰动（冠层反射率、叶面积指数、植被指数）等结构参数；</w:t>
            </w:r>
            <w:r>
              <w:rPr>
                <w:rFonts w:hint="eastAsia"/>
                <w:color w:val="000000"/>
                <w:sz w:val="22"/>
              </w:rPr>
              <w:br/>
            </w:r>
            <w:r>
              <w:rPr>
                <w:rStyle w:val="fontstyle01"/>
                <w:rFonts w:hint="default"/>
              </w:rPr>
              <w:t>(2)完成草</w:t>
            </w:r>
            <w:proofErr w:type="gramStart"/>
            <w:r>
              <w:rPr>
                <w:rStyle w:val="fontstyle01"/>
                <w:rFonts w:hint="default"/>
              </w:rPr>
              <w:t>畜平衡</w:t>
            </w:r>
            <w:proofErr w:type="gramEnd"/>
            <w:r>
              <w:rPr>
                <w:rStyle w:val="fontstyle01"/>
                <w:rFonts w:hint="default"/>
              </w:rPr>
              <w:t>监测区打草场、禁牧场等地面监测样方植被生物量数据筛选及时空信息标准化;</w:t>
            </w:r>
          </w:p>
        </w:tc>
        <w:tc>
          <w:tcPr>
            <w:tcW w:w="458" w:type="pct"/>
          </w:tcPr>
          <w:p w:rsidR="00C710C9" w:rsidRDefault="00C710C9" w:rsidP="00C710C9">
            <w:pPr>
              <w:rPr>
                <w:rFonts w:hint="eastAsia"/>
              </w:rPr>
            </w:pPr>
            <w:r>
              <w:rPr>
                <w:rFonts w:hint="eastAsia"/>
              </w:rPr>
              <w:t>—</w:t>
            </w:r>
          </w:p>
        </w:tc>
        <w:tc>
          <w:tcPr>
            <w:tcW w:w="253" w:type="pct"/>
          </w:tcPr>
          <w:p w:rsidR="00C710C9" w:rsidRDefault="00C710C9" w:rsidP="00C710C9">
            <w:pPr>
              <w:rPr>
                <w:rFonts w:hint="eastAsia"/>
              </w:rPr>
            </w:pPr>
            <w:r>
              <w:rPr>
                <w:rFonts w:hint="eastAsia"/>
              </w:rPr>
              <w:t>—</w:t>
            </w:r>
          </w:p>
        </w:tc>
        <w:tc>
          <w:tcPr>
            <w:tcW w:w="254" w:type="pct"/>
          </w:tcPr>
          <w:p w:rsidR="00C710C9" w:rsidRDefault="00C710C9" w:rsidP="00C710C9">
            <w:pPr>
              <w:rPr>
                <w:rFonts w:hint="eastAsia"/>
              </w:rPr>
            </w:pPr>
            <w:r>
              <w:rPr>
                <w:rFonts w:hint="eastAsia"/>
              </w:rPr>
              <w:t>1</w:t>
            </w:r>
          </w:p>
        </w:tc>
        <w:tc>
          <w:tcPr>
            <w:tcW w:w="255" w:type="pct"/>
          </w:tcPr>
          <w:p w:rsidR="00C710C9" w:rsidRDefault="00C710C9" w:rsidP="00C710C9">
            <w:pPr>
              <w:rPr>
                <w:rFonts w:hint="eastAsia"/>
              </w:rPr>
            </w:pPr>
            <w:r>
              <w:rPr>
                <w:rFonts w:hint="eastAsia"/>
              </w:rPr>
              <w:t>套</w:t>
            </w:r>
          </w:p>
        </w:tc>
        <w:tc>
          <w:tcPr>
            <w:tcW w:w="530" w:type="pct"/>
          </w:tcPr>
          <w:p w:rsidR="00C710C9" w:rsidRDefault="00C710C9" w:rsidP="00D553C3">
            <w:pPr>
              <w:widowControl/>
              <w:rPr>
                <w:rFonts w:hint="eastAsia"/>
              </w:rPr>
            </w:pPr>
            <w:r>
              <w:rPr>
                <w:rStyle w:val="fontstyle01"/>
                <w:rFonts w:hint="default"/>
              </w:rPr>
              <w:t>220,000.00</w:t>
            </w:r>
          </w:p>
        </w:tc>
        <w:tc>
          <w:tcPr>
            <w:tcW w:w="508" w:type="pct"/>
          </w:tcPr>
          <w:p w:rsidR="00C710C9" w:rsidRDefault="00C710C9" w:rsidP="00D553C3">
            <w:pPr>
              <w:widowControl/>
              <w:rPr>
                <w:rFonts w:hint="eastAsia"/>
              </w:rPr>
            </w:pPr>
            <w:r>
              <w:rPr>
                <w:rStyle w:val="fontstyle01"/>
                <w:rFonts w:hint="default"/>
              </w:rPr>
              <w:t>220,000.00</w:t>
            </w:r>
          </w:p>
        </w:tc>
      </w:tr>
      <w:tr w:rsidR="00D553C3" w:rsidTr="00C710C9">
        <w:tc>
          <w:tcPr>
            <w:tcW w:w="385" w:type="pct"/>
          </w:tcPr>
          <w:p w:rsidR="00D553C3" w:rsidRDefault="00D553C3" w:rsidP="00D553C3">
            <w:pPr>
              <w:rPr>
                <w:rFonts w:hint="eastAsia"/>
              </w:rPr>
            </w:pPr>
            <w:r>
              <w:rPr>
                <w:rFonts w:hint="eastAsia"/>
              </w:rPr>
              <w:t>4</w:t>
            </w:r>
          </w:p>
        </w:tc>
        <w:tc>
          <w:tcPr>
            <w:tcW w:w="1256" w:type="pct"/>
          </w:tcPr>
          <w:p w:rsidR="00D553C3" w:rsidRPr="00C710C9" w:rsidRDefault="00D553C3" w:rsidP="00D553C3">
            <w:pPr>
              <w:widowControl/>
              <w:rPr>
                <w:rFonts w:hint="eastAsia"/>
              </w:rPr>
            </w:pPr>
            <w:r>
              <w:rPr>
                <w:rStyle w:val="fontstyle01"/>
                <w:rFonts w:hint="default"/>
              </w:rPr>
              <w:t>开展适用于内蒙古自治区放牧草地植被现存生物量遥感定量反演数据集</w:t>
            </w:r>
          </w:p>
        </w:tc>
        <w:tc>
          <w:tcPr>
            <w:tcW w:w="1101" w:type="pct"/>
          </w:tcPr>
          <w:p w:rsidR="00D553C3" w:rsidRPr="00C710C9" w:rsidRDefault="00D553C3" w:rsidP="00D553C3">
            <w:pPr>
              <w:widowControl/>
              <w:rPr>
                <w:rFonts w:hint="eastAsia"/>
              </w:rPr>
            </w:pPr>
            <w:r>
              <w:rPr>
                <w:rStyle w:val="fontstyle01"/>
                <w:rFonts w:hint="default"/>
              </w:rPr>
              <w:t>(1)完成内蒙古自治区草</w:t>
            </w:r>
            <w:proofErr w:type="gramStart"/>
            <w:r>
              <w:rPr>
                <w:rStyle w:val="fontstyle01"/>
                <w:rFonts w:hint="default"/>
              </w:rPr>
              <w:t>畜平衡</w:t>
            </w:r>
            <w:proofErr w:type="gramEnd"/>
            <w:r>
              <w:rPr>
                <w:rStyle w:val="fontstyle01"/>
                <w:rFonts w:hint="default"/>
              </w:rPr>
              <w:t>监测区经牲畜放牧啃食利用干扰获得的草地植被现存生物量遥感反演；</w:t>
            </w:r>
            <w:r>
              <w:rPr>
                <w:rFonts w:hint="eastAsia"/>
                <w:color w:val="000000"/>
                <w:sz w:val="22"/>
              </w:rPr>
              <w:br/>
            </w:r>
            <w:r>
              <w:rPr>
                <w:rStyle w:val="fontstyle01"/>
                <w:rFonts w:hint="default"/>
              </w:rPr>
              <w:lastRenderedPageBreak/>
              <w:t>(2)完成草</w:t>
            </w:r>
            <w:proofErr w:type="gramStart"/>
            <w:r>
              <w:rPr>
                <w:rStyle w:val="fontstyle01"/>
                <w:rFonts w:hint="default"/>
              </w:rPr>
              <w:t>畜平衡</w:t>
            </w:r>
            <w:proofErr w:type="gramEnd"/>
            <w:r>
              <w:rPr>
                <w:rStyle w:val="fontstyle01"/>
                <w:rFonts w:hint="default"/>
              </w:rPr>
              <w:t>区未经牲畜啃食利用干扰的背景生物量（或净初级生产力）遥感定量反演;</w:t>
            </w:r>
          </w:p>
        </w:tc>
        <w:tc>
          <w:tcPr>
            <w:tcW w:w="458" w:type="pct"/>
          </w:tcPr>
          <w:p w:rsidR="00D553C3" w:rsidRDefault="00D553C3" w:rsidP="00D553C3">
            <w:pPr>
              <w:rPr>
                <w:rFonts w:hint="eastAsia"/>
              </w:rPr>
            </w:pPr>
            <w:r>
              <w:rPr>
                <w:rFonts w:hint="eastAsia"/>
              </w:rPr>
              <w:lastRenderedPageBreak/>
              <w:t>—</w:t>
            </w:r>
          </w:p>
        </w:tc>
        <w:tc>
          <w:tcPr>
            <w:tcW w:w="253" w:type="pct"/>
          </w:tcPr>
          <w:p w:rsidR="00D553C3" w:rsidRDefault="00D553C3" w:rsidP="00D553C3">
            <w:pPr>
              <w:rPr>
                <w:rFonts w:hint="eastAsia"/>
              </w:rPr>
            </w:pPr>
            <w:r>
              <w:rPr>
                <w:rFonts w:hint="eastAsia"/>
              </w:rPr>
              <w:t>—</w:t>
            </w:r>
          </w:p>
        </w:tc>
        <w:tc>
          <w:tcPr>
            <w:tcW w:w="254" w:type="pct"/>
          </w:tcPr>
          <w:p w:rsidR="00D553C3" w:rsidRDefault="00D553C3" w:rsidP="00D553C3">
            <w:pPr>
              <w:rPr>
                <w:rFonts w:hint="eastAsia"/>
              </w:rPr>
            </w:pPr>
            <w:r>
              <w:rPr>
                <w:rFonts w:hint="eastAsia"/>
              </w:rPr>
              <w:t>1</w:t>
            </w:r>
          </w:p>
        </w:tc>
        <w:tc>
          <w:tcPr>
            <w:tcW w:w="255" w:type="pct"/>
          </w:tcPr>
          <w:p w:rsidR="00D553C3" w:rsidRDefault="00D553C3" w:rsidP="00D553C3">
            <w:pPr>
              <w:rPr>
                <w:rFonts w:hint="eastAsia"/>
              </w:rPr>
            </w:pPr>
            <w:r>
              <w:rPr>
                <w:rFonts w:hint="eastAsia"/>
              </w:rPr>
              <w:t>份</w:t>
            </w:r>
          </w:p>
        </w:tc>
        <w:tc>
          <w:tcPr>
            <w:tcW w:w="530" w:type="pct"/>
          </w:tcPr>
          <w:p w:rsidR="00D553C3" w:rsidRDefault="00D553C3" w:rsidP="00D553C3">
            <w:pPr>
              <w:widowControl/>
              <w:rPr>
                <w:rFonts w:hint="eastAsia"/>
              </w:rPr>
            </w:pPr>
            <w:r>
              <w:rPr>
                <w:rStyle w:val="fontstyle01"/>
                <w:rFonts w:hint="default"/>
              </w:rPr>
              <w:t>320,000.00</w:t>
            </w:r>
          </w:p>
        </w:tc>
        <w:tc>
          <w:tcPr>
            <w:tcW w:w="508" w:type="pct"/>
          </w:tcPr>
          <w:p w:rsidR="00D553C3" w:rsidRDefault="00D553C3" w:rsidP="00D553C3">
            <w:pPr>
              <w:widowControl/>
              <w:rPr>
                <w:rFonts w:hint="eastAsia"/>
              </w:rPr>
            </w:pPr>
            <w:r>
              <w:rPr>
                <w:rStyle w:val="fontstyle01"/>
                <w:rFonts w:hint="default"/>
              </w:rPr>
              <w:t>320,000.00</w:t>
            </w:r>
          </w:p>
        </w:tc>
      </w:tr>
      <w:tr w:rsidR="00D553C3" w:rsidTr="00C710C9">
        <w:tc>
          <w:tcPr>
            <w:tcW w:w="385" w:type="pct"/>
          </w:tcPr>
          <w:p w:rsidR="00D553C3" w:rsidRDefault="00D553C3" w:rsidP="00D553C3">
            <w:pPr>
              <w:rPr>
                <w:rFonts w:hint="eastAsia"/>
              </w:rPr>
            </w:pPr>
            <w:r>
              <w:rPr>
                <w:rFonts w:hint="eastAsia"/>
              </w:rPr>
              <w:t>5</w:t>
            </w:r>
          </w:p>
        </w:tc>
        <w:tc>
          <w:tcPr>
            <w:tcW w:w="1256" w:type="pct"/>
          </w:tcPr>
          <w:p w:rsidR="00D553C3" w:rsidRPr="00C710C9" w:rsidRDefault="00D553C3" w:rsidP="00D553C3">
            <w:pPr>
              <w:widowControl/>
              <w:rPr>
                <w:rFonts w:hint="eastAsia"/>
              </w:rPr>
            </w:pPr>
            <w:r>
              <w:rPr>
                <w:rStyle w:val="fontstyle01"/>
                <w:rFonts w:hint="default"/>
              </w:rPr>
              <w:t>开展内蒙古自治区草地利用强度遥感估算并结合草地植被补偿生长监测数据做草畜供给利用平衡阈值分析</w:t>
            </w:r>
          </w:p>
        </w:tc>
        <w:tc>
          <w:tcPr>
            <w:tcW w:w="1101" w:type="pct"/>
          </w:tcPr>
          <w:p w:rsidR="00D553C3" w:rsidRPr="00C710C9" w:rsidRDefault="00D553C3" w:rsidP="00D553C3">
            <w:pPr>
              <w:widowControl/>
              <w:rPr>
                <w:rFonts w:hint="eastAsia"/>
              </w:rPr>
            </w:pPr>
            <w:r>
              <w:rPr>
                <w:rStyle w:val="fontstyle01"/>
                <w:rFonts w:hint="default"/>
              </w:rPr>
              <w:t>(1)完成内蒙古自治区草</w:t>
            </w:r>
            <w:proofErr w:type="gramStart"/>
            <w:r>
              <w:rPr>
                <w:rStyle w:val="fontstyle01"/>
                <w:rFonts w:hint="default"/>
              </w:rPr>
              <w:t>畜平衡</w:t>
            </w:r>
            <w:proofErr w:type="gramEnd"/>
            <w:r>
              <w:rPr>
                <w:rStyle w:val="fontstyle01"/>
                <w:rFonts w:hint="default"/>
              </w:rPr>
              <w:t>监测区草地利用强度遥感估算；</w:t>
            </w:r>
            <w:r>
              <w:rPr>
                <w:rFonts w:hint="eastAsia"/>
                <w:color w:val="000000"/>
                <w:sz w:val="22"/>
              </w:rPr>
              <w:br/>
            </w:r>
            <w:r>
              <w:rPr>
                <w:rStyle w:val="fontstyle01"/>
                <w:rFonts w:hint="default"/>
              </w:rPr>
              <w:t>(2)结合监测区不同草地类型的草地利用强度核查数据，给出草地利用强度参考分级；</w:t>
            </w:r>
            <w:r>
              <w:rPr>
                <w:rFonts w:hint="eastAsia"/>
                <w:color w:val="000000"/>
                <w:sz w:val="22"/>
              </w:rPr>
              <w:br/>
            </w:r>
            <w:r>
              <w:rPr>
                <w:rStyle w:val="fontstyle01"/>
                <w:rFonts w:hint="default"/>
              </w:rPr>
              <w:t>(3)基于任务招标方提供的监测样点草地补偿生长量本底数据，结合草地利用强度遥感估算结果给出草</w:t>
            </w:r>
            <w:proofErr w:type="gramStart"/>
            <w:r>
              <w:rPr>
                <w:rStyle w:val="fontstyle01"/>
                <w:rFonts w:hint="default"/>
              </w:rPr>
              <w:t>畜平衡</w:t>
            </w:r>
            <w:proofErr w:type="gramEnd"/>
            <w:r>
              <w:rPr>
                <w:rStyle w:val="fontstyle01"/>
                <w:rFonts w:hint="default"/>
              </w:rPr>
              <w:t>阈值突变点特征分析。</w:t>
            </w:r>
          </w:p>
        </w:tc>
        <w:tc>
          <w:tcPr>
            <w:tcW w:w="458" w:type="pct"/>
          </w:tcPr>
          <w:p w:rsidR="00D553C3" w:rsidRDefault="00D553C3" w:rsidP="00D553C3">
            <w:pPr>
              <w:rPr>
                <w:rFonts w:hint="eastAsia"/>
              </w:rPr>
            </w:pPr>
            <w:r>
              <w:rPr>
                <w:rFonts w:hint="eastAsia"/>
              </w:rPr>
              <w:t>—</w:t>
            </w:r>
          </w:p>
        </w:tc>
        <w:tc>
          <w:tcPr>
            <w:tcW w:w="253" w:type="pct"/>
          </w:tcPr>
          <w:p w:rsidR="00D553C3" w:rsidRDefault="00D553C3" w:rsidP="00D553C3">
            <w:pPr>
              <w:rPr>
                <w:rFonts w:hint="eastAsia"/>
              </w:rPr>
            </w:pPr>
            <w:r>
              <w:rPr>
                <w:rFonts w:hint="eastAsia"/>
              </w:rPr>
              <w:t>—</w:t>
            </w:r>
          </w:p>
        </w:tc>
        <w:tc>
          <w:tcPr>
            <w:tcW w:w="254" w:type="pct"/>
          </w:tcPr>
          <w:p w:rsidR="00D553C3" w:rsidRDefault="00D553C3" w:rsidP="00D553C3">
            <w:pPr>
              <w:rPr>
                <w:rFonts w:hint="eastAsia"/>
              </w:rPr>
            </w:pPr>
            <w:r>
              <w:rPr>
                <w:rFonts w:hint="eastAsia"/>
              </w:rPr>
              <w:t>1</w:t>
            </w:r>
          </w:p>
        </w:tc>
        <w:tc>
          <w:tcPr>
            <w:tcW w:w="255" w:type="pct"/>
          </w:tcPr>
          <w:p w:rsidR="00D553C3" w:rsidRDefault="00D553C3" w:rsidP="00D553C3">
            <w:pPr>
              <w:rPr>
                <w:rFonts w:hint="eastAsia"/>
              </w:rPr>
            </w:pPr>
            <w:r>
              <w:rPr>
                <w:rFonts w:hint="eastAsia"/>
              </w:rPr>
              <w:t>份</w:t>
            </w:r>
          </w:p>
        </w:tc>
        <w:tc>
          <w:tcPr>
            <w:tcW w:w="530" w:type="pct"/>
          </w:tcPr>
          <w:p w:rsidR="00D553C3" w:rsidRDefault="00D553C3" w:rsidP="00D553C3">
            <w:pPr>
              <w:widowControl/>
              <w:rPr>
                <w:rFonts w:hint="eastAsia"/>
              </w:rPr>
            </w:pPr>
            <w:r>
              <w:rPr>
                <w:rStyle w:val="fontstyle01"/>
                <w:rFonts w:hint="default"/>
              </w:rPr>
              <w:t>358,0</w:t>
            </w:r>
            <w:r>
              <w:rPr>
                <w:rStyle w:val="fontstyle01"/>
                <w:rFonts w:hint="default"/>
              </w:rPr>
              <w:t>00.00</w:t>
            </w:r>
          </w:p>
        </w:tc>
        <w:tc>
          <w:tcPr>
            <w:tcW w:w="508" w:type="pct"/>
          </w:tcPr>
          <w:p w:rsidR="00D553C3" w:rsidRDefault="00D553C3" w:rsidP="00D553C3">
            <w:pPr>
              <w:rPr>
                <w:rFonts w:hint="eastAsia"/>
              </w:rPr>
            </w:pPr>
            <w:r>
              <w:rPr>
                <w:rStyle w:val="fontstyle01"/>
                <w:rFonts w:hint="default"/>
              </w:rPr>
              <w:t>358,000.00</w:t>
            </w:r>
          </w:p>
        </w:tc>
      </w:tr>
    </w:tbl>
    <w:p w:rsidR="00C710C9" w:rsidRDefault="00C710C9">
      <w:pPr>
        <w:rPr>
          <w:rFonts w:hint="eastAsia"/>
        </w:rPr>
      </w:pPr>
    </w:p>
    <w:sectPr w:rsidR="00C710C9" w:rsidSect="00C710C9">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D71"/>
    <w:rsid w:val="00087554"/>
    <w:rsid w:val="00AA60FC"/>
    <w:rsid w:val="00AF5D71"/>
    <w:rsid w:val="00C438B9"/>
    <w:rsid w:val="00C710C9"/>
    <w:rsid w:val="00D55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3ADB2"/>
  <w15:chartTrackingRefBased/>
  <w15:docId w15:val="{374ADD46-BC5B-4737-9632-1D864AF12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71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C710C9"/>
    <w:rPr>
      <w:rFonts w:ascii="宋体" w:eastAsia="宋体" w:hAnsi="宋体" w:hint="eastAsia"/>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03056">
      <w:bodyDiv w:val="1"/>
      <w:marLeft w:val="0"/>
      <w:marRight w:val="0"/>
      <w:marTop w:val="0"/>
      <w:marBottom w:val="0"/>
      <w:divBdr>
        <w:top w:val="none" w:sz="0" w:space="0" w:color="auto"/>
        <w:left w:val="none" w:sz="0" w:space="0" w:color="auto"/>
        <w:bottom w:val="none" w:sz="0" w:space="0" w:color="auto"/>
        <w:right w:val="none" w:sz="0" w:space="0" w:color="auto"/>
      </w:divBdr>
    </w:div>
    <w:div w:id="180703333">
      <w:bodyDiv w:val="1"/>
      <w:marLeft w:val="0"/>
      <w:marRight w:val="0"/>
      <w:marTop w:val="0"/>
      <w:marBottom w:val="0"/>
      <w:divBdr>
        <w:top w:val="none" w:sz="0" w:space="0" w:color="auto"/>
        <w:left w:val="none" w:sz="0" w:space="0" w:color="auto"/>
        <w:bottom w:val="none" w:sz="0" w:space="0" w:color="auto"/>
        <w:right w:val="none" w:sz="0" w:space="0" w:color="auto"/>
      </w:divBdr>
    </w:div>
    <w:div w:id="295915449">
      <w:bodyDiv w:val="1"/>
      <w:marLeft w:val="0"/>
      <w:marRight w:val="0"/>
      <w:marTop w:val="0"/>
      <w:marBottom w:val="0"/>
      <w:divBdr>
        <w:top w:val="none" w:sz="0" w:space="0" w:color="auto"/>
        <w:left w:val="none" w:sz="0" w:space="0" w:color="auto"/>
        <w:bottom w:val="none" w:sz="0" w:space="0" w:color="auto"/>
        <w:right w:val="none" w:sz="0" w:space="0" w:color="auto"/>
      </w:divBdr>
    </w:div>
    <w:div w:id="381364386">
      <w:bodyDiv w:val="1"/>
      <w:marLeft w:val="0"/>
      <w:marRight w:val="0"/>
      <w:marTop w:val="0"/>
      <w:marBottom w:val="0"/>
      <w:divBdr>
        <w:top w:val="none" w:sz="0" w:space="0" w:color="auto"/>
        <w:left w:val="none" w:sz="0" w:space="0" w:color="auto"/>
        <w:bottom w:val="none" w:sz="0" w:space="0" w:color="auto"/>
        <w:right w:val="none" w:sz="0" w:space="0" w:color="auto"/>
      </w:divBdr>
    </w:div>
    <w:div w:id="398601271">
      <w:bodyDiv w:val="1"/>
      <w:marLeft w:val="0"/>
      <w:marRight w:val="0"/>
      <w:marTop w:val="0"/>
      <w:marBottom w:val="0"/>
      <w:divBdr>
        <w:top w:val="none" w:sz="0" w:space="0" w:color="auto"/>
        <w:left w:val="none" w:sz="0" w:space="0" w:color="auto"/>
        <w:bottom w:val="none" w:sz="0" w:space="0" w:color="auto"/>
        <w:right w:val="none" w:sz="0" w:space="0" w:color="auto"/>
      </w:divBdr>
    </w:div>
    <w:div w:id="805463923">
      <w:bodyDiv w:val="1"/>
      <w:marLeft w:val="0"/>
      <w:marRight w:val="0"/>
      <w:marTop w:val="0"/>
      <w:marBottom w:val="0"/>
      <w:divBdr>
        <w:top w:val="none" w:sz="0" w:space="0" w:color="auto"/>
        <w:left w:val="none" w:sz="0" w:space="0" w:color="auto"/>
        <w:bottom w:val="none" w:sz="0" w:space="0" w:color="auto"/>
        <w:right w:val="none" w:sz="0" w:space="0" w:color="auto"/>
      </w:divBdr>
    </w:div>
    <w:div w:id="810639309">
      <w:bodyDiv w:val="1"/>
      <w:marLeft w:val="0"/>
      <w:marRight w:val="0"/>
      <w:marTop w:val="0"/>
      <w:marBottom w:val="0"/>
      <w:divBdr>
        <w:top w:val="none" w:sz="0" w:space="0" w:color="auto"/>
        <w:left w:val="none" w:sz="0" w:space="0" w:color="auto"/>
        <w:bottom w:val="none" w:sz="0" w:space="0" w:color="auto"/>
        <w:right w:val="none" w:sz="0" w:space="0" w:color="auto"/>
      </w:divBdr>
    </w:div>
    <w:div w:id="881406343">
      <w:bodyDiv w:val="1"/>
      <w:marLeft w:val="0"/>
      <w:marRight w:val="0"/>
      <w:marTop w:val="0"/>
      <w:marBottom w:val="0"/>
      <w:divBdr>
        <w:top w:val="none" w:sz="0" w:space="0" w:color="auto"/>
        <w:left w:val="none" w:sz="0" w:space="0" w:color="auto"/>
        <w:bottom w:val="none" w:sz="0" w:space="0" w:color="auto"/>
        <w:right w:val="none" w:sz="0" w:space="0" w:color="auto"/>
      </w:divBdr>
    </w:div>
    <w:div w:id="907883665">
      <w:bodyDiv w:val="1"/>
      <w:marLeft w:val="0"/>
      <w:marRight w:val="0"/>
      <w:marTop w:val="0"/>
      <w:marBottom w:val="0"/>
      <w:divBdr>
        <w:top w:val="none" w:sz="0" w:space="0" w:color="auto"/>
        <w:left w:val="none" w:sz="0" w:space="0" w:color="auto"/>
        <w:bottom w:val="none" w:sz="0" w:space="0" w:color="auto"/>
        <w:right w:val="none" w:sz="0" w:space="0" w:color="auto"/>
      </w:divBdr>
    </w:div>
    <w:div w:id="948046054">
      <w:bodyDiv w:val="1"/>
      <w:marLeft w:val="0"/>
      <w:marRight w:val="0"/>
      <w:marTop w:val="0"/>
      <w:marBottom w:val="0"/>
      <w:divBdr>
        <w:top w:val="none" w:sz="0" w:space="0" w:color="auto"/>
        <w:left w:val="none" w:sz="0" w:space="0" w:color="auto"/>
        <w:bottom w:val="none" w:sz="0" w:space="0" w:color="auto"/>
        <w:right w:val="none" w:sz="0" w:space="0" w:color="auto"/>
      </w:divBdr>
    </w:div>
    <w:div w:id="961183646">
      <w:bodyDiv w:val="1"/>
      <w:marLeft w:val="0"/>
      <w:marRight w:val="0"/>
      <w:marTop w:val="0"/>
      <w:marBottom w:val="0"/>
      <w:divBdr>
        <w:top w:val="none" w:sz="0" w:space="0" w:color="auto"/>
        <w:left w:val="none" w:sz="0" w:space="0" w:color="auto"/>
        <w:bottom w:val="none" w:sz="0" w:space="0" w:color="auto"/>
        <w:right w:val="none" w:sz="0" w:space="0" w:color="auto"/>
      </w:divBdr>
    </w:div>
    <w:div w:id="970941669">
      <w:bodyDiv w:val="1"/>
      <w:marLeft w:val="0"/>
      <w:marRight w:val="0"/>
      <w:marTop w:val="0"/>
      <w:marBottom w:val="0"/>
      <w:divBdr>
        <w:top w:val="none" w:sz="0" w:space="0" w:color="auto"/>
        <w:left w:val="none" w:sz="0" w:space="0" w:color="auto"/>
        <w:bottom w:val="none" w:sz="0" w:space="0" w:color="auto"/>
        <w:right w:val="none" w:sz="0" w:space="0" w:color="auto"/>
      </w:divBdr>
    </w:div>
    <w:div w:id="972447242">
      <w:bodyDiv w:val="1"/>
      <w:marLeft w:val="0"/>
      <w:marRight w:val="0"/>
      <w:marTop w:val="0"/>
      <w:marBottom w:val="0"/>
      <w:divBdr>
        <w:top w:val="none" w:sz="0" w:space="0" w:color="auto"/>
        <w:left w:val="none" w:sz="0" w:space="0" w:color="auto"/>
        <w:bottom w:val="none" w:sz="0" w:space="0" w:color="auto"/>
        <w:right w:val="none" w:sz="0" w:space="0" w:color="auto"/>
      </w:divBdr>
    </w:div>
    <w:div w:id="999190664">
      <w:bodyDiv w:val="1"/>
      <w:marLeft w:val="0"/>
      <w:marRight w:val="0"/>
      <w:marTop w:val="0"/>
      <w:marBottom w:val="0"/>
      <w:divBdr>
        <w:top w:val="none" w:sz="0" w:space="0" w:color="auto"/>
        <w:left w:val="none" w:sz="0" w:space="0" w:color="auto"/>
        <w:bottom w:val="none" w:sz="0" w:space="0" w:color="auto"/>
        <w:right w:val="none" w:sz="0" w:space="0" w:color="auto"/>
      </w:divBdr>
    </w:div>
    <w:div w:id="1012491115">
      <w:bodyDiv w:val="1"/>
      <w:marLeft w:val="0"/>
      <w:marRight w:val="0"/>
      <w:marTop w:val="0"/>
      <w:marBottom w:val="0"/>
      <w:divBdr>
        <w:top w:val="none" w:sz="0" w:space="0" w:color="auto"/>
        <w:left w:val="none" w:sz="0" w:space="0" w:color="auto"/>
        <w:bottom w:val="none" w:sz="0" w:space="0" w:color="auto"/>
        <w:right w:val="none" w:sz="0" w:space="0" w:color="auto"/>
      </w:divBdr>
    </w:div>
    <w:div w:id="1136801080">
      <w:bodyDiv w:val="1"/>
      <w:marLeft w:val="0"/>
      <w:marRight w:val="0"/>
      <w:marTop w:val="0"/>
      <w:marBottom w:val="0"/>
      <w:divBdr>
        <w:top w:val="none" w:sz="0" w:space="0" w:color="auto"/>
        <w:left w:val="none" w:sz="0" w:space="0" w:color="auto"/>
        <w:bottom w:val="none" w:sz="0" w:space="0" w:color="auto"/>
        <w:right w:val="none" w:sz="0" w:space="0" w:color="auto"/>
      </w:divBdr>
    </w:div>
    <w:div w:id="1137340640">
      <w:bodyDiv w:val="1"/>
      <w:marLeft w:val="0"/>
      <w:marRight w:val="0"/>
      <w:marTop w:val="0"/>
      <w:marBottom w:val="0"/>
      <w:divBdr>
        <w:top w:val="none" w:sz="0" w:space="0" w:color="auto"/>
        <w:left w:val="none" w:sz="0" w:space="0" w:color="auto"/>
        <w:bottom w:val="none" w:sz="0" w:space="0" w:color="auto"/>
        <w:right w:val="none" w:sz="0" w:space="0" w:color="auto"/>
      </w:divBdr>
    </w:div>
    <w:div w:id="1569849914">
      <w:bodyDiv w:val="1"/>
      <w:marLeft w:val="0"/>
      <w:marRight w:val="0"/>
      <w:marTop w:val="0"/>
      <w:marBottom w:val="0"/>
      <w:divBdr>
        <w:top w:val="none" w:sz="0" w:space="0" w:color="auto"/>
        <w:left w:val="none" w:sz="0" w:space="0" w:color="auto"/>
        <w:bottom w:val="none" w:sz="0" w:space="0" w:color="auto"/>
        <w:right w:val="none" w:sz="0" w:space="0" w:color="auto"/>
      </w:divBdr>
    </w:div>
    <w:div w:id="1779369768">
      <w:bodyDiv w:val="1"/>
      <w:marLeft w:val="0"/>
      <w:marRight w:val="0"/>
      <w:marTop w:val="0"/>
      <w:marBottom w:val="0"/>
      <w:divBdr>
        <w:top w:val="none" w:sz="0" w:space="0" w:color="auto"/>
        <w:left w:val="none" w:sz="0" w:space="0" w:color="auto"/>
        <w:bottom w:val="none" w:sz="0" w:space="0" w:color="auto"/>
        <w:right w:val="none" w:sz="0" w:space="0" w:color="auto"/>
      </w:divBdr>
    </w:div>
    <w:div w:id="1802721831">
      <w:bodyDiv w:val="1"/>
      <w:marLeft w:val="0"/>
      <w:marRight w:val="0"/>
      <w:marTop w:val="0"/>
      <w:marBottom w:val="0"/>
      <w:divBdr>
        <w:top w:val="none" w:sz="0" w:space="0" w:color="auto"/>
        <w:left w:val="none" w:sz="0" w:space="0" w:color="auto"/>
        <w:bottom w:val="none" w:sz="0" w:space="0" w:color="auto"/>
        <w:right w:val="none" w:sz="0" w:space="0" w:color="auto"/>
      </w:divBdr>
    </w:div>
    <w:div w:id="191149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167</Words>
  <Characters>957</Characters>
  <Application>Microsoft Office Word</Application>
  <DocSecurity>0</DocSecurity>
  <Lines>7</Lines>
  <Paragraphs>2</Paragraphs>
  <ScaleCrop>false</ScaleCrop>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2022-08-24T05:26:00Z</dcterms:created>
  <dcterms:modified xsi:type="dcterms:W3CDTF">2022-08-24T05:41:00Z</dcterms:modified>
</cp:coreProperties>
</file>