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pPr>
    </w:p>
    <w:p>
      <w:pPr>
        <w:pStyle w:val="2"/>
        <w:ind w:firstLine="0" w:firstLineChars="0"/>
      </w:pPr>
    </w:p>
    <w:p>
      <w:pPr>
        <w:spacing w:beforeLines="350" w:afterLines="400"/>
        <w:jc w:val="center"/>
        <w:rPr>
          <w:rFonts w:ascii="宋体" w:cs="宋体"/>
          <w:b/>
          <w:bCs/>
          <w:sz w:val="36"/>
          <w:szCs w:val="36"/>
        </w:rPr>
      </w:pPr>
      <w:bookmarkStart w:id="0" w:name="_Hlk518634198"/>
      <w:bookmarkStart w:id="1" w:name="_Toc425892620"/>
      <w:r>
        <w:rPr>
          <w:rFonts w:hint="eastAsia" w:ascii="黑体" w:hAnsi="黑体" w:eastAsia="黑体" w:cs="黑体"/>
          <w:sz w:val="52"/>
          <w:szCs w:val="52"/>
        </w:rPr>
        <w:t>内蒙古大学政府采购合同</w:t>
      </w:r>
    </w:p>
    <w:p>
      <w:pPr>
        <w:rPr>
          <w:rFonts w:ascii="宋体" w:cs="宋体"/>
          <w:sz w:val="44"/>
          <w:szCs w:val="44"/>
        </w:rPr>
      </w:pPr>
    </w:p>
    <w:p>
      <w:pPr>
        <w:pStyle w:val="2"/>
        <w:ind w:firstLine="480"/>
      </w:pPr>
    </w:p>
    <w:p>
      <w:pPr>
        <w:spacing w:line="600" w:lineRule="exact"/>
        <w:ind w:left="1128" w:leftChars="470"/>
        <w:rPr>
          <w:rFonts w:ascii="宋体" w:hAnsi="宋体" w:cs="宋体"/>
          <w:b/>
          <w:bCs/>
          <w:sz w:val="30"/>
          <w:szCs w:val="30"/>
          <w:u w:val="single"/>
        </w:rPr>
      </w:pPr>
      <w:r>
        <w:rPr>
          <w:rFonts w:hint="eastAsia" w:ascii="宋体" w:hAnsi="宋体" w:cs="宋体"/>
          <w:b/>
          <w:bCs/>
          <w:sz w:val="30"/>
          <w:szCs w:val="30"/>
        </w:rPr>
        <w:t>项目名称：</w:t>
      </w:r>
      <w:r>
        <w:rPr>
          <w:rFonts w:hint="eastAsia" w:ascii="宋体" w:hAnsi="宋体" w:cs="宋体"/>
          <w:b/>
          <w:bCs/>
          <w:sz w:val="30"/>
          <w:szCs w:val="30"/>
          <w:u w:val="single"/>
        </w:rPr>
        <w:t>电子资源数据库</w:t>
      </w:r>
    </w:p>
    <w:p>
      <w:pPr>
        <w:spacing w:line="600" w:lineRule="exact"/>
        <w:ind w:left="1128" w:leftChars="470"/>
        <w:rPr>
          <w:rFonts w:ascii="宋体" w:hAnsi="宋体" w:cs="宋体"/>
          <w:b/>
          <w:bCs/>
          <w:sz w:val="30"/>
          <w:szCs w:val="30"/>
          <w:u w:val="single"/>
        </w:rPr>
      </w:pPr>
      <w:r>
        <w:rPr>
          <w:rFonts w:hint="eastAsia" w:ascii="宋体" w:hAnsi="宋体" w:cs="宋体"/>
          <w:b/>
          <w:bCs/>
          <w:sz w:val="30"/>
          <w:szCs w:val="30"/>
        </w:rPr>
        <w:t>项目编号：</w:t>
      </w:r>
      <w:r>
        <w:rPr>
          <w:rFonts w:hint="eastAsia" w:ascii="宋体" w:hAnsi="宋体" w:cs="宋体"/>
          <w:b/>
          <w:bCs/>
          <w:sz w:val="30"/>
          <w:szCs w:val="30"/>
          <w:u w:val="single"/>
        </w:rPr>
        <w:t>NMGZCS-G-F-220666</w:t>
      </w:r>
    </w:p>
    <w:p>
      <w:pPr>
        <w:spacing w:line="600" w:lineRule="exact"/>
        <w:ind w:left="1128" w:leftChars="470"/>
        <w:rPr>
          <w:rFonts w:ascii="宋体" w:hAnsi="宋体" w:cs="宋体"/>
          <w:b/>
          <w:bCs/>
          <w:sz w:val="30"/>
          <w:szCs w:val="30"/>
          <w:u w:val="single"/>
        </w:rPr>
      </w:pPr>
      <w:r>
        <w:rPr>
          <w:rFonts w:hint="eastAsia" w:ascii="宋体" w:hAnsi="宋体" w:cs="宋体"/>
          <w:b/>
          <w:bCs/>
          <w:sz w:val="30"/>
          <w:szCs w:val="30"/>
        </w:rPr>
        <w:t>批准文件编号：</w:t>
      </w:r>
      <w:r>
        <w:rPr>
          <w:rFonts w:hint="eastAsia" w:ascii="宋体" w:hAnsi="宋体" w:cs="宋体"/>
          <w:b/>
          <w:bCs/>
          <w:sz w:val="30"/>
          <w:szCs w:val="30"/>
          <w:u w:val="single"/>
        </w:rPr>
        <w:t>项目流水号</w:t>
      </w:r>
      <w:r>
        <w:rPr>
          <w:rFonts w:hint="eastAsia" w:ascii="宋体" w:hAnsi="宋体" w:cs="宋体"/>
          <w:b/>
          <w:bCs/>
          <w:sz w:val="30"/>
          <w:szCs w:val="30"/>
          <w:u w:val="single"/>
          <w:lang w:val="en-US" w:eastAsia="zh-CN"/>
        </w:rPr>
        <w:t xml:space="preserve">           </w:t>
      </w:r>
      <w:r>
        <w:rPr>
          <w:rFonts w:hint="eastAsia" w:ascii="宋体" w:hAnsi="宋体" w:cs="宋体"/>
          <w:b/>
          <w:bCs/>
          <w:sz w:val="30"/>
          <w:szCs w:val="30"/>
          <w:u w:val="single"/>
        </w:rPr>
        <w:t>号</w:t>
      </w:r>
    </w:p>
    <w:p>
      <w:pPr>
        <w:spacing w:line="600" w:lineRule="exact"/>
        <w:ind w:left="1128" w:leftChars="470"/>
        <w:rPr>
          <w:rFonts w:hint="default" w:ascii="宋体" w:hAnsi="宋体" w:eastAsia="宋体" w:cs="宋体"/>
          <w:b/>
          <w:bCs/>
          <w:sz w:val="30"/>
          <w:szCs w:val="30"/>
          <w:u w:val="single"/>
          <w:lang w:val="en-US" w:eastAsia="zh-CN"/>
        </w:rPr>
      </w:pPr>
      <w:r>
        <w:rPr>
          <w:rFonts w:hint="eastAsia" w:ascii="宋体" w:hAnsi="宋体" w:cs="宋体"/>
          <w:b/>
          <w:bCs/>
          <w:sz w:val="30"/>
          <w:szCs w:val="30"/>
        </w:rPr>
        <w:t>合同内容：</w:t>
      </w:r>
      <w:r>
        <w:rPr>
          <w:rFonts w:hint="eastAsia" w:ascii="宋体" w:hAnsi="宋体" w:cs="宋体"/>
          <w:b/>
          <w:bCs/>
          <w:sz w:val="30"/>
          <w:szCs w:val="30"/>
          <w:u w:val="single"/>
          <w:lang w:val="en-US" w:eastAsia="zh-CN"/>
        </w:rPr>
        <w:t xml:space="preserve">                   </w:t>
      </w:r>
    </w:p>
    <w:p>
      <w:pPr>
        <w:spacing w:line="600" w:lineRule="exact"/>
        <w:ind w:left="1128" w:leftChars="470"/>
        <w:rPr>
          <w:rFonts w:hint="default" w:ascii="宋体" w:hAnsi="宋体" w:eastAsia="宋体" w:cs="宋体"/>
          <w:b/>
          <w:bCs/>
          <w:sz w:val="30"/>
          <w:szCs w:val="30"/>
          <w:u w:val="single"/>
          <w:lang w:val="en-US" w:eastAsia="zh-CN"/>
        </w:rPr>
      </w:pPr>
      <w:r>
        <w:rPr>
          <w:rFonts w:hint="eastAsia" w:ascii="宋体" w:hAnsi="宋体" w:cs="宋体"/>
          <w:b/>
          <w:bCs/>
          <w:sz w:val="30"/>
          <w:szCs w:val="30"/>
        </w:rPr>
        <w:t>合同编号：</w:t>
      </w:r>
      <w:r>
        <w:rPr>
          <w:rFonts w:hint="eastAsia" w:ascii="宋体" w:hAnsi="宋体" w:cs="宋体"/>
          <w:b/>
          <w:bCs/>
          <w:sz w:val="30"/>
          <w:szCs w:val="30"/>
          <w:u w:val="single"/>
          <w:lang w:val="en-US" w:eastAsia="zh-CN"/>
        </w:rPr>
        <w:t xml:space="preserve">                   </w:t>
      </w:r>
    </w:p>
    <w:p>
      <w:pPr>
        <w:spacing w:line="600" w:lineRule="exact"/>
        <w:ind w:left="1128" w:leftChars="470"/>
        <w:rPr>
          <w:rFonts w:hint="default" w:ascii="宋体" w:hAnsi="宋体" w:eastAsia="宋体" w:cs="宋体"/>
          <w:b/>
          <w:bCs/>
          <w:sz w:val="30"/>
          <w:szCs w:val="30"/>
          <w:u w:val="single"/>
          <w:lang w:val="en-US" w:eastAsia="zh-CN"/>
        </w:rPr>
      </w:pPr>
      <w:r>
        <w:rPr>
          <w:rFonts w:hint="eastAsia" w:ascii="宋体" w:hAnsi="宋体" w:cs="宋体"/>
          <w:b/>
          <w:bCs/>
          <w:sz w:val="30"/>
          <w:szCs w:val="30"/>
          <w:highlight w:val="none"/>
        </w:rPr>
        <w:t>供应商：</w:t>
      </w:r>
      <w:r>
        <w:rPr>
          <w:rFonts w:hint="eastAsia" w:ascii="宋体" w:hAnsi="宋体" w:cs="宋体"/>
          <w:b/>
          <w:bCs/>
          <w:sz w:val="30"/>
          <w:szCs w:val="30"/>
          <w:highlight w:val="none"/>
          <w:u w:val="single"/>
          <w:lang w:val="en-US" w:eastAsia="zh-CN"/>
        </w:rPr>
        <w:t xml:space="preserve">                                  </w:t>
      </w:r>
    </w:p>
    <w:p>
      <w:pPr>
        <w:spacing w:line="600" w:lineRule="exact"/>
        <w:rPr>
          <w:rFonts w:ascii="宋体" w:cs="宋体"/>
          <w:bCs/>
          <w:sz w:val="30"/>
          <w:szCs w:val="30"/>
        </w:rPr>
      </w:pPr>
    </w:p>
    <w:p>
      <w:pPr>
        <w:spacing w:line="720" w:lineRule="exact"/>
        <w:ind w:firstLine="2988" w:firstLineChars="996"/>
        <w:rPr>
          <w:rFonts w:ascii="宋体" w:cs="宋体"/>
          <w:bCs/>
          <w:sz w:val="30"/>
          <w:szCs w:val="30"/>
        </w:rPr>
      </w:pPr>
    </w:p>
    <w:p>
      <w:pPr>
        <w:spacing w:line="720" w:lineRule="exact"/>
        <w:rPr>
          <w:rFonts w:ascii="宋体" w:cs="宋体"/>
          <w:bCs/>
          <w:sz w:val="30"/>
          <w:szCs w:val="30"/>
        </w:rPr>
      </w:pPr>
    </w:p>
    <w:p>
      <w:pPr>
        <w:spacing w:line="600" w:lineRule="auto"/>
        <w:jc w:val="center"/>
        <w:rPr>
          <w:rFonts w:ascii="宋体" w:hAnsi="宋体" w:cs="宋体"/>
          <w:bCs/>
          <w:sz w:val="30"/>
          <w:szCs w:val="30"/>
        </w:rPr>
      </w:pPr>
      <w:r>
        <w:rPr>
          <w:rFonts w:hint="eastAsia" w:ascii="宋体" w:hAnsi="宋体" w:cs="宋体"/>
          <w:bCs/>
          <w:sz w:val="30"/>
          <w:szCs w:val="30"/>
        </w:rPr>
        <w:t>二〇二</w:t>
      </w:r>
      <w:r>
        <w:rPr>
          <w:rFonts w:hint="eastAsia" w:ascii="宋体" w:hAnsi="宋体" w:cs="宋体"/>
          <w:bCs/>
          <w:sz w:val="30"/>
          <w:szCs w:val="30"/>
          <w:lang w:val="en-US" w:eastAsia="zh-CN"/>
        </w:rPr>
        <w:t>二</w:t>
      </w:r>
      <w:r>
        <w:rPr>
          <w:rFonts w:hint="eastAsia" w:ascii="宋体" w:hAnsi="宋体" w:cs="宋体"/>
          <w:bCs/>
          <w:sz w:val="30"/>
          <w:szCs w:val="30"/>
        </w:rPr>
        <w:t>年十月</w:t>
      </w:r>
    </w:p>
    <w:p>
      <w:pPr>
        <w:widowControl/>
        <w:spacing w:line="240" w:lineRule="auto"/>
        <w:jc w:val="left"/>
        <w:rPr>
          <w:b/>
          <w:sz w:val="30"/>
          <w:szCs w:val="30"/>
        </w:rPr>
      </w:pPr>
      <w:bookmarkStart w:id="2" w:name="_Toc414743938"/>
      <w:r>
        <w:rPr>
          <w:b/>
          <w:sz w:val="30"/>
          <w:szCs w:val="30"/>
        </w:rPr>
        <w:br w:type="page"/>
      </w:r>
    </w:p>
    <w:p>
      <w:pPr>
        <w:adjustRightInd w:val="0"/>
        <w:snapToGrid w:val="0"/>
        <w:jc w:val="center"/>
        <w:rPr>
          <w:rFonts w:ascii="宋体" w:hAnsi="宋体" w:cs="宋体"/>
        </w:rPr>
      </w:pPr>
      <w:r>
        <w:rPr>
          <w:b/>
          <w:sz w:val="30"/>
          <w:szCs w:val="30"/>
        </w:rPr>
        <w:t>政府采购合同</w:t>
      </w:r>
      <w:bookmarkEnd w:id="2"/>
    </w:p>
    <w:bookmarkEnd w:id="0"/>
    <w:bookmarkEnd w:id="1"/>
    <w:p>
      <w:pPr>
        <w:tabs>
          <w:tab w:val="left" w:pos="340"/>
          <w:tab w:val="left" w:pos="709"/>
        </w:tabs>
        <w:spacing w:line="480" w:lineRule="exact"/>
        <w:ind w:firstLine="480" w:firstLineChars="200"/>
        <w:rPr>
          <w:rFonts w:asciiTheme="minorEastAsia" w:hAnsiTheme="minorEastAsia" w:eastAsiaTheme="minorEastAsia"/>
        </w:rPr>
      </w:pPr>
      <w:r>
        <w:t>项</w:t>
      </w:r>
      <w:r>
        <w:rPr>
          <w:rFonts w:asciiTheme="minorEastAsia" w:hAnsiTheme="minorEastAsia" w:eastAsiaTheme="minorEastAsia"/>
        </w:rPr>
        <w:t>目名称：</w:t>
      </w:r>
      <w:r>
        <w:rPr>
          <w:rFonts w:hint="eastAsia" w:asciiTheme="minorEastAsia" w:hAnsiTheme="minorEastAsia" w:eastAsiaTheme="minorEastAsia"/>
        </w:rPr>
        <w:t>电子资源数据库</w:t>
      </w:r>
    </w:p>
    <w:p>
      <w:pPr>
        <w:tabs>
          <w:tab w:val="left" w:pos="340"/>
          <w:tab w:val="left" w:pos="709"/>
        </w:tabs>
        <w:spacing w:line="480" w:lineRule="exact"/>
        <w:ind w:firstLine="480" w:firstLineChars="200"/>
        <w:rPr>
          <w:rFonts w:hint="default" w:asciiTheme="minorEastAsia" w:hAnsiTheme="minorEastAsia" w:eastAsiaTheme="minorEastAsia"/>
          <w:lang w:val="en-US" w:eastAsia="zh-CN"/>
        </w:rPr>
      </w:pPr>
      <w:r>
        <w:rPr>
          <w:rFonts w:asciiTheme="minorEastAsia" w:hAnsiTheme="minorEastAsia" w:eastAsiaTheme="minorEastAsia"/>
        </w:rPr>
        <w:t>合同编号：</w:t>
      </w:r>
      <w:r>
        <w:rPr>
          <w:rFonts w:hint="eastAsia" w:asciiTheme="minorEastAsia" w:hAnsiTheme="minorEastAsia" w:eastAsiaTheme="minorEastAsia"/>
          <w:u w:val="single"/>
          <w:lang w:val="en-US" w:eastAsia="zh-CN"/>
        </w:rPr>
        <w:t xml:space="preserve">                         </w:t>
      </w:r>
    </w:p>
    <w:p>
      <w:pPr>
        <w:tabs>
          <w:tab w:val="left" w:pos="340"/>
          <w:tab w:val="left" w:pos="709"/>
        </w:tabs>
        <w:spacing w:line="480" w:lineRule="exact"/>
        <w:ind w:firstLine="480" w:firstLineChars="200"/>
        <w:rPr>
          <w:rFonts w:asciiTheme="minorEastAsia" w:hAnsiTheme="minorEastAsia" w:eastAsiaTheme="minorEastAsia"/>
        </w:rPr>
      </w:pPr>
      <w:r>
        <w:rPr>
          <w:rFonts w:asciiTheme="minorEastAsia" w:hAnsiTheme="minorEastAsia" w:eastAsiaTheme="minorEastAsia"/>
        </w:rPr>
        <w:t>采购人（甲方）：内蒙古大学</w:t>
      </w:r>
    </w:p>
    <w:p>
      <w:pPr>
        <w:tabs>
          <w:tab w:val="left" w:pos="340"/>
          <w:tab w:val="left" w:pos="709"/>
        </w:tabs>
        <w:spacing w:line="480" w:lineRule="exact"/>
        <w:ind w:firstLine="480" w:firstLineChars="200"/>
        <w:rPr>
          <w:rFonts w:hint="default" w:asciiTheme="minorEastAsia" w:hAnsiTheme="minorEastAsia" w:eastAsiaTheme="minorEastAsia"/>
          <w:bCs/>
          <w:highlight w:val="none"/>
          <w:u w:val="single"/>
          <w:lang w:val="en-US" w:eastAsia="zh-CN"/>
        </w:rPr>
      </w:pPr>
      <w:r>
        <w:rPr>
          <w:rFonts w:asciiTheme="minorEastAsia" w:hAnsiTheme="minorEastAsia" w:eastAsiaTheme="minorEastAsia"/>
          <w:highlight w:val="none"/>
        </w:rPr>
        <w:t>供应商（乙方）：</w:t>
      </w:r>
      <w:r>
        <w:rPr>
          <w:rFonts w:hint="eastAsia" w:asciiTheme="minorEastAsia" w:hAnsiTheme="minorEastAsia" w:eastAsiaTheme="minorEastAsia"/>
          <w:highlight w:val="none"/>
          <w:u w:val="single"/>
          <w:lang w:val="en-US" w:eastAsia="zh-CN"/>
        </w:rPr>
        <w:t xml:space="preserve">                           </w:t>
      </w:r>
    </w:p>
    <w:p>
      <w:pPr>
        <w:tabs>
          <w:tab w:val="left" w:pos="340"/>
          <w:tab w:val="left" w:pos="709"/>
        </w:tabs>
        <w:spacing w:line="480" w:lineRule="exact"/>
        <w:ind w:firstLine="480" w:firstLineChars="200"/>
        <w:rPr>
          <w:rFonts w:asciiTheme="minorEastAsia" w:hAnsiTheme="minorEastAsia" w:eastAsiaTheme="minorEastAsia"/>
        </w:rPr>
      </w:pPr>
      <w:r>
        <w:rPr>
          <w:rFonts w:asciiTheme="minorEastAsia" w:hAnsiTheme="minorEastAsia" w:eastAsiaTheme="minorEastAsia"/>
        </w:rPr>
        <w:t>合同签订地点：呼和浩特市赛罕区大学西路235号</w:t>
      </w:r>
    </w:p>
    <w:p>
      <w:pPr>
        <w:tabs>
          <w:tab w:val="left" w:pos="-142"/>
          <w:tab w:val="left" w:pos="709"/>
        </w:tabs>
        <w:spacing w:line="480" w:lineRule="exact"/>
        <w:ind w:firstLine="480" w:firstLineChars="200"/>
        <w:rPr>
          <w:rFonts w:asciiTheme="minorEastAsia" w:hAnsiTheme="minorEastAsia" w:eastAsiaTheme="minorEastAsia"/>
        </w:rPr>
      </w:pPr>
      <w:r>
        <w:rPr>
          <w:rFonts w:asciiTheme="minorEastAsia" w:hAnsiTheme="minorEastAsia" w:eastAsiaTheme="minorEastAsia"/>
        </w:rPr>
        <w:t>为保护供需双方合法权益，根据《中华人民共和国政府采购法》、《中华人民共和国</w:t>
      </w:r>
      <w:r>
        <w:rPr>
          <w:rFonts w:hint="eastAsia" w:asciiTheme="minorEastAsia" w:hAnsiTheme="minorEastAsia" w:eastAsiaTheme="minorEastAsia"/>
        </w:rPr>
        <w:t>民</w:t>
      </w:r>
      <w:r>
        <w:rPr>
          <w:rFonts w:asciiTheme="minorEastAsia" w:hAnsiTheme="minorEastAsia" w:eastAsiaTheme="minorEastAsia"/>
        </w:rPr>
        <w:t>法典》等相关法律法规的规定并严格遵循招标文件（项目编号：</w:t>
      </w:r>
      <w:r>
        <w:rPr>
          <w:rFonts w:hint="eastAsia" w:asciiTheme="minorEastAsia" w:hAnsiTheme="minorEastAsia" w:eastAsiaTheme="minorEastAsia"/>
        </w:rPr>
        <w:t>NMGZCS-G-F-22066</w:t>
      </w:r>
      <w:r>
        <w:rPr>
          <w:rFonts w:asciiTheme="minorEastAsia" w:hAnsiTheme="minorEastAsia" w:eastAsiaTheme="minorEastAsia"/>
        </w:rPr>
        <w:t>）中相关规定，由采购人与供应商签订本合同，并共同遵守。</w:t>
      </w:r>
    </w:p>
    <w:p>
      <w:pPr>
        <w:tabs>
          <w:tab w:val="left" w:pos="340"/>
          <w:tab w:val="left" w:pos="709"/>
        </w:tabs>
        <w:spacing w:line="480" w:lineRule="exact"/>
        <w:rPr>
          <w:rFonts w:asciiTheme="minorEastAsia" w:hAnsiTheme="minorEastAsia" w:eastAsiaTheme="minorEastAsia"/>
          <w:b/>
        </w:rPr>
      </w:pPr>
      <w:bookmarkStart w:id="3" w:name="_Toc414743939"/>
      <w:r>
        <w:rPr>
          <w:rFonts w:asciiTheme="minorEastAsia" w:hAnsiTheme="minorEastAsia" w:eastAsiaTheme="minorEastAsia"/>
          <w:b/>
        </w:rPr>
        <w:t>一、合同文件</w:t>
      </w:r>
      <w:bookmarkEnd w:id="3"/>
    </w:p>
    <w:p>
      <w:pPr>
        <w:tabs>
          <w:tab w:val="left" w:pos="-142"/>
          <w:tab w:val="left" w:pos="709"/>
        </w:tabs>
        <w:spacing w:line="480" w:lineRule="exact"/>
        <w:ind w:firstLine="480" w:firstLineChars="200"/>
        <w:rPr>
          <w:rFonts w:asciiTheme="minorEastAsia" w:hAnsiTheme="minorEastAsia" w:eastAsiaTheme="minorEastAsia"/>
        </w:rPr>
      </w:pPr>
      <w:r>
        <w:rPr>
          <w:rFonts w:asciiTheme="minorEastAsia" w:hAnsiTheme="minorEastAsia" w:eastAsiaTheme="minorEastAsia"/>
        </w:rPr>
        <w:t>本合同所附下列文件资料为本合同不可分割的部分：</w:t>
      </w:r>
    </w:p>
    <w:p>
      <w:pPr>
        <w:tabs>
          <w:tab w:val="left" w:pos="-142"/>
          <w:tab w:val="left" w:pos="709"/>
        </w:tabs>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（一）招标文件（含补充通知）</w:t>
      </w:r>
    </w:p>
    <w:p>
      <w:pPr>
        <w:tabs>
          <w:tab w:val="left" w:pos="-142"/>
          <w:tab w:val="left" w:pos="709"/>
        </w:tabs>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（二）投标文件（含澄清、承诺文件）</w:t>
      </w:r>
    </w:p>
    <w:p>
      <w:pPr>
        <w:tabs>
          <w:tab w:val="left" w:pos="-142"/>
          <w:tab w:val="left" w:pos="709"/>
        </w:tabs>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（三）最终报价表及承诺</w:t>
      </w:r>
    </w:p>
    <w:p>
      <w:pPr>
        <w:tabs>
          <w:tab w:val="left" w:pos="-142"/>
          <w:tab w:val="left" w:pos="709"/>
        </w:tabs>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（四）中标（成交）通知书</w:t>
      </w:r>
    </w:p>
    <w:p>
      <w:pPr>
        <w:tabs>
          <w:tab w:val="left" w:pos="-142"/>
          <w:tab w:val="left" w:pos="709"/>
        </w:tabs>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（五）在执行本合同的过程中，所有经双方签署确认的文件（包括会议纪要、补充协议、往来信函）</w:t>
      </w:r>
    </w:p>
    <w:p>
      <w:pPr>
        <w:tabs>
          <w:tab w:val="left" w:pos="-142"/>
          <w:tab w:val="left" w:pos="709"/>
        </w:tabs>
        <w:spacing w:line="480" w:lineRule="exact"/>
        <w:ind w:firstLine="480" w:firstLineChars="200"/>
        <w:rPr>
          <w:rFonts w:asciiTheme="minorEastAsia" w:hAnsiTheme="minorEastAsia" w:eastAsiaTheme="minorEastAsia"/>
        </w:rPr>
      </w:pPr>
      <w:r>
        <w:rPr>
          <w:rFonts w:hint="eastAsia" w:asciiTheme="minorEastAsia" w:hAnsiTheme="minorEastAsia" w:eastAsiaTheme="minorEastAsia"/>
        </w:rPr>
        <w:t>（六）协议</w:t>
      </w:r>
    </w:p>
    <w:p>
      <w:pPr>
        <w:tabs>
          <w:tab w:val="left" w:pos="340"/>
          <w:tab w:val="left" w:pos="709"/>
        </w:tabs>
        <w:spacing w:line="480" w:lineRule="exact"/>
        <w:rPr>
          <w:b/>
        </w:rPr>
      </w:pPr>
      <w:bookmarkStart w:id="4" w:name="_Toc414743940"/>
      <w:r>
        <w:rPr>
          <w:b/>
        </w:rPr>
        <w:t>二、合同范围和条件</w:t>
      </w:r>
      <w:bookmarkEnd w:id="4"/>
    </w:p>
    <w:p>
      <w:pPr>
        <w:tabs>
          <w:tab w:val="left" w:pos="-142"/>
          <w:tab w:val="left" w:pos="709"/>
        </w:tabs>
        <w:spacing w:line="480" w:lineRule="exact"/>
        <w:ind w:firstLine="480" w:firstLineChars="200"/>
        <w:rPr>
          <w:rFonts w:asciiTheme="minorEastAsia" w:hAnsiTheme="minorEastAsia" w:eastAsiaTheme="minorEastAsia"/>
        </w:rPr>
      </w:pPr>
      <w:r>
        <w:rPr>
          <w:rFonts w:asciiTheme="minorEastAsia" w:hAnsiTheme="minorEastAsia" w:eastAsiaTheme="minorEastAsia"/>
        </w:rPr>
        <w:t>本合同的范围和条件应与上述合同文件的规定相一致。</w:t>
      </w:r>
    </w:p>
    <w:p>
      <w:pPr>
        <w:tabs>
          <w:tab w:val="left" w:pos="340"/>
          <w:tab w:val="left" w:pos="709"/>
        </w:tabs>
        <w:spacing w:line="480" w:lineRule="exact"/>
        <w:rPr>
          <w:b/>
        </w:rPr>
      </w:pPr>
      <w:bookmarkStart w:id="5" w:name="_Toc414743941"/>
      <w:r>
        <w:rPr>
          <w:b/>
        </w:rPr>
        <w:t>三、采购货物、服务有关信息</w:t>
      </w:r>
      <w:bookmarkEnd w:id="5"/>
    </w:p>
    <w:p>
      <w:pPr>
        <w:tabs>
          <w:tab w:val="left" w:pos="340"/>
          <w:tab w:val="left" w:pos="709"/>
        </w:tabs>
        <w:spacing w:line="480" w:lineRule="exact"/>
      </w:pPr>
      <w:r>
        <w:t>本合同所涉及的乙方应提供的货物和服务内容详见下表</w:t>
      </w:r>
    </w:p>
    <w:p>
      <w:pPr>
        <w:tabs>
          <w:tab w:val="left" w:pos="340"/>
          <w:tab w:val="left" w:pos="709"/>
        </w:tabs>
        <w:rPr>
          <w:b/>
        </w:rPr>
      </w:pPr>
      <w:r>
        <w:rPr>
          <w:b/>
        </w:rPr>
        <w:t>第</w:t>
      </w:r>
      <w:r>
        <w:rPr>
          <w:rFonts w:hint="eastAsia"/>
          <w:b/>
          <w:lang w:val="en-US" w:eastAsia="zh-CN"/>
        </w:rPr>
        <w:t xml:space="preserve">     </w:t>
      </w:r>
      <w:r>
        <w:rPr>
          <w:b/>
        </w:rPr>
        <w:t>包：</w:t>
      </w:r>
    </w:p>
    <w:tbl>
      <w:tblPr>
        <w:tblStyle w:val="10"/>
        <w:tblpPr w:leftFromText="180" w:rightFromText="180" w:vertAnchor="text" w:horzAnchor="page" w:tblpX="1817" w:tblpY="502"/>
        <w:tblOverlap w:val="never"/>
        <w:tblW w:w="53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416"/>
        <w:gridCol w:w="3832"/>
        <w:gridCol w:w="834"/>
        <w:gridCol w:w="816"/>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495" w:type="dxa"/>
            <w:vAlign w:val="center"/>
          </w:tcPr>
          <w:p>
            <w:pPr>
              <w:tabs>
                <w:tab w:val="left" w:pos="340"/>
                <w:tab w:val="left" w:pos="709"/>
              </w:tabs>
              <w:adjustRightInd w:val="0"/>
              <w:snapToGrid w:val="0"/>
              <w:spacing w:line="240" w:lineRule="auto"/>
              <w:jc w:val="center"/>
              <w:rPr>
                <w:b/>
                <w:highlight w:val="yellow"/>
              </w:rPr>
            </w:pPr>
            <w:r>
              <w:rPr>
                <w:b/>
              </w:rPr>
              <w:t>序号</w:t>
            </w:r>
          </w:p>
        </w:tc>
        <w:tc>
          <w:tcPr>
            <w:tcW w:w="1416" w:type="dxa"/>
            <w:vAlign w:val="center"/>
          </w:tcPr>
          <w:p>
            <w:pPr>
              <w:tabs>
                <w:tab w:val="left" w:pos="340"/>
                <w:tab w:val="left" w:pos="709"/>
              </w:tabs>
              <w:adjustRightInd w:val="0"/>
              <w:snapToGrid w:val="0"/>
              <w:spacing w:line="240" w:lineRule="auto"/>
              <w:jc w:val="center"/>
              <w:rPr>
                <w:b/>
                <w:highlight w:val="yellow"/>
              </w:rPr>
            </w:pPr>
            <w:r>
              <w:rPr>
                <w:b/>
              </w:rPr>
              <w:t>数据库名称</w:t>
            </w:r>
          </w:p>
        </w:tc>
        <w:tc>
          <w:tcPr>
            <w:tcW w:w="3832" w:type="dxa"/>
            <w:vAlign w:val="center"/>
          </w:tcPr>
          <w:p>
            <w:pPr>
              <w:tabs>
                <w:tab w:val="left" w:pos="340"/>
                <w:tab w:val="left" w:pos="709"/>
              </w:tabs>
              <w:adjustRightInd w:val="0"/>
              <w:snapToGrid w:val="0"/>
              <w:spacing w:line="240" w:lineRule="auto"/>
              <w:jc w:val="center"/>
              <w:rPr>
                <w:b/>
                <w:highlight w:val="yellow"/>
              </w:rPr>
            </w:pPr>
            <w:r>
              <w:rPr>
                <w:b/>
              </w:rPr>
              <w:t>主要技术参数</w:t>
            </w:r>
          </w:p>
        </w:tc>
        <w:tc>
          <w:tcPr>
            <w:tcW w:w="834" w:type="dxa"/>
            <w:vAlign w:val="center"/>
          </w:tcPr>
          <w:p>
            <w:pPr>
              <w:widowControl/>
              <w:adjustRightInd w:val="0"/>
              <w:snapToGrid w:val="0"/>
              <w:spacing w:line="240" w:lineRule="auto"/>
              <w:jc w:val="center"/>
              <w:rPr>
                <w:b/>
                <w:highlight w:val="yellow"/>
              </w:rPr>
            </w:pPr>
            <w:r>
              <w:rPr>
                <w:b/>
              </w:rPr>
              <w:t>数量</w:t>
            </w:r>
          </w:p>
        </w:tc>
        <w:tc>
          <w:tcPr>
            <w:tcW w:w="816" w:type="dxa"/>
            <w:vAlign w:val="center"/>
          </w:tcPr>
          <w:p>
            <w:pPr>
              <w:widowControl/>
              <w:adjustRightInd w:val="0"/>
              <w:snapToGrid w:val="0"/>
              <w:spacing w:line="240" w:lineRule="auto"/>
              <w:jc w:val="center"/>
              <w:rPr>
                <w:b/>
                <w:highlight w:val="none"/>
              </w:rPr>
            </w:pPr>
            <w:r>
              <w:rPr>
                <w:b/>
                <w:highlight w:val="none"/>
              </w:rPr>
              <w:t>服务期</w:t>
            </w:r>
          </w:p>
        </w:tc>
        <w:tc>
          <w:tcPr>
            <w:tcW w:w="1668" w:type="dxa"/>
            <w:vAlign w:val="center"/>
          </w:tcPr>
          <w:p>
            <w:pPr>
              <w:widowControl/>
              <w:adjustRightInd w:val="0"/>
              <w:snapToGrid w:val="0"/>
              <w:spacing w:line="240" w:lineRule="auto"/>
              <w:jc w:val="center"/>
              <w:rPr>
                <w:b/>
                <w:highlight w:val="none"/>
              </w:rPr>
            </w:pPr>
            <w:r>
              <w:rPr>
                <w:b/>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495" w:type="dxa"/>
            <w:vAlign w:val="center"/>
          </w:tcPr>
          <w:p>
            <w:pPr>
              <w:pStyle w:val="2"/>
              <w:adjustRightInd w:val="0"/>
              <w:snapToGrid w:val="0"/>
              <w:spacing w:line="240" w:lineRule="auto"/>
              <w:ind w:firstLine="0" w:firstLineChars="0"/>
              <w:jc w:val="center"/>
              <w:rPr>
                <w:rFonts w:hint="eastAsia" w:eastAsia="宋体"/>
                <w:lang w:val="en-US" w:eastAsia="zh-CN"/>
              </w:rPr>
            </w:pPr>
            <w:r>
              <w:rPr>
                <w:rFonts w:hint="eastAsia"/>
                <w:lang w:val="en-US" w:eastAsia="zh-CN"/>
              </w:rPr>
              <w:t>1</w:t>
            </w:r>
          </w:p>
        </w:tc>
        <w:tc>
          <w:tcPr>
            <w:tcW w:w="1416" w:type="dxa"/>
            <w:vAlign w:val="center"/>
          </w:tcPr>
          <w:p>
            <w:pPr>
              <w:adjustRightInd w:val="0"/>
              <w:snapToGrid w:val="0"/>
              <w:spacing w:line="240" w:lineRule="auto"/>
              <w:jc w:val="left"/>
              <w:rPr>
                <w:rFonts w:ascii="宋体" w:hAnsi="宋体" w:cs="宋体"/>
                <w:kern w:val="0"/>
                <w:lang w:val="zh-CN" w:bidi="zh-CN"/>
              </w:rPr>
            </w:pPr>
          </w:p>
        </w:tc>
        <w:tc>
          <w:tcPr>
            <w:tcW w:w="3832" w:type="dxa"/>
            <w:vAlign w:val="center"/>
          </w:tcPr>
          <w:p>
            <w:pPr>
              <w:tabs>
                <w:tab w:val="left" w:pos="340"/>
                <w:tab w:val="left" w:pos="709"/>
              </w:tabs>
              <w:adjustRightInd w:val="0"/>
              <w:snapToGrid w:val="0"/>
              <w:spacing w:line="240" w:lineRule="auto"/>
              <w:jc w:val="left"/>
            </w:pPr>
          </w:p>
        </w:tc>
        <w:tc>
          <w:tcPr>
            <w:tcW w:w="834" w:type="dxa"/>
            <w:vAlign w:val="center"/>
          </w:tcPr>
          <w:p>
            <w:pPr>
              <w:tabs>
                <w:tab w:val="left" w:pos="340"/>
                <w:tab w:val="left" w:pos="709"/>
              </w:tabs>
              <w:adjustRightInd w:val="0"/>
              <w:snapToGrid w:val="0"/>
              <w:spacing w:line="240" w:lineRule="auto"/>
              <w:jc w:val="center"/>
            </w:pPr>
          </w:p>
        </w:tc>
        <w:tc>
          <w:tcPr>
            <w:tcW w:w="816" w:type="dxa"/>
            <w:vAlign w:val="center"/>
          </w:tcPr>
          <w:p>
            <w:pPr>
              <w:tabs>
                <w:tab w:val="left" w:pos="340"/>
                <w:tab w:val="left" w:pos="709"/>
              </w:tabs>
              <w:adjustRightInd w:val="0"/>
              <w:snapToGrid w:val="0"/>
              <w:spacing w:line="240" w:lineRule="auto"/>
              <w:jc w:val="left"/>
            </w:pPr>
          </w:p>
        </w:tc>
        <w:tc>
          <w:tcPr>
            <w:tcW w:w="1668" w:type="dxa"/>
            <w:vMerge w:val="restart"/>
            <w:vAlign w:val="center"/>
          </w:tcPr>
          <w:p>
            <w:pPr>
              <w:tabs>
                <w:tab w:val="left" w:pos="340"/>
                <w:tab w:val="left" w:pos="709"/>
              </w:tabs>
              <w:adjustRightInd w:val="0"/>
              <w:snapToGrid w:val="0"/>
              <w:spacing w:line="24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495" w:type="dxa"/>
            <w:vAlign w:val="center"/>
          </w:tcPr>
          <w:p>
            <w:pPr>
              <w:pStyle w:val="2"/>
              <w:adjustRightInd w:val="0"/>
              <w:snapToGrid w:val="0"/>
              <w:spacing w:line="240" w:lineRule="auto"/>
              <w:ind w:firstLine="0" w:firstLineChars="0"/>
              <w:jc w:val="center"/>
            </w:pPr>
            <w:r>
              <w:rPr>
                <w:rFonts w:hint="eastAsia"/>
              </w:rPr>
              <w:t>2</w:t>
            </w:r>
          </w:p>
        </w:tc>
        <w:tc>
          <w:tcPr>
            <w:tcW w:w="1416" w:type="dxa"/>
            <w:vAlign w:val="center"/>
          </w:tcPr>
          <w:p>
            <w:pPr>
              <w:adjustRightInd w:val="0"/>
              <w:snapToGrid w:val="0"/>
              <w:spacing w:line="240" w:lineRule="auto"/>
              <w:jc w:val="left"/>
              <w:rPr>
                <w:rFonts w:ascii="宋体" w:hAnsi="宋体" w:cs="宋体"/>
                <w:kern w:val="0"/>
                <w:lang w:val="zh-CN" w:bidi="zh-CN"/>
              </w:rPr>
            </w:pPr>
          </w:p>
        </w:tc>
        <w:tc>
          <w:tcPr>
            <w:tcW w:w="3832" w:type="dxa"/>
            <w:vAlign w:val="center"/>
          </w:tcPr>
          <w:p>
            <w:pPr>
              <w:adjustRightInd w:val="0"/>
              <w:snapToGrid w:val="0"/>
              <w:spacing w:line="240" w:lineRule="auto"/>
              <w:jc w:val="left"/>
            </w:pPr>
          </w:p>
        </w:tc>
        <w:tc>
          <w:tcPr>
            <w:tcW w:w="834" w:type="dxa"/>
            <w:vAlign w:val="center"/>
          </w:tcPr>
          <w:p>
            <w:pPr>
              <w:adjustRightInd w:val="0"/>
              <w:snapToGrid w:val="0"/>
              <w:spacing w:line="240" w:lineRule="auto"/>
              <w:jc w:val="center"/>
            </w:pPr>
          </w:p>
        </w:tc>
        <w:tc>
          <w:tcPr>
            <w:tcW w:w="816" w:type="dxa"/>
          </w:tcPr>
          <w:p>
            <w:pPr>
              <w:adjustRightInd w:val="0"/>
              <w:snapToGrid w:val="0"/>
              <w:spacing w:line="240" w:lineRule="auto"/>
              <w:jc w:val="left"/>
            </w:pPr>
          </w:p>
        </w:tc>
        <w:tc>
          <w:tcPr>
            <w:tcW w:w="1668" w:type="dxa"/>
            <w:vMerge w:val="continue"/>
          </w:tcPr>
          <w:p>
            <w:pPr>
              <w:adjustRightInd w:val="0"/>
              <w:snapToGrid w:val="0"/>
              <w:spacing w:line="24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5" w:type="dxa"/>
            <w:vAlign w:val="center"/>
          </w:tcPr>
          <w:p>
            <w:pPr>
              <w:pStyle w:val="2"/>
              <w:adjustRightInd w:val="0"/>
              <w:snapToGrid w:val="0"/>
              <w:spacing w:line="240" w:lineRule="auto"/>
              <w:ind w:firstLine="0" w:firstLineChars="0"/>
              <w:jc w:val="center"/>
            </w:pPr>
            <w:r>
              <w:rPr>
                <w:rFonts w:hint="eastAsia"/>
              </w:rPr>
              <w:t>3</w:t>
            </w:r>
          </w:p>
        </w:tc>
        <w:tc>
          <w:tcPr>
            <w:tcW w:w="1416" w:type="dxa"/>
            <w:vAlign w:val="center"/>
          </w:tcPr>
          <w:p>
            <w:pPr>
              <w:adjustRightInd w:val="0"/>
              <w:snapToGrid w:val="0"/>
              <w:spacing w:line="240" w:lineRule="auto"/>
              <w:jc w:val="left"/>
              <w:rPr>
                <w:rFonts w:ascii="宋体" w:hAnsi="宋体" w:cs="宋体"/>
                <w:kern w:val="0"/>
                <w:lang w:val="zh-CN" w:bidi="zh-CN"/>
              </w:rPr>
            </w:pPr>
          </w:p>
        </w:tc>
        <w:tc>
          <w:tcPr>
            <w:tcW w:w="3832" w:type="dxa"/>
            <w:vAlign w:val="center"/>
          </w:tcPr>
          <w:p>
            <w:pPr>
              <w:adjustRightInd w:val="0"/>
              <w:snapToGrid w:val="0"/>
              <w:spacing w:line="240" w:lineRule="auto"/>
              <w:jc w:val="left"/>
            </w:pPr>
          </w:p>
        </w:tc>
        <w:tc>
          <w:tcPr>
            <w:tcW w:w="834" w:type="dxa"/>
            <w:vAlign w:val="center"/>
          </w:tcPr>
          <w:p>
            <w:pPr>
              <w:adjustRightInd w:val="0"/>
              <w:snapToGrid w:val="0"/>
              <w:spacing w:line="240" w:lineRule="auto"/>
              <w:jc w:val="center"/>
            </w:pPr>
          </w:p>
        </w:tc>
        <w:tc>
          <w:tcPr>
            <w:tcW w:w="816" w:type="dxa"/>
          </w:tcPr>
          <w:p>
            <w:pPr>
              <w:adjustRightInd w:val="0"/>
              <w:snapToGrid w:val="0"/>
              <w:spacing w:line="240" w:lineRule="auto"/>
              <w:jc w:val="left"/>
            </w:pPr>
          </w:p>
        </w:tc>
        <w:tc>
          <w:tcPr>
            <w:tcW w:w="1668" w:type="dxa"/>
            <w:vMerge w:val="continue"/>
          </w:tcPr>
          <w:p>
            <w:pPr>
              <w:adjustRightInd w:val="0"/>
              <w:snapToGrid w:val="0"/>
              <w:spacing w:line="24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495" w:type="dxa"/>
            <w:vAlign w:val="center"/>
          </w:tcPr>
          <w:p>
            <w:pPr>
              <w:pStyle w:val="2"/>
              <w:adjustRightInd w:val="0"/>
              <w:snapToGrid w:val="0"/>
              <w:spacing w:line="240" w:lineRule="auto"/>
              <w:ind w:firstLine="0" w:firstLineChars="0"/>
              <w:jc w:val="center"/>
            </w:pPr>
            <w:r>
              <w:rPr>
                <w:rFonts w:hint="eastAsia"/>
              </w:rPr>
              <w:t>4</w:t>
            </w:r>
          </w:p>
        </w:tc>
        <w:tc>
          <w:tcPr>
            <w:tcW w:w="1416" w:type="dxa"/>
            <w:vAlign w:val="center"/>
          </w:tcPr>
          <w:p>
            <w:pPr>
              <w:adjustRightInd w:val="0"/>
              <w:snapToGrid w:val="0"/>
              <w:spacing w:line="240" w:lineRule="auto"/>
              <w:jc w:val="left"/>
              <w:rPr>
                <w:rFonts w:ascii="宋体" w:hAnsi="宋体" w:cs="宋体"/>
                <w:kern w:val="0"/>
                <w:lang w:bidi="zh-CN"/>
              </w:rPr>
            </w:pPr>
          </w:p>
        </w:tc>
        <w:tc>
          <w:tcPr>
            <w:tcW w:w="3832" w:type="dxa"/>
            <w:vAlign w:val="center"/>
          </w:tcPr>
          <w:p>
            <w:pPr>
              <w:adjustRightInd w:val="0"/>
              <w:snapToGrid w:val="0"/>
              <w:spacing w:line="240" w:lineRule="auto"/>
              <w:jc w:val="left"/>
            </w:pPr>
          </w:p>
        </w:tc>
        <w:tc>
          <w:tcPr>
            <w:tcW w:w="834" w:type="dxa"/>
            <w:vAlign w:val="center"/>
          </w:tcPr>
          <w:p>
            <w:pPr>
              <w:adjustRightInd w:val="0"/>
              <w:snapToGrid w:val="0"/>
              <w:spacing w:line="240" w:lineRule="auto"/>
              <w:jc w:val="center"/>
            </w:pPr>
          </w:p>
        </w:tc>
        <w:tc>
          <w:tcPr>
            <w:tcW w:w="816" w:type="dxa"/>
          </w:tcPr>
          <w:p>
            <w:pPr>
              <w:adjustRightInd w:val="0"/>
              <w:snapToGrid w:val="0"/>
              <w:spacing w:line="240" w:lineRule="auto"/>
              <w:jc w:val="left"/>
            </w:pPr>
          </w:p>
        </w:tc>
        <w:tc>
          <w:tcPr>
            <w:tcW w:w="1668" w:type="dxa"/>
            <w:vMerge w:val="continue"/>
          </w:tcPr>
          <w:p>
            <w:pPr>
              <w:adjustRightInd w:val="0"/>
              <w:snapToGrid w:val="0"/>
              <w:spacing w:line="24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495" w:type="dxa"/>
            <w:vAlign w:val="center"/>
          </w:tcPr>
          <w:p>
            <w:pPr>
              <w:pStyle w:val="2"/>
              <w:adjustRightInd w:val="0"/>
              <w:snapToGrid w:val="0"/>
              <w:spacing w:line="240" w:lineRule="auto"/>
              <w:ind w:firstLine="0" w:firstLineChars="0"/>
              <w:jc w:val="center"/>
            </w:pPr>
            <w:r>
              <w:rPr>
                <w:rFonts w:hint="eastAsia"/>
              </w:rPr>
              <w:t>5</w:t>
            </w:r>
          </w:p>
        </w:tc>
        <w:tc>
          <w:tcPr>
            <w:tcW w:w="1416" w:type="dxa"/>
            <w:vAlign w:val="center"/>
          </w:tcPr>
          <w:p>
            <w:pPr>
              <w:adjustRightInd w:val="0"/>
              <w:snapToGrid w:val="0"/>
              <w:spacing w:line="240" w:lineRule="auto"/>
              <w:jc w:val="left"/>
              <w:rPr>
                <w:rFonts w:ascii="宋体" w:hAnsi="宋体" w:cs="宋体"/>
                <w:kern w:val="0"/>
                <w:lang w:bidi="zh-CN"/>
              </w:rPr>
            </w:pPr>
          </w:p>
        </w:tc>
        <w:tc>
          <w:tcPr>
            <w:tcW w:w="3832" w:type="dxa"/>
            <w:vAlign w:val="center"/>
          </w:tcPr>
          <w:p>
            <w:pPr>
              <w:adjustRightInd w:val="0"/>
              <w:snapToGrid w:val="0"/>
              <w:spacing w:line="240" w:lineRule="auto"/>
              <w:jc w:val="left"/>
            </w:pPr>
          </w:p>
        </w:tc>
        <w:tc>
          <w:tcPr>
            <w:tcW w:w="834" w:type="dxa"/>
            <w:vAlign w:val="center"/>
          </w:tcPr>
          <w:p>
            <w:pPr>
              <w:adjustRightInd w:val="0"/>
              <w:snapToGrid w:val="0"/>
              <w:spacing w:line="240" w:lineRule="auto"/>
              <w:jc w:val="center"/>
            </w:pPr>
          </w:p>
        </w:tc>
        <w:tc>
          <w:tcPr>
            <w:tcW w:w="816" w:type="dxa"/>
          </w:tcPr>
          <w:p>
            <w:pPr>
              <w:adjustRightInd w:val="0"/>
              <w:snapToGrid w:val="0"/>
              <w:spacing w:line="240" w:lineRule="auto"/>
              <w:jc w:val="left"/>
            </w:pPr>
          </w:p>
        </w:tc>
        <w:tc>
          <w:tcPr>
            <w:tcW w:w="1668" w:type="dxa"/>
            <w:vMerge w:val="continue"/>
          </w:tcPr>
          <w:p>
            <w:pPr>
              <w:adjustRightInd w:val="0"/>
              <w:snapToGrid w:val="0"/>
              <w:spacing w:line="24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495" w:type="dxa"/>
            <w:vAlign w:val="center"/>
          </w:tcPr>
          <w:p>
            <w:pPr>
              <w:pStyle w:val="2"/>
              <w:adjustRightInd w:val="0"/>
              <w:snapToGrid w:val="0"/>
              <w:spacing w:line="240" w:lineRule="auto"/>
              <w:ind w:firstLine="0" w:firstLineChars="0"/>
              <w:jc w:val="center"/>
            </w:pPr>
            <w:r>
              <w:rPr>
                <w:rFonts w:hint="eastAsia"/>
              </w:rPr>
              <w:t>6</w:t>
            </w:r>
          </w:p>
        </w:tc>
        <w:tc>
          <w:tcPr>
            <w:tcW w:w="1416" w:type="dxa"/>
            <w:vAlign w:val="center"/>
          </w:tcPr>
          <w:p>
            <w:pPr>
              <w:adjustRightInd w:val="0"/>
              <w:snapToGrid w:val="0"/>
              <w:spacing w:line="240" w:lineRule="auto"/>
              <w:jc w:val="left"/>
              <w:rPr>
                <w:rFonts w:ascii="宋体" w:hAnsi="宋体" w:cs="宋体"/>
                <w:kern w:val="0"/>
                <w:lang w:bidi="zh-CN"/>
              </w:rPr>
            </w:pPr>
          </w:p>
        </w:tc>
        <w:tc>
          <w:tcPr>
            <w:tcW w:w="3832" w:type="dxa"/>
            <w:vAlign w:val="center"/>
          </w:tcPr>
          <w:p>
            <w:pPr>
              <w:adjustRightInd w:val="0"/>
              <w:snapToGrid w:val="0"/>
              <w:spacing w:line="240" w:lineRule="auto"/>
              <w:jc w:val="left"/>
            </w:pPr>
          </w:p>
        </w:tc>
        <w:tc>
          <w:tcPr>
            <w:tcW w:w="834" w:type="dxa"/>
            <w:vAlign w:val="center"/>
          </w:tcPr>
          <w:p>
            <w:pPr>
              <w:adjustRightInd w:val="0"/>
              <w:snapToGrid w:val="0"/>
              <w:spacing w:line="240" w:lineRule="auto"/>
              <w:jc w:val="center"/>
            </w:pPr>
          </w:p>
        </w:tc>
        <w:tc>
          <w:tcPr>
            <w:tcW w:w="816" w:type="dxa"/>
          </w:tcPr>
          <w:p>
            <w:pPr>
              <w:adjustRightInd w:val="0"/>
              <w:snapToGrid w:val="0"/>
              <w:spacing w:line="240" w:lineRule="auto"/>
              <w:jc w:val="left"/>
            </w:pPr>
          </w:p>
        </w:tc>
        <w:tc>
          <w:tcPr>
            <w:tcW w:w="1668" w:type="dxa"/>
            <w:vMerge w:val="continue"/>
          </w:tcPr>
          <w:p>
            <w:pPr>
              <w:adjustRightInd w:val="0"/>
              <w:snapToGrid w:val="0"/>
              <w:spacing w:line="24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95" w:type="dxa"/>
            <w:vAlign w:val="center"/>
          </w:tcPr>
          <w:p>
            <w:pPr>
              <w:pStyle w:val="2"/>
              <w:adjustRightInd w:val="0"/>
              <w:snapToGrid w:val="0"/>
              <w:spacing w:line="240" w:lineRule="auto"/>
              <w:ind w:firstLine="0" w:firstLineChars="0"/>
              <w:jc w:val="center"/>
            </w:pPr>
            <w:r>
              <w:rPr>
                <w:rFonts w:hint="eastAsia"/>
              </w:rPr>
              <w:t>7</w:t>
            </w:r>
          </w:p>
        </w:tc>
        <w:tc>
          <w:tcPr>
            <w:tcW w:w="1416" w:type="dxa"/>
            <w:vAlign w:val="center"/>
          </w:tcPr>
          <w:p>
            <w:pPr>
              <w:adjustRightInd w:val="0"/>
              <w:snapToGrid w:val="0"/>
              <w:spacing w:line="240" w:lineRule="auto"/>
              <w:jc w:val="left"/>
              <w:rPr>
                <w:rFonts w:hint="default" w:ascii="宋体" w:hAnsi="宋体" w:cs="宋体"/>
                <w:kern w:val="0"/>
                <w:lang w:val="en-US" w:bidi="zh-CN"/>
              </w:rPr>
            </w:pPr>
            <w:r>
              <w:rPr>
                <w:rFonts w:hint="eastAsia" w:ascii="宋体" w:hAnsi="宋体" w:cs="宋体"/>
                <w:kern w:val="0"/>
                <w:lang w:val="en-US" w:bidi="zh-CN"/>
              </w:rPr>
              <w:t>....</w:t>
            </w:r>
          </w:p>
        </w:tc>
        <w:tc>
          <w:tcPr>
            <w:tcW w:w="3832" w:type="dxa"/>
            <w:vAlign w:val="center"/>
          </w:tcPr>
          <w:p>
            <w:pPr>
              <w:widowControl/>
              <w:adjustRightInd w:val="0"/>
              <w:snapToGrid w:val="0"/>
              <w:spacing w:line="240" w:lineRule="auto"/>
              <w:jc w:val="left"/>
              <w:rPr>
                <w:rFonts w:hint="default" w:eastAsia="宋体"/>
                <w:lang w:val="en-US" w:eastAsia="zh-CN"/>
              </w:rPr>
            </w:pPr>
            <w:r>
              <w:rPr>
                <w:rFonts w:hint="eastAsia"/>
                <w:lang w:val="en-US" w:eastAsia="zh-CN"/>
              </w:rPr>
              <w:t>....</w:t>
            </w:r>
          </w:p>
        </w:tc>
        <w:tc>
          <w:tcPr>
            <w:tcW w:w="834" w:type="dxa"/>
            <w:vAlign w:val="center"/>
          </w:tcPr>
          <w:p>
            <w:pPr>
              <w:adjustRightInd w:val="0"/>
              <w:snapToGrid w:val="0"/>
              <w:spacing w:line="240" w:lineRule="auto"/>
              <w:jc w:val="center"/>
              <w:rPr>
                <w:rFonts w:hint="default" w:eastAsia="宋体"/>
                <w:lang w:val="en-US" w:eastAsia="zh-CN"/>
              </w:rPr>
            </w:pPr>
            <w:r>
              <w:rPr>
                <w:rFonts w:hint="eastAsia"/>
                <w:lang w:val="en-US" w:eastAsia="zh-CN"/>
              </w:rPr>
              <w:t>...</w:t>
            </w:r>
          </w:p>
        </w:tc>
        <w:tc>
          <w:tcPr>
            <w:tcW w:w="816" w:type="dxa"/>
          </w:tcPr>
          <w:p>
            <w:pPr>
              <w:adjustRightInd w:val="0"/>
              <w:snapToGrid w:val="0"/>
              <w:spacing w:line="240" w:lineRule="auto"/>
              <w:jc w:val="left"/>
              <w:rPr>
                <w:rFonts w:hint="default" w:eastAsia="宋体"/>
                <w:lang w:val="en-US" w:eastAsia="zh-CN"/>
              </w:rPr>
            </w:pPr>
            <w:r>
              <w:rPr>
                <w:rFonts w:hint="eastAsia"/>
                <w:lang w:val="en-US" w:eastAsia="zh-CN"/>
              </w:rPr>
              <w:t>...</w:t>
            </w:r>
          </w:p>
        </w:tc>
        <w:tc>
          <w:tcPr>
            <w:tcW w:w="1668" w:type="dxa"/>
            <w:vMerge w:val="continue"/>
          </w:tcPr>
          <w:p>
            <w:pPr>
              <w:adjustRightInd w:val="0"/>
              <w:snapToGrid w:val="0"/>
              <w:spacing w:line="240" w:lineRule="auto"/>
              <w:jc w:val="left"/>
            </w:pPr>
          </w:p>
        </w:tc>
      </w:tr>
    </w:tbl>
    <w:p>
      <w:pPr>
        <w:tabs>
          <w:tab w:val="left" w:pos="340"/>
          <w:tab w:val="left" w:pos="709"/>
        </w:tabs>
        <w:spacing w:line="312" w:lineRule="auto"/>
      </w:pPr>
      <w:r>
        <w:t>注：详细技术参数以招标文件和投标文件约定为准</w:t>
      </w:r>
    </w:p>
    <w:p>
      <w:pPr>
        <w:tabs>
          <w:tab w:val="left" w:pos="340"/>
          <w:tab w:val="left" w:pos="709"/>
        </w:tabs>
        <w:spacing w:line="312" w:lineRule="auto"/>
        <w:ind w:firstLine="482" w:firstLineChars="200"/>
        <w:rPr>
          <w:b/>
        </w:rPr>
      </w:pPr>
      <w:bookmarkStart w:id="6" w:name="_Toc414743942"/>
      <w:r>
        <w:rPr>
          <w:b/>
        </w:rPr>
        <w:t>四、合同金额</w:t>
      </w:r>
      <w:bookmarkEnd w:id="6"/>
    </w:p>
    <w:p>
      <w:pPr>
        <w:tabs>
          <w:tab w:val="left" w:pos="340"/>
          <w:tab w:val="left" w:pos="709"/>
        </w:tabs>
        <w:spacing w:line="312" w:lineRule="auto"/>
        <w:ind w:firstLine="480"/>
      </w:pPr>
      <w:bookmarkStart w:id="7" w:name="_Toc414743943"/>
      <w:r>
        <w:t>根据中标（成交）通知书中规定，合同的</w:t>
      </w:r>
      <w:r>
        <w:rPr>
          <w:rFonts w:hint="eastAsia"/>
          <w:highlight w:val="none"/>
        </w:rPr>
        <w:t>中标（成交）金额</w:t>
      </w:r>
      <w:r>
        <w:rPr>
          <w:highlight w:val="none"/>
        </w:rPr>
        <w:t>为</w:t>
      </w:r>
      <w:r>
        <w:rPr>
          <w:rFonts w:hint="eastAsia"/>
          <w:b/>
          <w:bCs/>
          <w:highlight w:val="none"/>
        </w:rPr>
        <w:t>人民币</w:t>
      </w:r>
      <w:r>
        <w:rPr>
          <w:rFonts w:hint="eastAsia"/>
          <w:b/>
          <w:bCs/>
          <w:highlight w:val="none"/>
          <w:u w:val="single"/>
          <w:lang w:val="en-US" w:eastAsia="zh-CN"/>
        </w:rPr>
        <w:t xml:space="preserve">     </w:t>
      </w:r>
      <w:r>
        <w:rPr>
          <w:rFonts w:hint="eastAsia"/>
          <w:b/>
          <w:bCs/>
          <w:highlight w:val="none"/>
        </w:rPr>
        <w:t>元整（¥</w:t>
      </w:r>
      <w:r>
        <w:rPr>
          <w:rFonts w:hint="eastAsia"/>
          <w:b/>
          <w:bCs/>
          <w:highlight w:val="none"/>
          <w:u w:val="single"/>
          <w:lang w:val="en-US" w:eastAsia="zh-CN"/>
        </w:rPr>
        <w:t xml:space="preserve">        </w:t>
      </w:r>
      <w:r>
        <w:rPr>
          <w:b/>
          <w:highlight w:val="none"/>
          <w:u w:val="single"/>
        </w:rPr>
        <w:t>元</w:t>
      </w:r>
      <w:r>
        <w:rPr>
          <w:rFonts w:hint="eastAsia"/>
          <w:b/>
          <w:highlight w:val="none"/>
          <w:u w:val="none"/>
        </w:rPr>
        <w:t>）</w:t>
      </w:r>
      <w:r>
        <w:rPr>
          <w:b/>
          <w:highlight w:val="none"/>
        </w:rPr>
        <w:t>。</w:t>
      </w:r>
      <w:r>
        <w:rPr>
          <w:rFonts w:hint="eastAsia"/>
          <w:highlight w:val="none"/>
        </w:rPr>
        <w:t>此价款已包括乙方提供</w:t>
      </w:r>
      <w:r>
        <w:rPr>
          <w:rFonts w:hint="eastAsia"/>
        </w:rPr>
        <w:t>本合同约定的全部货物或服务后，甲方须向乙方支付的全部款项。除此价款外，甲方无须向乙方支付任何款项。</w:t>
      </w:r>
    </w:p>
    <w:bookmarkEnd w:id="7"/>
    <w:p>
      <w:pPr>
        <w:tabs>
          <w:tab w:val="left" w:pos="340"/>
          <w:tab w:val="left" w:pos="709"/>
        </w:tabs>
        <w:spacing w:line="312" w:lineRule="auto"/>
        <w:ind w:firstLine="482" w:firstLineChars="200"/>
        <w:rPr>
          <w:b/>
        </w:rPr>
      </w:pPr>
      <w:bookmarkStart w:id="8" w:name="_Toc414743944"/>
      <w:r>
        <w:rPr>
          <w:b/>
        </w:rPr>
        <w:t>五、</w:t>
      </w:r>
      <w:r>
        <w:rPr>
          <w:rFonts w:hint="eastAsia"/>
          <w:b/>
        </w:rPr>
        <w:t>标的提供</w:t>
      </w:r>
      <w:r>
        <w:rPr>
          <w:b/>
        </w:rPr>
        <w:t>时间</w:t>
      </w:r>
      <w:r>
        <w:rPr>
          <w:rFonts w:hint="eastAsia"/>
          <w:b/>
        </w:rPr>
        <w:t>、</w:t>
      </w:r>
      <w:r>
        <w:rPr>
          <w:b/>
        </w:rPr>
        <w:t>地点</w:t>
      </w:r>
    </w:p>
    <w:p>
      <w:pPr>
        <w:spacing w:line="312" w:lineRule="auto"/>
        <w:ind w:firstLine="480" w:firstLineChars="200"/>
      </w:pPr>
      <w:r>
        <w:rPr>
          <w:rFonts w:hint="eastAsia"/>
        </w:rPr>
        <w:t>标的提供时间：合同签订后7日内</w:t>
      </w:r>
    </w:p>
    <w:p>
      <w:pPr>
        <w:pStyle w:val="2"/>
        <w:spacing w:line="312" w:lineRule="auto"/>
        <w:ind w:firstLine="480"/>
      </w:pPr>
      <w:r>
        <w:rPr>
          <w:rFonts w:hint="eastAsia"/>
        </w:rPr>
        <w:t>标的提供地点：</w:t>
      </w:r>
      <w:r>
        <w:rPr>
          <w:rFonts w:hint="eastAsia"/>
          <w:lang w:val="en-US" w:eastAsia="zh-CN"/>
        </w:rPr>
        <w:t>采购人规定</w:t>
      </w:r>
      <w:r>
        <w:rPr>
          <w:rFonts w:hint="eastAsia"/>
        </w:rPr>
        <w:t>地点</w:t>
      </w:r>
    </w:p>
    <w:p>
      <w:pPr>
        <w:spacing w:line="312" w:lineRule="auto"/>
        <w:ind w:firstLine="482" w:firstLineChars="200"/>
        <w:rPr>
          <w:b/>
        </w:rPr>
      </w:pPr>
      <w:r>
        <w:rPr>
          <w:b/>
        </w:rPr>
        <w:t>六、</w:t>
      </w:r>
      <w:bookmarkEnd w:id="8"/>
      <w:r>
        <w:rPr>
          <w:b/>
        </w:rPr>
        <w:t>售后服务承诺</w:t>
      </w:r>
    </w:p>
    <w:p>
      <w:pPr>
        <w:spacing w:line="312" w:lineRule="auto"/>
        <w:ind w:firstLine="480" w:firstLineChars="200"/>
        <w:rPr>
          <w:rFonts w:asciiTheme="minorEastAsia" w:hAnsiTheme="minorEastAsia" w:eastAsiaTheme="minorEastAsia"/>
          <w:highlight w:val="none"/>
        </w:rPr>
      </w:pPr>
      <w:r>
        <w:rPr>
          <w:rFonts w:hint="eastAsia" w:asciiTheme="minorEastAsia" w:hAnsiTheme="minorEastAsia" w:eastAsiaTheme="minorEastAsia"/>
          <w:highlight w:val="none"/>
        </w:rPr>
        <w:t>乙方</w:t>
      </w:r>
      <w:r>
        <w:rPr>
          <w:rFonts w:asciiTheme="minorEastAsia" w:hAnsiTheme="minorEastAsia" w:eastAsiaTheme="minorEastAsia"/>
          <w:highlight w:val="none"/>
        </w:rPr>
        <w:t>对所提供货物的售后服务作如下承诺：</w:t>
      </w:r>
    </w:p>
    <w:p>
      <w:pPr>
        <w:spacing w:line="312" w:lineRule="auto"/>
        <w:ind w:firstLine="480" w:firstLineChars="200"/>
        <w:rPr>
          <w:rFonts w:asciiTheme="minorEastAsia" w:hAnsiTheme="minorEastAsia" w:eastAsiaTheme="minorEastAsia"/>
        </w:rPr>
      </w:pPr>
      <w:bookmarkStart w:id="9" w:name="_Toc414743945"/>
      <w:r>
        <w:rPr>
          <w:rFonts w:hint="eastAsia" w:asciiTheme="minorEastAsia" w:hAnsiTheme="minorEastAsia" w:eastAsiaTheme="minorEastAsia"/>
        </w:rPr>
        <w:t>按甲方招标文件的要求和乙方投标文件中的承诺执行。</w:t>
      </w:r>
    </w:p>
    <w:p>
      <w:pPr>
        <w:spacing w:line="312" w:lineRule="auto"/>
        <w:ind w:firstLine="482" w:firstLineChars="200"/>
        <w:rPr>
          <w:b/>
          <w:highlight w:val="none"/>
        </w:rPr>
      </w:pPr>
      <w:r>
        <w:rPr>
          <w:b/>
          <w:highlight w:val="none"/>
        </w:rPr>
        <w:t>七、验收办法</w:t>
      </w:r>
      <w:bookmarkEnd w:id="9"/>
    </w:p>
    <w:p>
      <w:pPr>
        <w:spacing w:line="312" w:lineRule="auto"/>
        <w:ind w:firstLine="480" w:firstLineChars="200"/>
        <w:rPr>
          <w:bCs/>
        </w:rPr>
      </w:pPr>
      <w:bookmarkStart w:id="10" w:name="_Toc414743946"/>
      <w:r>
        <w:rPr>
          <w:rFonts w:hint="eastAsia"/>
          <w:bCs/>
        </w:rPr>
        <w:t>按照招标文件、投标文件的规定标准进行验收。</w:t>
      </w:r>
    </w:p>
    <w:p>
      <w:pPr>
        <w:spacing w:line="312" w:lineRule="auto"/>
        <w:ind w:firstLine="480" w:firstLineChars="200"/>
        <w:rPr>
          <w:bCs/>
        </w:rPr>
      </w:pPr>
      <w:r>
        <w:rPr>
          <w:rFonts w:hint="eastAsia"/>
          <w:bCs/>
        </w:rPr>
        <w:t>验收要求：</w:t>
      </w:r>
      <w:r>
        <w:rPr>
          <w:rFonts w:hint="eastAsia"/>
          <w:b w:val="0"/>
        </w:rPr>
        <w:t>电子资源数据库可以正常访问，依据《内蒙古大学采购管理办法（试行）》及相关规定组织验收。</w:t>
      </w:r>
    </w:p>
    <w:p>
      <w:pPr>
        <w:spacing w:line="312" w:lineRule="auto"/>
        <w:ind w:firstLine="482" w:firstLineChars="200"/>
        <w:rPr>
          <w:b/>
        </w:rPr>
      </w:pPr>
      <w:r>
        <w:rPr>
          <w:rFonts w:hint="eastAsia"/>
          <w:b/>
        </w:rPr>
        <w:t>八、双方的权利和义务</w:t>
      </w:r>
    </w:p>
    <w:p>
      <w:pPr>
        <w:spacing w:line="312" w:lineRule="auto"/>
        <w:ind w:firstLine="480" w:firstLineChars="200"/>
      </w:pPr>
      <w:r>
        <w:rPr>
          <w:rFonts w:hint="eastAsia"/>
        </w:rPr>
        <w:t>（一）甲方的权利和义务</w:t>
      </w:r>
    </w:p>
    <w:p>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rPr>
        <w:t>甲方有权向乙方询问工作进展情况；</w:t>
      </w:r>
    </w:p>
    <w:p>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w:t>
      </w:r>
      <w:r>
        <w:rPr>
          <w:rFonts w:hint="eastAsia" w:asciiTheme="minorEastAsia" w:hAnsiTheme="minorEastAsia" w:eastAsiaTheme="minorEastAsia"/>
        </w:rPr>
        <w:t>甲方有权对具体本项目全部工作内容提出科学性、合理性建议和意见；</w:t>
      </w:r>
    </w:p>
    <w:p>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w:t>
      </w:r>
      <w:r>
        <w:rPr>
          <w:rFonts w:hint="eastAsia" w:asciiTheme="minorEastAsia" w:hAnsiTheme="minorEastAsia" w:eastAsiaTheme="minorEastAsia"/>
        </w:rPr>
        <w:t>甲方有权向乙方索取与委托采购内容有关的成果文件；</w:t>
      </w:r>
    </w:p>
    <w:p>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w:t>
      </w:r>
      <w:r>
        <w:rPr>
          <w:rFonts w:hint="eastAsia" w:asciiTheme="minorEastAsia" w:hAnsiTheme="minorEastAsia" w:eastAsiaTheme="minorEastAsia"/>
        </w:rPr>
        <w:t>甲方有权对乙方提供货物</w:t>
      </w:r>
      <w:r>
        <w:rPr>
          <w:rFonts w:asciiTheme="minorEastAsia" w:hAnsiTheme="minorEastAsia" w:eastAsiaTheme="minorEastAsia"/>
        </w:rPr>
        <w:t>及服务</w:t>
      </w:r>
      <w:r>
        <w:rPr>
          <w:rFonts w:hint="eastAsia" w:asciiTheme="minorEastAsia" w:hAnsiTheme="minorEastAsia" w:eastAsiaTheme="minorEastAsia"/>
        </w:rPr>
        <w:t>过程进行监督、检查、考核；</w:t>
      </w:r>
    </w:p>
    <w:p>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5</w:t>
      </w:r>
      <w:r>
        <w:rPr>
          <w:rFonts w:asciiTheme="minorEastAsia" w:hAnsiTheme="minorEastAsia" w:eastAsiaTheme="minorEastAsia"/>
        </w:rPr>
        <w:t>.</w:t>
      </w:r>
      <w:r>
        <w:rPr>
          <w:rFonts w:hint="eastAsia" w:asciiTheme="minorEastAsia" w:hAnsiTheme="minorEastAsia" w:eastAsiaTheme="minorEastAsia"/>
        </w:rPr>
        <w:t>协调乙方在提供货物</w:t>
      </w:r>
      <w:r>
        <w:rPr>
          <w:rFonts w:asciiTheme="minorEastAsia" w:hAnsiTheme="minorEastAsia" w:eastAsiaTheme="minorEastAsia"/>
        </w:rPr>
        <w:t>及</w:t>
      </w:r>
      <w:r>
        <w:rPr>
          <w:rFonts w:hint="eastAsia" w:asciiTheme="minorEastAsia" w:hAnsiTheme="minorEastAsia" w:eastAsiaTheme="minorEastAsia"/>
        </w:rPr>
        <w:t>服务过程相关的政府部门和单位；</w:t>
      </w:r>
    </w:p>
    <w:p>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6</w:t>
      </w:r>
      <w:r>
        <w:rPr>
          <w:rFonts w:asciiTheme="minorEastAsia" w:hAnsiTheme="minorEastAsia" w:eastAsiaTheme="minorEastAsia"/>
        </w:rPr>
        <w:t>.</w:t>
      </w:r>
      <w:r>
        <w:rPr>
          <w:rFonts w:hint="eastAsia" w:asciiTheme="minorEastAsia" w:hAnsiTheme="minorEastAsia" w:eastAsiaTheme="minorEastAsia"/>
        </w:rPr>
        <w:t>甲方须按合同要求支付乙方费用。甲方支付给乙方的合同价款，包含乙方货物</w:t>
      </w:r>
      <w:r>
        <w:rPr>
          <w:rFonts w:asciiTheme="minorEastAsia" w:hAnsiTheme="minorEastAsia" w:eastAsiaTheme="minorEastAsia"/>
        </w:rPr>
        <w:t>及</w:t>
      </w:r>
      <w:r>
        <w:rPr>
          <w:rFonts w:hint="eastAsia" w:asciiTheme="minorEastAsia" w:hAnsiTheme="minorEastAsia" w:eastAsiaTheme="minorEastAsia"/>
        </w:rPr>
        <w:t>服务本项目所有人员的所有费用、培训学习以及乙方为履行本合同义务所需的全部费用，除此之外，甲方无需再向乙方另行支付任何费用。</w:t>
      </w:r>
    </w:p>
    <w:p>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（二）乙方的权利和义务</w:t>
      </w:r>
    </w:p>
    <w:p>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rPr>
        <w:t>乙方可要求甲方按本合同的约定按时足额支付</w:t>
      </w:r>
      <w:bookmarkStart w:id="11" w:name="_Hlk40975009"/>
      <w:r>
        <w:rPr>
          <w:rFonts w:hint="eastAsia" w:asciiTheme="minorEastAsia" w:hAnsiTheme="minorEastAsia" w:eastAsiaTheme="minorEastAsia"/>
        </w:rPr>
        <w:t>相应费用</w:t>
      </w:r>
      <w:bookmarkEnd w:id="11"/>
      <w:r>
        <w:rPr>
          <w:rFonts w:hint="eastAsia" w:asciiTheme="minorEastAsia" w:hAnsiTheme="minorEastAsia" w:eastAsiaTheme="minorEastAsia"/>
        </w:rPr>
        <w:t>；</w:t>
      </w:r>
    </w:p>
    <w:p>
      <w:pPr>
        <w:spacing w:line="312" w:lineRule="auto"/>
        <w:ind w:firstLine="480" w:firstLineChars="200"/>
      </w:pPr>
      <w:r>
        <w:rPr>
          <w:rFonts w:hint="eastAsia" w:asciiTheme="minorEastAsia" w:hAnsiTheme="minorEastAsia" w:eastAsiaTheme="minorEastAsia"/>
        </w:rPr>
        <w:t>2</w:t>
      </w:r>
      <w:r>
        <w:rPr>
          <w:rFonts w:asciiTheme="minorEastAsia" w:hAnsiTheme="minorEastAsia" w:eastAsiaTheme="minorEastAsia"/>
        </w:rPr>
        <w:t>.</w:t>
      </w:r>
      <w:r>
        <w:rPr>
          <w:rFonts w:hint="eastAsia" w:asciiTheme="minorEastAsia" w:hAnsiTheme="minorEastAsia" w:eastAsiaTheme="minorEastAsia"/>
        </w:rPr>
        <w:t>乙方在履行合同过程中不得将本项目委托给第三人，如有违反，甲方有权解除合同，乙方应退还甲方已付全部合同价款，并</w:t>
      </w:r>
      <w:r>
        <w:rPr>
          <w:rFonts w:hint="eastAsia"/>
        </w:rPr>
        <w:t>按照本合同向甲方支付违约金。</w:t>
      </w:r>
    </w:p>
    <w:p>
      <w:pPr>
        <w:spacing w:line="312" w:lineRule="auto"/>
        <w:ind w:firstLine="482" w:firstLineChars="200"/>
        <w:rPr>
          <w:b/>
        </w:rPr>
      </w:pPr>
      <w:r>
        <w:rPr>
          <w:b/>
        </w:rPr>
        <w:t>九、付款方式</w:t>
      </w:r>
      <w:bookmarkEnd w:id="10"/>
    </w:p>
    <w:p>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1.付款方式：国库集中支付（√）。</w:t>
      </w:r>
    </w:p>
    <w:p>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数据库资源安装调试正常运行、甲方收到发票后，向乙方一次性支付100%合同款。</w:t>
      </w:r>
    </w:p>
    <w:p>
      <w:pPr>
        <w:spacing w:line="312" w:lineRule="auto"/>
        <w:ind w:firstLine="480" w:firstLineChars="200"/>
        <w:rPr>
          <w:rFonts w:asciiTheme="minorEastAsia" w:hAnsiTheme="minorEastAsia" w:eastAsiaTheme="minorEastAsia"/>
        </w:rPr>
      </w:pPr>
      <w:r>
        <w:rPr>
          <w:rFonts w:asciiTheme="minorEastAsia" w:hAnsiTheme="minorEastAsia" w:eastAsiaTheme="minorEastAsia"/>
        </w:rPr>
        <w:t>2.采购单位使用人民币支付货款。</w:t>
      </w:r>
    </w:p>
    <w:p>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.采购单位开户行名称、账号等信息</w:t>
      </w:r>
    </w:p>
    <w:p>
      <w:pPr>
        <w:spacing w:line="312" w:lineRule="auto"/>
        <w:ind w:firstLine="480" w:firstLineChars="200"/>
        <w:rPr>
          <w:rFonts w:asciiTheme="minorEastAsia" w:hAnsiTheme="minorEastAsia" w:eastAsiaTheme="minorEastAsia"/>
        </w:rPr>
      </w:pPr>
      <w:r>
        <w:rPr>
          <w:rFonts w:asciiTheme="minorEastAsia" w:hAnsiTheme="minorEastAsia" w:eastAsiaTheme="minorEastAsia"/>
        </w:rPr>
        <w:t xml:space="preserve">采购单位名称：内蒙古大学 </w:t>
      </w:r>
      <w:bookmarkStart w:id="14" w:name="_GoBack"/>
      <w:bookmarkEnd w:id="14"/>
    </w:p>
    <w:p>
      <w:pPr>
        <w:spacing w:line="312" w:lineRule="auto"/>
        <w:ind w:firstLine="480" w:firstLineChars="200"/>
        <w:rPr>
          <w:rFonts w:asciiTheme="minorEastAsia" w:hAnsiTheme="minorEastAsia" w:eastAsiaTheme="minorEastAsia"/>
        </w:rPr>
      </w:pPr>
      <w:r>
        <w:rPr>
          <w:rFonts w:asciiTheme="minorEastAsia" w:hAnsiTheme="minorEastAsia" w:eastAsiaTheme="minorEastAsia"/>
        </w:rPr>
        <w:t>纳税人识别号：</w:t>
      </w:r>
      <w:r>
        <w:rPr>
          <w:rFonts w:hint="eastAsia" w:asciiTheme="minorEastAsia" w:hAnsiTheme="minorEastAsia" w:eastAsiaTheme="minorEastAsia"/>
        </w:rPr>
        <w:t>1215000046002920XK</w:t>
      </w:r>
    </w:p>
    <w:p>
      <w:pPr>
        <w:spacing w:line="312" w:lineRule="auto"/>
        <w:ind w:firstLine="480" w:firstLineChars="200"/>
        <w:rPr>
          <w:rFonts w:asciiTheme="minorEastAsia" w:hAnsiTheme="minorEastAsia" w:eastAsiaTheme="minorEastAsia"/>
        </w:rPr>
      </w:pPr>
      <w:r>
        <w:rPr>
          <w:rFonts w:asciiTheme="minorEastAsia" w:hAnsiTheme="minorEastAsia" w:eastAsiaTheme="minorEastAsia"/>
        </w:rPr>
        <w:t>地址电话：呼和浩特赛罕区大学西路235号，0471-4994142</w:t>
      </w:r>
    </w:p>
    <w:p>
      <w:pPr>
        <w:spacing w:line="312" w:lineRule="auto"/>
        <w:ind w:firstLine="480" w:firstLineChars="200"/>
        <w:rPr>
          <w:rFonts w:ascii="宋体" w:hAnsi="宋体"/>
        </w:rPr>
      </w:pPr>
      <w:r>
        <w:rPr>
          <w:rFonts w:hint="eastAsia" w:ascii="宋体" w:hAnsi="宋体"/>
        </w:rPr>
        <w:t>开户行及账号：中国建设银行股份有限公司呼和浩特赛罕区支行15001706667050001905</w:t>
      </w:r>
    </w:p>
    <w:p>
      <w:pPr>
        <w:spacing w:line="312" w:lineRule="auto"/>
        <w:ind w:firstLine="480" w:firstLineChars="200"/>
        <w:rPr>
          <w:rFonts w:asciiTheme="minorEastAsia" w:hAnsiTheme="minorEastAsia" w:eastAsiaTheme="minorEastAsia"/>
        </w:rPr>
      </w:pPr>
      <w:r>
        <w:rPr>
          <w:rFonts w:hint="eastAsia" w:ascii="宋体" w:hAnsi="宋体"/>
        </w:rPr>
        <w:t>六位开票代码：5WD9RE</w:t>
      </w:r>
    </w:p>
    <w:p>
      <w:pPr>
        <w:spacing w:line="312" w:lineRule="auto"/>
        <w:ind w:firstLine="480" w:firstLineChars="200"/>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.供应商收取货款开户行名称、账号等信息:</w:t>
      </w:r>
    </w:p>
    <w:p>
      <w:pPr>
        <w:spacing w:line="312" w:lineRule="auto"/>
        <w:ind w:firstLine="480" w:firstLineChars="200"/>
        <w:rPr>
          <w:rFonts w:asciiTheme="minorEastAsia" w:hAnsiTheme="minorEastAsia" w:eastAsiaTheme="minorEastAsia"/>
          <w:highlight w:val="yellow"/>
          <w:u w:val="single"/>
        </w:rPr>
      </w:pPr>
      <w:r>
        <w:rPr>
          <w:rFonts w:asciiTheme="minorEastAsia" w:hAnsiTheme="minorEastAsia" w:eastAsiaTheme="minorEastAsia"/>
          <w:highlight w:val="none"/>
        </w:rPr>
        <w:t>供应商单位名称：</w:t>
      </w:r>
    </w:p>
    <w:p>
      <w:pPr>
        <w:spacing w:line="312" w:lineRule="auto"/>
        <w:ind w:firstLine="480" w:firstLineChars="200"/>
        <w:rPr>
          <w:rFonts w:asciiTheme="minorEastAsia" w:hAnsiTheme="minorEastAsia" w:eastAsiaTheme="minorEastAsia"/>
          <w:highlight w:val="yellow"/>
        </w:rPr>
      </w:pPr>
      <w:r>
        <w:rPr>
          <w:rFonts w:asciiTheme="minorEastAsia" w:hAnsiTheme="minorEastAsia" w:eastAsiaTheme="minorEastAsia"/>
          <w:highlight w:val="none"/>
        </w:rPr>
        <w:t>开户行名称：</w:t>
      </w:r>
    </w:p>
    <w:p>
      <w:pPr>
        <w:spacing w:line="312" w:lineRule="auto"/>
        <w:ind w:firstLine="480" w:firstLineChars="200"/>
        <w:rPr>
          <w:rFonts w:asciiTheme="minorEastAsia" w:hAnsiTheme="minorEastAsia" w:eastAsiaTheme="minorEastAsia"/>
          <w:highlight w:val="none"/>
        </w:rPr>
      </w:pPr>
      <w:r>
        <w:rPr>
          <w:rFonts w:asciiTheme="minorEastAsia" w:hAnsiTheme="minorEastAsia" w:eastAsiaTheme="minorEastAsia"/>
          <w:highlight w:val="none"/>
        </w:rPr>
        <w:t>账号：</w:t>
      </w:r>
    </w:p>
    <w:p>
      <w:pPr>
        <w:spacing w:line="312" w:lineRule="auto"/>
        <w:ind w:firstLine="482" w:firstLineChars="200"/>
        <w:rPr>
          <w:b/>
        </w:rPr>
      </w:pPr>
      <w:bookmarkStart w:id="12" w:name="_Toc414743947"/>
      <w:r>
        <w:rPr>
          <w:rFonts w:hint="eastAsia"/>
          <w:b/>
        </w:rPr>
        <w:t>十</w:t>
      </w:r>
      <w:r>
        <w:rPr>
          <w:b/>
        </w:rPr>
        <w:t>、履约保证金和质保金</w:t>
      </w:r>
    </w:p>
    <w:p>
      <w:pPr>
        <w:spacing w:line="312" w:lineRule="auto"/>
        <w:ind w:firstLine="480" w:firstLineChars="200"/>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无</w:t>
      </w:r>
    </w:p>
    <w:p>
      <w:pPr>
        <w:spacing w:line="312" w:lineRule="auto"/>
        <w:ind w:firstLine="482" w:firstLineChars="200"/>
        <w:rPr>
          <w:b/>
        </w:rPr>
      </w:pPr>
      <w:r>
        <w:rPr>
          <w:b/>
        </w:rPr>
        <w:t>十一、</w:t>
      </w:r>
      <w:r>
        <w:rPr>
          <w:rFonts w:hint="eastAsia"/>
          <w:b/>
        </w:rPr>
        <w:t>违约</w:t>
      </w:r>
      <w:r>
        <w:rPr>
          <w:b/>
        </w:rPr>
        <w:t>责任</w:t>
      </w:r>
    </w:p>
    <w:p>
      <w:pPr>
        <w:spacing w:line="312" w:lineRule="auto"/>
        <w:ind w:firstLine="480" w:firstLineChars="200"/>
      </w:pPr>
      <w:r>
        <w:rPr>
          <w:rFonts w:hint="eastAsia"/>
        </w:rPr>
        <w:t>（一）任何一方由于不可抗力原因不能履行合同时，在不可抗力事件结束后1日内向对方通报，以尽量减轻可能给对方造成的损失，在取得有关机构的不可抗力证明或双方谅解确认后，根据情况可部分或全部免于承担违约责任。</w:t>
      </w:r>
    </w:p>
    <w:p>
      <w:pPr>
        <w:spacing w:line="312" w:lineRule="auto"/>
        <w:ind w:firstLine="480" w:firstLineChars="200"/>
      </w:pPr>
      <w:r>
        <w:rPr>
          <w:rFonts w:hint="eastAsia"/>
        </w:rPr>
        <w:t>（二）甲方应配合乙方的工作，若因甲方原因造成乙方未完成规定采购内容，甲方不得扣除乙方相应费用。</w:t>
      </w:r>
    </w:p>
    <w:p>
      <w:pPr>
        <w:spacing w:line="312" w:lineRule="auto"/>
        <w:ind w:firstLine="480" w:firstLineChars="200"/>
      </w:pPr>
      <w:r>
        <w:rPr>
          <w:rFonts w:hint="eastAsia"/>
        </w:rPr>
        <w:t>（三）如因乙方自身原因，不履行合同义务或者履行合同义务不符合约定的，应当承担继续履行、采取补救措施或者由甲方扣除相应合同价款作为对甲方造成损失的赔偿。</w:t>
      </w:r>
    </w:p>
    <w:p>
      <w:pPr>
        <w:spacing w:line="312" w:lineRule="auto"/>
        <w:ind w:firstLine="482" w:firstLineChars="200"/>
        <w:rPr>
          <w:b/>
        </w:rPr>
      </w:pPr>
      <w:r>
        <w:rPr>
          <w:b/>
        </w:rPr>
        <w:t>十</w:t>
      </w:r>
      <w:r>
        <w:rPr>
          <w:rFonts w:hint="eastAsia"/>
          <w:b/>
        </w:rPr>
        <w:t>二</w:t>
      </w:r>
      <w:r>
        <w:rPr>
          <w:b/>
        </w:rPr>
        <w:t>、争议解决方式</w:t>
      </w:r>
    </w:p>
    <w:p>
      <w:pPr>
        <w:pStyle w:val="5"/>
        <w:spacing w:line="312" w:lineRule="auto"/>
        <w:ind w:firstLine="480" w:firstLineChars="200"/>
        <w:rPr>
          <w:rFonts w:ascii="Times New Roman" w:hAnsi="Times New Roman"/>
          <w:sz w:val="24"/>
        </w:rPr>
      </w:pPr>
      <w:r>
        <w:rPr>
          <w:rFonts w:ascii="Times New Roman" w:hAnsi="Times New Roman"/>
          <w:sz w:val="24"/>
        </w:rPr>
        <w:t>本合同在履行过程中发生的争议，由双方协商解决；协商不成的，依法向合同签订地有管辖权的人民法院起诉。</w:t>
      </w:r>
    </w:p>
    <w:p>
      <w:pPr>
        <w:spacing w:line="312" w:lineRule="auto"/>
        <w:ind w:firstLine="482" w:firstLineChars="200"/>
        <w:rPr>
          <w:b/>
        </w:rPr>
      </w:pPr>
      <w:r>
        <w:rPr>
          <w:b/>
        </w:rPr>
        <w:t>十</w:t>
      </w:r>
      <w:r>
        <w:rPr>
          <w:rFonts w:hint="eastAsia"/>
          <w:b/>
        </w:rPr>
        <w:t>三</w:t>
      </w:r>
      <w:r>
        <w:rPr>
          <w:b/>
        </w:rPr>
        <w:t>、</w:t>
      </w:r>
      <w:r>
        <w:rPr>
          <w:rFonts w:hint="eastAsia"/>
          <w:b/>
        </w:rPr>
        <w:t>解除合同</w:t>
      </w:r>
    </w:p>
    <w:p>
      <w:pPr>
        <w:pStyle w:val="5"/>
        <w:spacing w:line="312" w:lineRule="auto"/>
        <w:ind w:firstLine="480" w:firstLineChars="200"/>
        <w:rPr>
          <w:rFonts w:ascii="Times New Roman" w:hAnsi="Times New Roman"/>
          <w:sz w:val="24"/>
        </w:rPr>
      </w:pPr>
      <w:r>
        <w:rPr>
          <w:rFonts w:hint="eastAsia" w:ascii="Times New Roman" w:hAnsi="Times New Roman"/>
          <w:sz w:val="24"/>
        </w:rPr>
        <w:t>乙方在履行本合同中如有违约行为，甲方有权单方解除本合同，且有权要求乙方赔偿损失，给付违约金，违约金金额为合同总金额的30％。违约金不足以弥补甲方损失的，乙方应赔偿甲方由此造成的全部直接及间接损失。</w:t>
      </w:r>
    </w:p>
    <w:p>
      <w:pPr>
        <w:spacing w:line="312" w:lineRule="auto"/>
        <w:ind w:firstLine="482" w:firstLineChars="200"/>
        <w:rPr>
          <w:b/>
        </w:rPr>
      </w:pPr>
      <w:r>
        <w:rPr>
          <w:rFonts w:hint="eastAsia"/>
          <w:b/>
        </w:rPr>
        <w:t>十四、</w:t>
      </w:r>
      <w:r>
        <w:rPr>
          <w:b/>
        </w:rPr>
        <w:t>合同生效及其它</w:t>
      </w:r>
      <w:bookmarkEnd w:id="12"/>
    </w:p>
    <w:p>
      <w:pPr>
        <w:spacing w:line="312" w:lineRule="auto"/>
        <w:ind w:firstLine="480" w:firstLineChars="200"/>
      </w:pPr>
      <w:r>
        <w:t>本合同未尽事宜，可由双方约定后签订补充协议。合同补充协议与本合同具有同等法律效力。</w:t>
      </w:r>
    </w:p>
    <w:p>
      <w:pPr>
        <w:spacing w:line="312" w:lineRule="auto"/>
        <w:ind w:firstLine="480" w:firstLineChars="200"/>
      </w:pPr>
      <w:r>
        <w:t>本合同连同附件共</w:t>
      </w:r>
      <w:r>
        <w:rPr>
          <w:rFonts w:hint="eastAsia"/>
          <w:u w:val="single"/>
          <w:lang w:val="en-US" w:eastAsia="zh-CN"/>
        </w:rPr>
        <w:t xml:space="preserve">     </w:t>
      </w:r>
      <w:r>
        <w:t>页，一式</w:t>
      </w:r>
      <w:r>
        <w:rPr>
          <w:rFonts w:hint="eastAsia"/>
          <w:u w:val="single"/>
          <w:lang w:val="en-US" w:eastAsia="zh-CN"/>
        </w:rPr>
        <w:t xml:space="preserve">    </w:t>
      </w:r>
      <w:r>
        <w:rPr>
          <w:highlight w:val="none"/>
        </w:rPr>
        <w:t>份</w:t>
      </w:r>
      <w:r>
        <w:rPr>
          <w:rFonts w:asciiTheme="minorEastAsia" w:hAnsiTheme="minorEastAsia" w:eastAsiaTheme="minorEastAsia"/>
          <w:highlight w:val="none"/>
        </w:rPr>
        <w:t>（供应商</w:t>
      </w:r>
      <w:r>
        <w:rPr>
          <w:rFonts w:hint="eastAsia" w:asciiTheme="minorEastAsia" w:hAnsiTheme="minorEastAsia" w:eastAsiaTheme="minorEastAsia"/>
          <w:highlight w:val="none"/>
          <w:u w:val="single"/>
          <w:lang w:val="en-US" w:eastAsia="zh-CN"/>
        </w:rPr>
        <w:t xml:space="preserve">   </w:t>
      </w:r>
      <w:r>
        <w:rPr>
          <w:rFonts w:asciiTheme="minorEastAsia" w:hAnsiTheme="minorEastAsia" w:eastAsiaTheme="minorEastAsia"/>
        </w:rPr>
        <w:t>份、内蒙古大学</w:t>
      </w:r>
      <w:r>
        <w:rPr>
          <w:rFonts w:hint="eastAsia" w:asciiTheme="minorEastAsia" w:hAnsiTheme="minorEastAsia" w:eastAsiaTheme="minorEastAsia"/>
          <w:u w:val="single"/>
          <w:lang w:val="en-US" w:eastAsia="zh-CN"/>
        </w:rPr>
        <w:t xml:space="preserve">   </w:t>
      </w:r>
      <w:r>
        <w:rPr>
          <w:rFonts w:asciiTheme="minorEastAsia" w:hAnsiTheme="minorEastAsia" w:eastAsiaTheme="minorEastAsia"/>
        </w:rPr>
        <w:t>份</w:t>
      </w:r>
      <w:r>
        <w:rPr>
          <w:rFonts w:hint="eastAsia" w:asciiTheme="minorEastAsia" w:hAnsiTheme="minorEastAsia" w:eastAsiaTheme="minorEastAsia"/>
        </w:rPr>
        <w:t>，招标代理机构</w:t>
      </w:r>
      <w:r>
        <w:rPr>
          <w:rFonts w:hint="eastAsia" w:asciiTheme="minorEastAsia" w:hAnsiTheme="minorEastAsia" w:eastAsiaTheme="minorEastAsia"/>
          <w:u w:val="single"/>
          <w:lang w:val="en-US" w:eastAsia="zh-CN"/>
        </w:rPr>
        <w:t xml:space="preserve">    </w:t>
      </w:r>
      <w:r>
        <w:rPr>
          <w:rFonts w:hint="eastAsia" w:asciiTheme="minorEastAsia" w:hAnsiTheme="minorEastAsia" w:eastAsiaTheme="minorEastAsia"/>
        </w:rPr>
        <w:t>份</w:t>
      </w:r>
      <w:r>
        <w:rPr>
          <w:rFonts w:asciiTheme="minorEastAsia" w:hAnsiTheme="minorEastAsia" w:eastAsiaTheme="minorEastAsia"/>
        </w:rPr>
        <w:t>），具有同等</w:t>
      </w:r>
      <w:r>
        <w:t>法律效力。</w:t>
      </w:r>
    </w:p>
    <w:p>
      <w:pPr>
        <w:spacing w:line="312" w:lineRule="auto"/>
        <w:ind w:firstLine="480" w:firstLineChars="200"/>
      </w:pPr>
      <w:r>
        <w:t>本合同自甲乙双方签字盖章之日起生效。</w:t>
      </w:r>
    </w:p>
    <w:p>
      <w:pPr>
        <w:pStyle w:val="2"/>
        <w:spacing w:line="312" w:lineRule="auto"/>
        <w:ind w:firstLine="480"/>
      </w:pPr>
    </w:p>
    <w:p>
      <w:pPr>
        <w:spacing w:line="312" w:lineRule="auto"/>
        <w:ind w:firstLine="480" w:firstLineChars="200"/>
        <w:rPr>
          <w:rFonts w:asciiTheme="majorEastAsia" w:hAnsiTheme="majorEastAsia" w:eastAsiaTheme="majorEastAsia"/>
          <w:highlight w:val="none"/>
        </w:rPr>
      </w:pPr>
      <w:r>
        <w:rPr>
          <w:rFonts w:hint="eastAsia" w:asciiTheme="majorEastAsia" w:hAnsiTheme="majorEastAsia" w:eastAsiaTheme="majorEastAsia"/>
          <w:highlight w:val="none"/>
        </w:rPr>
        <w:t>采购人：内蒙古大学（加盖公章）</w:t>
      </w:r>
    </w:p>
    <w:p>
      <w:pPr>
        <w:spacing w:line="312" w:lineRule="auto"/>
        <w:ind w:firstLine="480" w:firstLineChars="200"/>
        <w:rPr>
          <w:rFonts w:asciiTheme="majorEastAsia" w:hAnsiTheme="majorEastAsia" w:eastAsiaTheme="majorEastAsia"/>
          <w:highlight w:val="none"/>
        </w:rPr>
      </w:pPr>
      <w:r>
        <w:rPr>
          <w:rFonts w:hint="eastAsia" w:asciiTheme="majorEastAsia" w:hAnsiTheme="majorEastAsia" w:eastAsiaTheme="majorEastAsia"/>
          <w:highlight w:val="none"/>
        </w:rPr>
        <w:t>采购单位法人代表（或授权人）（签字）：</w:t>
      </w:r>
    </w:p>
    <w:p>
      <w:pPr>
        <w:spacing w:line="312" w:lineRule="auto"/>
        <w:ind w:firstLine="480" w:firstLineChars="200"/>
        <w:rPr>
          <w:rFonts w:asciiTheme="majorEastAsia" w:hAnsiTheme="majorEastAsia" w:eastAsiaTheme="majorEastAsia"/>
          <w:highlight w:val="none"/>
        </w:rPr>
      </w:pPr>
      <w:r>
        <w:rPr>
          <w:rFonts w:hint="eastAsia" w:asciiTheme="majorEastAsia" w:hAnsiTheme="majorEastAsia" w:eastAsiaTheme="majorEastAsia"/>
          <w:highlight w:val="none"/>
        </w:rPr>
        <w:t>项目负责人(签字)：</w:t>
      </w:r>
    </w:p>
    <w:p>
      <w:pPr>
        <w:spacing w:line="312" w:lineRule="auto"/>
        <w:ind w:firstLine="480" w:firstLineChars="200"/>
        <w:rPr>
          <w:rFonts w:asciiTheme="majorEastAsia" w:hAnsiTheme="majorEastAsia" w:eastAsiaTheme="majorEastAsia"/>
          <w:highlight w:val="none"/>
        </w:rPr>
      </w:pPr>
      <w:r>
        <w:rPr>
          <w:rFonts w:hint="eastAsia" w:asciiTheme="majorEastAsia" w:hAnsiTheme="majorEastAsia" w:eastAsiaTheme="majorEastAsia"/>
          <w:highlight w:val="none"/>
        </w:rPr>
        <w:t>电话：0471-4992381</w:t>
      </w:r>
    </w:p>
    <w:p>
      <w:pPr>
        <w:spacing w:line="312" w:lineRule="auto"/>
        <w:ind w:firstLine="480" w:firstLineChars="200"/>
        <w:rPr>
          <w:rFonts w:asciiTheme="majorEastAsia" w:hAnsiTheme="majorEastAsia" w:eastAsiaTheme="majorEastAsia"/>
          <w:highlight w:val="none"/>
        </w:rPr>
      </w:pPr>
      <w:r>
        <w:rPr>
          <w:rFonts w:hint="eastAsia" w:asciiTheme="majorEastAsia" w:hAnsiTheme="majorEastAsia" w:eastAsiaTheme="majorEastAsia"/>
          <w:highlight w:val="none"/>
        </w:rPr>
        <w:t>地 址：呼和浩特市赛罕区大学西路235号</w:t>
      </w:r>
    </w:p>
    <w:p>
      <w:pPr>
        <w:spacing w:line="312" w:lineRule="auto"/>
        <w:ind w:firstLine="480" w:firstLineChars="200"/>
        <w:jc w:val="right"/>
        <w:rPr>
          <w:rFonts w:asciiTheme="majorEastAsia" w:hAnsiTheme="majorEastAsia" w:eastAsiaTheme="majorEastAsia"/>
          <w:highlight w:val="none"/>
        </w:rPr>
      </w:pPr>
      <w:r>
        <w:rPr>
          <w:rFonts w:hint="eastAsia" w:asciiTheme="majorEastAsia" w:hAnsiTheme="majorEastAsia" w:eastAsiaTheme="majorEastAsia"/>
          <w:highlight w:val="none"/>
        </w:rPr>
        <w:t xml:space="preserve">  202</w:t>
      </w:r>
      <w:r>
        <w:rPr>
          <w:rFonts w:hint="eastAsia" w:asciiTheme="majorEastAsia" w:hAnsiTheme="majorEastAsia" w:eastAsiaTheme="majorEastAsia"/>
          <w:highlight w:val="none"/>
          <w:lang w:val="en-US" w:eastAsia="zh-CN"/>
        </w:rPr>
        <w:t>2</w:t>
      </w:r>
      <w:r>
        <w:rPr>
          <w:rFonts w:hint="eastAsia" w:asciiTheme="majorEastAsia" w:hAnsiTheme="majorEastAsia" w:eastAsiaTheme="majorEastAsia"/>
          <w:highlight w:val="none"/>
        </w:rPr>
        <w:t>年  月  日</w:t>
      </w:r>
    </w:p>
    <w:p>
      <w:pPr>
        <w:pStyle w:val="2"/>
        <w:ind w:firstLine="480"/>
      </w:pPr>
    </w:p>
    <w:p>
      <w:pPr>
        <w:spacing w:line="312" w:lineRule="auto"/>
        <w:ind w:firstLine="480" w:firstLineChars="200"/>
        <w:rPr>
          <w:rFonts w:asciiTheme="majorEastAsia" w:hAnsiTheme="majorEastAsia" w:eastAsiaTheme="majorEastAsia"/>
          <w:highlight w:val="none"/>
        </w:rPr>
      </w:pPr>
      <w:r>
        <w:rPr>
          <w:rFonts w:hint="eastAsia" w:asciiTheme="majorEastAsia" w:hAnsiTheme="majorEastAsia" w:eastAsiaTheme="majorEastAsia"/>
          <w:highlight w:val="none"/>
        </w:rPr>
        <w:t>供应商：</w:t>
      </w:r>
      <w:r>
        <w:rPr>
          <w:rFonts w:hint="eastAsia" w:asciiTheme="majorEastAsia" w:hAnsiTheme="majorEastAsia" w:eastAsiaTheme="majorEastAsia"/>
          <w:highlight w:val="none"/>
          <w:lang w:val="en-US" w:eastAsia="zh-CN"/>
        </w:rPr>
        <w:t xml:space="preserve">                       </w:t>
      </w:r>
      <w:r>
        <w:rPr>
          <w:rFonts w:hint="eastAsia" w:asciiTheme="majorEastAsia" w:hAnsiTheme="majorEastAsia" w:eastAsiaTheme="majorEastAsia"/>
          <w:highlight w:val="none"/>
        </w:rPr>
        <w:t>（加盖公章）</w:t>
      </w:r>
    </w:p>
    <w:p>
      <w:pPr>
        <w:spacing w:line="312" w:lineRule="auto"/>
        <w:ind w:firstLine="480" w:firstLineChars="200"/>
        <w:rPr>
          <w:rFonts w:asciiTheme="majorEastAsia" w:hAnsiTheme="majorEastAsia" w:eastAsiaTheme="majorEastAsia"/>
          <w:highlight w:val="none"/>
        </w:rPr>
      </w:pPr>
      <w:r>
        <w:rPr>
          <w:rFonts w:hint="eastAsia" w:asciiTheme="majorEastAsia" w:hAnsiTheme="majorEastAsia" w:eastAsiaTheme="majorEastAsia"/>
          <w:highlight w:val="none"/>
        </w:rPr>
        <w:t>供应商法人代表（或授权人）（签字）：</w:t>
      </w:r>
    </w:p>
    <w:p>
      <w:pPr>
        <w:spacing w:line="312" w:lineRule="auto"/>
        <w:ind w:firstLine="480" w:firstLineChars="200"/>
        <w:rPr>
          <w:rFonts w:asciiTheme="majorEastAsia" w:hAnsiTheme="majorEastAsia" w:eastAsiaTheme="majorEastAsia"/>
          <w:highlight w:val="none"/>
        </w:rPr>
      </w:pPr>
      <w:r>
        <w:rPr>
          <w:rFonts w:hint="eastAsia" w:asciiTheme="majorEastAsia" w:hAnsiTheme="majorEastAsia" w:eastAsiaTheme="majorEastAsia"/>
          <w:highlight w:val="none"/>
        </w:rPr>
        <w:t xml:space="preserve">电话： </w:t>
      </w:r>
    </w:p>
    <w:p>
      <w:pPr>
        <w:spacing w:line="312" w:lineRule="auto"/>
        <w:ind w:firstLine="480" w:firstLineChars="200"/>
        <w:rPr>
          <w:rFonts w:asciiTheme="majorEastAsia" w:hAnsiTheme="majorEastAsia" w:eastAsiaTheme="majorEastAsia"/>
          <w:highlight w:val="none"/>
        </w:rPr>
      </w:pPr>
      <w:r>
        <w:rPr>
          <w:rFonts w:hint="eastAsia" w:asciiTheme="majorEastAsia" w:hAnsiTheme="majorEastAsia" w:eastAsiaTheme="majorEastAsia"/>
          <w:highlight w:val="none"/>
        </w:rPr>
        <w:t xml:space="preserve">地址： </w:t>
      </w:r>
    </w:p>
    <w:p>
      <w:pPr>
        <w:spacing w:line="312" w:lineRule="auto"/>
        <w:ind w:firstLine="480" w:firstLineChars="200"/>
        <w:rPr>
          <w:rFonts w:asciiTheme="majorEastAsia" w:hAnsiTheme="majorEastAsia" w:eastAsiaTheme="majorEastAsia"/>
          <w:highlight w:val="none"/>
        </w:rPr>
      </w:pPr>
    </w:p>
    <w:p>
      <w:pPr>
        <w:spacing w:line="312" w:lineRule="auto"/>
        <w:ind w:firstLine="480" w:firstLineChars="200"/>
        <w:jc w:val="right"/>
        <w:rPr>
          <w:rFonts w:asciiTheme="majorEastAsia" w:hAnsiTheme="majorEastAsia" w:eastAsiaTheme="majorEastAsia"/>
          <w:highlight w:val="none"/>
        </w:rPr>
      </w:pPr>
      <w:r>
        <w:rPr>
          <w:rFonts w:hint="eastAsia" w:asciiTheme="majorEastAsia" w:hAnsiTheme="majorEastAsia" w:eastAsiaTheme="majorEastAsia"/>
          <w:highlight w:val="none"/>
        </w:rPr>
        <w:t xml:space="preserve">    202</w:t>
      </w:r>
      <w:r>
        <w:rPr>
          <w:rFonts w:hint="eastAsia" w:asciiTheme="majorEastAsia" w:hAnsiTheme="majorEastAsia" w:eastAsiaTheme="majorEastAsia"/>
          <w:highlight w:val="none"/>
          <w:lang w:val="en-US" w:eastAsia="zh-CN"/>
        </w:rPr>
        <w:t>2</w:t>
      </w:r>
      <w:r>
        <w:rPr>
          <w:rFonts w:hint="eastAsia" w:asciiTheme="majorEastAsia" w:hAnsiTheme="majorEastAsia" w:eastAsiaTheme="majorEastAsia"/>
          <w:highlight w:val="none"/>
        </w:rPr>
        <w:t>年  月  日</w:t>
      </w:r>
    </w:p>
    <w:p>
      <w:pPr>
        <w:widowControl/>
        <w:spacing w:line="240" w:lineRule="auto"/>
        <w:jc w:val="left"/>
        <w:rPr>
          <w:rFonts w:asciiTheme="minorHAnsi" w:hAnsiTheme="minorHAnsi" w:cstheme="minorBidi"/>
        </w:rPr>
      </w:pPr>
      <w:r>
        <w:br w:type="page"/>
      </w:r>
    </w:p>
    <w:p>
      <w:pPr>
        <w:pStyle w:val="2"/>
        <w:ind w:firstLine="480"/>
      </w:pPr>
    </w:p>
    <w:p>
      <w:pPr>
        <w:pStyle w:val="2"/>
        <w:ind w:firstLine="480"/>
      </w:pPr>
      <w:r>
        <w:t>附件一：中标（成交）</w:t>
      </w:r>
      <w:r>
        <w:rPr>
          <w:rFonts w:hint="eastAsia"/>
        </w:rPr>
        <w:t>单位</w:t>
      </w:r>
      <w:r>
        <w:t>授权代表的授权书</w:t>
      </w:r>
    </w:p>
    <w:p>
      <w:pPr>
        <w:pStyle w:val="5"/>
        <w:jc w:val="center"/>
        <w:rPr>
          <w:b/>
          <w:sz w:val="28"/>
        </w:rPr>
      </w:pPr>
      <w:bookmarkStart w:id="13" w:name="_Toc87448999"/>
      <w:r>
        <w:rPr>
          <w:rFonts w:hint="eastAsia"/>
          <w:b/>
          <w:sz w:val="28"/>
        </w:rPr>
        <w:t>授权委托书</w:t>
      </w:r>
      <w:bookmarkEnd w:id="13"/>
    </w:p>
    <w:p/>
    <w:p>
      <w:pPr>
        <w:ind w:left="708" w:leftChars="195" w:hanging="240" w:hangingChars="100"/>
        <w:rPr>
          <w:rFonts w:ascii="宋体" w:hAnsi="宋体"/>
        </w:rPr>
      </w:pPr>
      <w:r>
        <w:rPr>
          <w:rFonts w:hint="eastAsia" w:ascii="宋体" w:hAnsi="宋体"/>
        </w:rPr>
        <w:t>本人</w:t>
      </w:r>
      <w:r>
        <w:rPr>
          <w:rFonts w:hint="eastAsia" w:ascii="宋体" w:hAnsi="宋体"/>
          <w:u w:val="single"/>
          <w:lang w:val="en-US" w:eastAsia="zh-CN"/>
        </w:rPr>
        <w:t xml:space="preserve">       </w:t>
      </w:r>
      <w:r>
        <w:rPr>
          <w:rFonts w:ascii="宋体" w:hAnsi="宋体"/>
        </w:rPr>
        <w:t>系</w:t>
      </w:r>
      <w:r>
        <w:rPr>
          <w:rFonts w:hint="eastAsia" w:ascii="宋体" w:hAnsi="宋体"/>
          <w:u w:val="single"/>
          <w:lang w:val="en-US" w:eastAsia="zh-CN"/>
        </w:rPr>
        <w:t xml:space="preserve">                    </w:t>
      </w:r>
      <w:r>
        <w:rPr>
          <w:rFonts w:ascii="宋体" w:hAnsi="宋体"/>
        </w:rPr>
        <w:t>的法定代表人，现委托</w:t>
      </w:r>
      <w:r>
        <w:rPr>
          <w:rFonts w:hint="eastAsia" w:ascii="宋体" w:hAnsi="宋体"/>
          <w:u w:val="single"/>
          <w:lang w:val="en-US" w:eastAsia="zh-CN"/>
        </w:rPr>
        <w:t xml:space="preserve">      </w:t>
      </w:r>
      <w:r>
        <w:rPr>
          <w:rFonts w:ascii="宋体" w:hAnsi="宋体"/>
        </w:rPr>
        <w:t>为我方代理人。代理人根据授权，以我方名义签署、澄清确认、递 交、撤回、修改招标项目投标文件、签订合同和处理有关事宜，其法律后果由我方承担。委托期限：</w:t>
      </w:r>
      <w:r>
        <w:rPr>
          <w:rFonts w:hint="eastAsia" w:ascii="宋体" w:hAnsi="宋体"/>
        </w:rPr>
        <w:t>本授权</w:t>
      </w:r>
      <w:r>
        <w:rPr>
          <w:rFonts w:ascii="宋体" w:hAnsi="宋体"/>
        </w:rPr>
        <w:t>委托书签字之日起至项目完成。</w:t>
      </w:r>
    </w:p>
    <w:p>
      <w:pPr>
        <w:ind w:left="-10" w:leftChars="-4" w:firstLine="480" w:firstLineChars="200"/>
        <w:rPr>
          <w:rFonts w:ascii="宋体" w:hAnsi="宋体"/>
        </w:rPr>
      </w:pPr>
      <w:r>
        <w:rPr>
          <w:rFonts w:hint="eastAsia" w:ascii="宋体" w:hAnsi="宋体"/>
        </w:rPr>
        <w:t>代理人无转委托权。</w:t>
      </w:r>
    </w:p>
    <w:p>
      <w:pPr>
        <w:ind w:leftChars="-4" w:hanging="9" w:hangingChars="4"/>
        <w:rPr>
          <w:rFonts w:ascii="宋体" w:hAnsi="宋体"/>
        </w:rPr>
      </w:pPr>
    </w:p>
    <w:p>
      <w:pPr>
        <w:ind w:left="-10" w:leftChars="-4" w:firstLine="480" w:firstLineChars="200"/>
        <w:rPr>
          <w:rFonts w:ascii="宋体" w:hAnsi="宋体"/>
        </w:rPr>
      </w:pPr>
      <w:r>
        <w:rPr>
          <w:rFonts w:hint="eastAsia" w:ascii="宋体" w:hAnsi="宋体"/>
        </w:rPr>
        <w:t>投标人</w:t>
      </w:r>
      <w:r>
        <w:rPr>
          <w:rFonts w:ascii="宋体" w:hAnsi="宋体"/>
        </w:rPr>
        <w:t>：</w:t>
      </w:r>
      <w:r>
        <w:rPr>
          <w:rFonts w:hint="eastAsia" w:ascii="宋体" w:hAnsi="宋体"/>
          <w:lang w:val="en-US" w:eastAsia="zh-CN"/>
        </w:rPr>
        <w:t xml:space="preserve">                                  </w:t>
      </w:r>
      <w:r>
        <w:rPr>
          <w:rFonts w:ascii="宋体" w:hAnsi="宋体"/>
        </w:rPr>
        <w:t xml:space="preserve">（加盖公章） </w:t>
      </w:r>
    </w:p>
    <w:p>
      <w:pPr>
        <w:ind w:left="-10" w:leftChars="-4" w:firstLine="480" w:firstLineChars="200"/>
        <w:rPr>
          <w:rFonts w:ascii="宋体" w:hAnsi="宋体"/>
        </w:rPr>
      </w:pPr>
      <w:r>
        <w:rPr>
          <w:rFonts w:ascii="宋体" w:hAnsi="宋体"/>
        </w:rPr>
        <w:t xml:space="preserve">法定代表人： </w:t>
      </w:r>
      <w:r>
        <w:rPr>
          <w:rFonts w:ascii="宋体" w:hAnsi="宋体"/>
        </w:rPr>
        <w:tab/>
      </w:r>
      <w:r>
        <w:rPr>
          <w:rFonts w:ascii="宋体" w:hAnsi="宋体"/>
        </w:rPr>
        <w:tab/>
      </w:r>
      <w:r>
        <w:rPr>
          <w:rFonts w:ascii="宋体" w:hAnsi="宋体"/>
        </w:rPr>
        <w:t xml:space="preserve">    （签字） </w:t>
      </w:r>
    </w:p>
    <w:p>
      <w:pPr>
        <w:ind w:left="-10" w:leftChars="-4" w:firstLine="480" w:firstLineChars="200"/>
        <w:rPr>
          <w:rFonts w:ascii="宋体" w:hAnsi="宋体"/>
        </w:rPr>
      </w:pPr>
      <w:r>
        <w:rPr>
          <w:rFonts w:ascii="宋体" w:hAnsi="宋体"/>
        </w:rPr>
        <w:t xml:space="preserve">授权委托人： </w:t>
      </w:r>
      <w:r>
        <w:rPr>
          <w:rFonts w:ascii="宋体" w:hAnsi="宋体"/>
        </w:rPr>
        <w:tab/>
      </w:r>
      <w:r>
        <w:rPr>
          <w:rFonts w:ascii="宋体" w:hAnsi="宋体"/>
        </w:rPr>
        <w:tab/>
      </w:r>
      <w:r>
        <w:rPr>
          <w:rFonts w:ascii="宋体" w:hAnsi="宋体"/>
        </w:rPr>
        <w:t xml:space="preserve">    （签字）</w:t>
      </w:r>
    </w:p>
    <w:p>
      <w:pPr>
        <w:ind w:left="-2" w:leftChars="-4" w:hanging="8" w:hangingChars="4"/>
        <w:rPr>
          <w:rFonts w:ascii="宋体" w:hAnsi="宋体"/>
          <w:sz w:val="21"/>
        </w:rPr>
      </w:pPr>
      <w:r>
        <w:rPr>
          <w:rFonts w:ascii="宋体" w:hAnsi="宋体"/>
          <w:sz w:val="21"/>
        </w:rPr>
        <w:t xml:space="preserve"> </w:t>
      </w:r>
    </w:p>
    <w:p>
      <w:pPr>
        <w:ind w:left="-10" w:leftChars="-4" w:firstLine="720" w:firstLineChars="300"/>
        <w:rPr>
          <w:rFonts w:ascii="宋体" w:hAnsi="宋体"/>
        </w:rPr>
      </w:pPr>
      <w:r>
        <w:rPr>
          <w:rFonts w:hint="eastAsia" w:ascii="宋体" w:hAnsi="宋体"/>
        </w:rPr>
        <w:t xml:space="preserve">法定代表人身份证扫描件 </w:t>
      </w:r>
      <w:r>
        <w:rPr>
          <w:rFonts w:ascii="宋体" w:hAnsi="宋体"/>
        </w:rPr>
        <w:t xml:space="preserve">             授权委托人身份证扫描件</w:t>
      </w:r>
    </w:p>
    <w:p>
      <w:pPr>
        <w:ind w:leftChars="-4" w:hanging="8" w:hangingChars="4"/>
        <w:rPr>
          <w:rFonts w:ascii="宋体" w:hAnsi="宋体"/>
          <w:sz w:val="21"/>
        </w:rPr>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widowControl/>
        <w:spacing w:line="240" w:lineRule="auto"/>
        <w:jc w:val="left"/>
        <w:rPr>
          <w:rFonts w:asciiTheme="minorHAnsi" w:hAnsiTheme="minorHAnsi" w:cstheme="minorBidi"/>
        </w:rPr>
      </w:pPr>
      <w:r>
        <w:br w:type="page"/>
      </w:r>
    </w:p>
    <w:p>
      <w:pPr>
        <w:pStyle w:val="2"/>
        <w:ind w:firstLine="480"/>
      </w:pPr>
    </w:p>
    <w:p>
      <w:pPr>
        <w:pStyle w:val="2"/>
        <w:ind w:firstLine="480"/>
      </w:pPr>
      <w:r>
        <w:t>附件二：中标（成交）通知书</w:t>
      </w:r>
    </w:p>
    <w:p>
      <w:pPr>
        <w:pStyle w:val="2"/>
        <w:ind w:firstLine="480"/>
      </w:pPr>
    </w:p>
    <w:p>
      <w:pPr>
        <w:widowControl/>
        <w:spacing w:line="240" w:lineRule="auto"/>
        <w:jc w:val="left"/>
      </w:pPr>
    </w:p>
    <w:sectPr>
      <w:footerReference r:id="rId5" w:type="default"/>
      <w:pgSz w:w="11906" w:h="16838"/>
      <w:pgMar w:top="1440" w:right="1800" w:bottom="1440" w:left="1800" w:header="851" w:footer="680"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v:path/>
          <v:fill on="f" focussize="0,0"/>
          <v:stroke on="f" weight="0.5pt" joinstyle="miter"/>
          <v:imagedata o:title=""/>
          <o:lock v:ext="edit"/>
          <v:textbox inset="0mm,0mm,0mm,0mm" style="mso-fit-shape-to-text:t;">
            <w:txbxContent>
              <w:p>
                <w:pPr>
                  <w:pStyle w:val="7"/>
                </w:pPr>
                <w:r>
                  <w:rPr>
                    <w:rFonts w:hint="eastAsia"/>
                  </w:rPr>
                  <w:t>第</w:t>
                </w:r>
                <w:r>
                  <w:fldChar w:fldCharType="begin"/>
                </w:r>
                <w:r>
                  <w:instrText xml:space="preserve"> PAGE  \* MERGEFORMAT </w:instrText>
                </w:r>
                <w:r>
                  <w:fldChar w:fldCharType="separate"/>
                </w:r>
                <w:r>
                  <w:t>13</w:t>
                </w:r>
                <w:r>
                  <w:fldChar w:fldCharType="end"/>
                </w:r>
                <w:r>
                  <w:rPr>
                    <w:rFonts w:hint="eastAsia"/>
                  </w:rPr>
                  <w:t>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311E23"/>
    <w:multiLevelType w:val="multilevel"/>
    <w:tmpl w:val="2F311E23"/>
    <w:lvl w:ilvl="0" w:tentative="0">
      <w:start w:val="1"/>
      <w:numFmt w:val="chineseCountingThousand"/>
      <w:pStyle w:val="3"/>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oNotDisplayPageBoundaries w:val="1"/>
  <w:bordersDoNotSurroundHeader w:val="0"/>
  <w:bordersDoNotSurroundFooter w:val="0"/>
  <w:documentProtection w:edit="readOnly" w:formatting="1"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MyN2ZkMjRlM2UwZWEzM2M3YjIyNDQ5MzVlZGZkMTIifQ=="/>
  </w:docVars>
  <w:rsids>
    <w:rsidRoot w:val="005B106E"/>
    <w:rsid w:val="00016659"/>
    <w:rsid w:val="00053E39"/>
    <w:rsid w:val="00065846"/>
    <w:rsid w:val="00074800"/>
    <w:rsid w:val="000831E7"/>
    <w:rsid w:val="000C735A"/>
    <w:rsid w:val="000F0A78"/>
    <w:rsid w:val="00133D2E"/>
    <w:rsid w:val="001340B8"/>
    <w:rsid w:val="00180E69"/>
    <w:rsid w:val="001E02D8"/>
    <w:rsid w:val="001E0B52"/>
    <w:rsid w:val="001E15C6"/>
    <w:rsid w:val="00206810"/>
    <w:rsid w:val="00212E52"/>
    <w:rsid w:val="002158C9"/>
    <w:rsid w:val="002258A9"/>
    <w:rsid w:val="002334AD"/>
    <w:rsid w:val="00233D4F"/>
    <w:rsid w:val="002652DD"/>
    <w:rsid w:val="00277935"/>
    <w:rsid w:val="0028292F"/>
    <w:rsid w:val="00293203"/>
    <w:rsid w:val="00296E5A"/>
    <w:rsid w:val="002A6D0A"/>
    <w:rsid w:val="002B6C62"/>
    <w:rsid w:val="002E3975"/>
    <w:rsid w:val="002F75D0"/>
    <w:rsid w:val="00305415"/>
    <w:rsid w:val="00307C08"/>
    <w:rsid w:val="00324EED"/>
    <w:rsid w:val="003357D1"/>
    <w:rsid w:val="003379B6"/>
    <w:rsid w:val="0036003C"/>
    <w:rsid w:val="003809C7"/>
    <w:rsid w:val="0038658C"/>
    <w:rsid w:val="00387AC8"/>
    <w:rsid w:val="003931E4"/>
    <w:rsid w:val="003F36C0"/>
    <w:rsid w:val="00432415"/>
    <w:rsid w:val="004502DE"/>
    <w:rsid w:val="00450F0D"/>
    <w:rsid w:val="004515AE"/>
    <w:rsid w:val="004536C4"/>
    <w:rsid w:val="00471638"/>
    <w:rsid w:val="004838AB"/>
    <w:rsid w:val="004B075B"/>
    <w:rsid w:val="004B6ADE"/>
    <w:rsid w:val="004D5FD7"/>
    <w:rsid w:val="004E105A"/>
    <w:rsid w:val="004E1A5E"/>
    <w:rsid w:val="004F1C9D"/>
    <w:rsid w:val="004F6DF5"/>
    <w:rsid w:val="00522656"/>
    <w:rsid w:val="005306D8"/>
    <w:rsid w:val="0056440B"/>
    <w:rsid w:val="00585E81"/>
    <w:rsid w:val="00597B3B"/>
    <w:rsid w:val="005B106E"/>
    <w:rsid w:val="005B177F"/>
    <w:rsid w:val="005B7AB1"/>
    <w:rsid w:val="005C3367"/>
    <w:rsid w:val="005D1ED0"/>
    <w:rsid w:val="005D521B"/>
    <w:rsid w:val="005D64C3"/>
    <w:rsid w:val="005D7B5C"/>
    <w:rsid w:val="005E22E5"/>
    <w:rsid w:val="005E26F6"/>
    <w:rsid w:val="00614FC8"/>
    <w:rsid w:val="0065164F"/>
    <w:rsid w:val="00654548"/>
    <w:rsid w:val="00676DA4"/>
    <w:rsid w:val="00690745"/>
    <w:rsid w:val="0069143E"/>
    <w:rsid w:val="006A4467"/>
    <w:rsid w:val="006A574F"/>
    <w:rsid w:val="006A792D"/>
    <w:rsid w:val="006A7F2C"/>
    <w:rsid w:val="006B0BCD"/>
    <w:rsid w:val="00742337"/>
    <w:rsid w:val="00744D20"/>
    <w:rsid w:val="00786EB0"/>
    <w:rsid w:val="007B530B"/>
    <w:rsid w:val="007C2C22"/>
    <w:rsid w:val="007E0EAF"/>
    <w:rsid w:val="007E42A8"/>
    <w:rsid w:val="007E5A6F"/>
    <w:rsid w:val="00802279"/>
    <w:rsid w:val="00812CD6"/>
    <w:rsid w:val="00812E44"/>
    <w:rsid w:val="00862AEC"/>
    <w:rsid w:val="00866515"/>
    <w:rsid w:val="00875F69"/>
    <w:rsid w:val="0088173C"/>
    <w:rsid w:val="0088259A"/>
    <w:rsid w:val="008A30BE"/>
    <w:rsid w:val="008A486A"/>
    <w:rsid w:val="008B5D07"/>
    <w:rsid w:val="008F560C"/>
    <w:rsid w:val="00902451"/>
    <w:rsid w:val="00903A4F"/>
    <w:rsid w:val="00904498"/>
    <w:rsid w:val="009166AD"/>
    <w:rsid w:val="0092266C"/>
    <w:rsid w:val="00941A71"/>
    <w:rsid w:val="009453EA"/>
    <w:rsid w:val="00967D5F"/>
    <w:rsid w:val="009847D4"/>
    <w:rsid w:val="00990B26"/>
    <w:rsid w:val="00993536"/>
    <w:rsid w:val="009945A8"/>
    <w:rsid w:val="009A48B3"/>
    <w:rsid w:val="009A68AF"/>
    <w:rsid w:val="009A6F1F"/>
    <w:rsid w:val="009B7317"/>
    <w:rsid w:val="009C1F2B"/>
    <w:rsid w:val="009E1D2B"/>
    <w:rsid w:val="009E2638"/>
    <w:rsid w:val="00A12A11"/>
    <w:rsid w:val="00A75C7E"/>
    <w:rsid w:val="00AA743A"/>
    <w:rsid w:val="00AC7086"/>
    <w:rsid w:val="00AD4AAF"/>
    <w:rsid w:val="00AF308B"/>
    <w:rsid w:val="00B0406E"/>
    <w:rsid w:val="00B34334"/>
    <w:rsid w:val="00B473DC"/>
    <w:rsid w:val="00B6030C"/>
    <w:rsid w:val="00BB0E62"/>
    <w:rsid w:val="00C41694"/>
    <w:rsid w:val="00C47833"/>
    <w:rsid w:val="00C70985"/>
    <w:rsid w:val="00C80B44"/>
    <w:rsid w:val="00CD060F"/>
    <w:rsid w:val="00CE0969"/>
    <w:rsid w:val="00CE2DD6"/>
    <w:rsid w:val="00CE498A"/>
    <w:rsid w:val="00CE49B6"/>
    <w:rsid w:val="00D07937"/>
    <w:rsid w:val="00D24840"/>
    <w:rsid w:val="00D25721"/>
    <w:rsid w:val="00D25C89"/>
    <w:rsid w:val="00D7135F"/>
    <w:rsid w:val="00D963B0"/>
    <w:rsid w:val="00DD3BA2"/>
    <w:rsid w:val="00DE05DE"/>
    <w:rsid w:val="00DE6A4D"/>
    <w:rsid w:val="00E20723"/>
    <w:rsid w:val="00E85645"/>
    <w:rsid w:val="00E93E54"/>
    <w:rsid w:val="00E9574C"/>
    <w:rsid w:val="00EA387A"/>
    <w:rsid w:val="00EA3EBA"/>
    <w:rsid w:val="00ED68E1"/>
    <w:rsid w:val="00F31DA9"/>
    <w:rsid w:val="00F44EF7"/>
    <w:rsid w:val="00F67181"/>
    <w:rsid w:val="00F75AFE"/>
    <w:rsid w:val="00FB62D3"/>
    <w:rsid w:val="00FC1092"/>
    <w:rsid w:val="00FC2B77"/>
    <w:rsid w:val="00FC3C26"/>
    <w:rsid w:val="00FC3C6C"/>
    <w:rsid w:val="00FD3616"/>
    <w:rsid w:val="00FE289B"/>
    <w:rsid w:val="00FF5FE3"/>
    <w:rsid w:val="017E3A2E"/>
    <w:rsid w:val="01971FBE"/>
    <w:rsid w:val="01D41DCE"/>
    <w:rsid w:val="01E171AF"/>
    <w:rsid w:val="02193848"/>
    <w:rsid w:val="02783B0B"/>
    <w:rsid w:val="02D11865"/>
    <w:rsid w:val="0301673C"/>
    <w:rsid w:val="03155792"/>
    <w:rsid w:val="03182F5E"/>
    <w:rsid w:val="031951CF"/>
    <w:rsid w:val="03487BBD"/>
    <w:rsid w:val="03875CF3"/>
    <w:rsid w:val="040A69CB"/>
    <w:rsid w:val="041B184D"/>
    <w:rsid w:val="045E33FC"/>
    <w:rsid w:val="047971FF"/>
    <w:rsid w:val="047C4314"/>
    <w:rsid w:val="048B5921"/>
    <w:rsid w:val="049C40D9"/>
    <w:rsid w:val="050316A4"/>
    <w:rsid w:val="05033913"/>
    <w:rsid w:val="05EA0047"/>
    <w:rsid w:val="06AB088A"/>
    <w:rsid w:val="06F46415"/>
    <w:rsid w:val="07973FF7"/>
    <w:rsid w:val="07C854FC"/>
    <w:rsid w:val="08114446"/>
    <w:rsid w:val="087E073F"/>
    <w:rsid w:val="09A74EE0"/>
    <w:rsid w:val="0A172CEC"/>
    <w:rsid w:val="0A1831FE"/>
    <w:rsid w:val="0AA21E72"/>
    <w:rsid w:val="0B9D27F5"/>
    <w:rsid w:val="0BA74480"/>
    <w:rsid w:val="0BAA2F97"/>
    <w:rsid w:val="0BC167B7"/>
    <w:rsid w:val="0BD64182"/>
    <w:rsid w:val="0BEF6027"/>
    <w:rsid w:val="0C3427CE"/>
    <w:rsid w:val="0C381C92"/>
    <w:rsid w:val="0C461F77"/>
    <w:rsid w:val="0C5D5864"/>
    <w:rsid w:val="0C981A77"/>
    <w:rsid w:val="0C9E79CD"/>
    <w:rsid w:val="0CD63335"/>
    <w:rsid w:val="0D086843"/>
    <w:rsid w:val="0D8C6A17"/>
    <w:rsid w:val="0DAE0412"/>
    <w:rsid w:val="0DCE7616"/>
    <w:rsid w:val="0DD84AD9"/>
    <w:rsid w:val="0E1966BC"/>
    <w:rsid w:val="0E1D115D"/>
    <w:rsid w:val="0E934B03"/>
    <w:rsid w:val="0F127DD6"/>
    <w:rsid w:val="0F6F7E49"/>
    <w:rsid w:val="0F8D373F"/>
    <w:rsid w:val="0FAB5A6A"/>
    <w:rsid w:val="0FC61BF2"/>
    <w:rsid w:val="105F78BC"/>
    <w:rsid w:val="107039A9"/>
    <w:rsid w:val="10AC0DA1"/>
    <w:rsid w:val="113C510C"/>
    <w:rsid w:val="11647302"/>
    <w:rsid w:val="11731BB1"/>
    <w:rsid w:val="117E3F03"/>
    <w:rsid w:val="11A54146"/>
    <w:rsid w:val="11A976DB"/>
    <w:rsid w:val="11D874F2"/>
    <w:rsid w:val="123F448D"/>
    <w:rsid w:val="12693AA1"/>
    <w:rsid w:val="126F1C53"/>
    <w:rsid w:val="12AB5323"/>
    <w:rsid w:val="12B95E7A"/>
    <w:rsid w:val="12DB66B3"/>
    <w:rsid w:val="13090A4D"/>
    <w:rsid w:val="132434A7"/>
    <w:rsid w:val="13663FB7"/>
    <w:rsid w:val="13802831"/>
    <w:rsid w:val="138315DB"/>
    <w:rsid w:val="139F073B"/>
    <w:rsid w:val="13E84619"/>
    <w:rsid w:val="15085041"/>
    <w:rsid w:val="152C6542"/>
    <w:rsid w:val="16595C70"/>
    <w:rsid w:val="16B14662"/>
    <w:rsid w:val="16E21AA1"/>
    <w:rsid w:val="16EF2E8F"/>
    <w:rsid w:val="17612653"/>
    <w:rsid w:val="17BA3807"/>
    <w:rsid w:val="17FB7854"/>
    <w:rsid w:val="1806397B"/>
    <w:rsid w:val="18501434"/>
    <w:rsid w:val="186A4809"/>
    <w:rsid w:val="186C3A6A"/>
    <w:rsid w:val="193B5803"/>
    <w:rsid w:val="198E5373"/>
    <w:rsid w:val="199D6184"/>
    <w:rsid w:val="1A0A2B6B"/>
    <w:rsid w:val="1AAD7904"/>
    <w:rsid w:val="1B9973D2"/>
    <w:rsid w:val="1BC702D4"/>
    <w:rsid w:val="1C996E50"/>
    <w:rsid w:val="1CB10B3B"/>
    <w:rsid w:val="1CBF5475"/>
    <w:rsid w:val="1CCC6292"/>
    <w:rsid w:val="1CFE7D73"/>
    <w:rsid w:val="1D146C7F"/>
    <w:rsid w:val="1D593AE8"/>
    <w:rsid w:val="1DC171AB"/>
    <w:rsid w:val="1DDB04A7"/>
    <w:rsid w:val="1E072421"/>
    <w:rsid w:val="1F174711"/>
    <w:rsid w:val="1F550927"/>
    <w:rsid w:val="1F7809E6"/>
    <w:rsid w:val="1FFC7B7F"/>
    <w:rsid w:val="2007484D"/>
    <w:rsid w:val="20863CCF"/>
    <w:rsid w:val="20CD028B"/>
    <w:rsid w:val="213D21AF"/>
    <w:rsid w:val="21820CF3"/>
    <w:rsid w:val="21C22A33"/>
    <w:rsid w:val="239A69DC"/>
    <w:rsid w:val="23BA47FB"/>
    <w:rsid w:val="245377CE"/>
    <w:rsid w:val="248C4E13"/>
    <w:rsid w:val="24BD1770"/>
    <w:rsid w:val="250D61AC"/>
    <w:rsid w:val="25CD39F6"/>
    <w:rsid w:val="26061611"/>
    <w:rsid w:val="26255D0D"/>
    <w:rsid w:val="26F37FC4"/>
    <w:rsid w:val="26F511E0"/>
    <w:rsid w:val="270C071A"/>
    <w:rsid w:val="27896E84"/>
    <w:rsid w:val="27B7587E"/>
    <w:rsid w:val="27D9105D"/>
    <w:rsid w:val="28130461"/>
    <w:rsid w:val="281531D3"/>
    <w:rsid w:val="28370FDC"/>
    <w:rsid w:val="28C96FC5"/>
    <w:rsid w:val="2948188F"/>
    <w:rsid w:val="294F1F1C"/>
    <w:rsid w:val="299E3D85"/>
    <w:rsid w:val="29C03B1D"/>
    <w:rsid w:val="29C46E17"/>
    <w:rsid w:val="29D8397B"/>
    <w:rsid w:val="29E363E2"/>
    <w:rsid w:val="29F562F0"/>
    <w:rsid w:val="2A1514AC"/>
    <w:rsid w:val="2A2E08A8"/>
    <w:rsid w:val="2ADA618C"/>
    <w:rsid w:val="2AE929D9"/>
    <w:rsid w:val="2B0B4D5E"/>
    <w:rsid w:val="2B164587"/>
    <w:rsid w:val="2B437E6F"/>
    <w:rsid w:val="2BE90605"/>
    <w:rsid w:val="2C8378D3"/>
    <w:rsid w:val="2CAB0B7A"/>
    <w:rsid w:val="2CBB0794"/>
    <w:rsid w:val="2D1B3061"/>
    <w:rsid w:val="2D9A0989"/>
    <w:rsid w:val="2DB308E5"/>
    <w:rsid w:val="2DEB168E"/>
    <w:rsid w:val="2DF033A0"/>
    <w:rsid w:val="2E2F7FB9"/>
    <w:rsid w:val="2E476E49"/>
    <w:rsid w:val="2E7C0744"/>
    <w:rsid w:val="2ED97A44"/>
    <w:rsid w:val="2EDD08D1"/>
    <w:rsid w:val="2F2661ED"/>
    <w:rsid w:val="2F5C5741"/>
    <w:rsid w:val="2F8D71BB"/>
    <w:rsid w:val="2FCE6440"/>
    <w:rsid w:val="30550D06"/>
    <w:rsid w:val="313A5AD0"/>
    <w:rsid w:val="31401A5D"/>
    <w:rsid w:val="316207D5"/>
    <w:rsid w:val="319A71EF"/>
    <w:rsid w:val="329E1654"/>
    <w:rsid w:val="329E218D"/>
    <w:rsid w:val="329E799C"/>
    <w:rsid w:val="32B240C6"/>
    <w:rsid w:val="32EE0148"/>
    <w:rsid w:val="33241C64"/>
    <w:rsid w:val="33443FA8"/>
    <w:rsid w:val="336246F2"/>
    <w:rsid w:val="337B09F0"/>
    <w:rsid w:val="337B48B0"/>
    <w:rsid w:val="3385532A"/>
    <w:rsid w:val="339B0BF2"/>
    <w:rsid w:val="33A21A64"/>
    <w:rsid w:val="33B807A0"/>
    <w:rsid w:val="33C90938"/>
    <w:rsid w:val="342326A6"/>
    <w:rsid w:val="347A16EE"/>
    <w:rsid w:val="347C2688"/>
    <w:rsid w:val="34941D24"/>
    <w:rsid w:val="34F25BE8"/>
    <w:rsid w:val="358862DD"/>
    <w:rsid w:val="36037E7A"/>
    <w:rsid w:val="36F209DD"/>
    <w:rsid w:val="37424204"/>
    <w:rsid w:val="37E45BE4"/>
    <w:rsid w:val="384445E5"/>
    <w:rsid w:val="385D5CB9"/>
    <w:rsid w:val="3863258F"/>
    <w:rsid w:val="387D67D0"/>
    <w:rsid w:val="389A2E10"/>
    <w:rsid w:val="39070F45"/>
    <w:rsid w:val="391F7FEA"/>
    <w:rsid w:val="3A425ED9"/>
    <w:rsid w:val="3A665DB4"/>
    <w:rsid w:val="3A7368FA"/>
    <w:rsid w:val="3A903284"/>
    <w:rsid w:val="3B2C60BB"/>
    <w:rsid w:val="3B3C31E7"/>
    <w:rsid w:val="3BE00D20"/>
    <w:rsid w:val="3CB27AC6"/>
    <w:rsid w:val="3DA4369B"/>
    <w:rsid w:val="3DC9130C"/>
    <w:rsid w:val="3DCB6C58"/>
    <w:rsid w:val="3DD74C7F"/>
    <w:rsid w:val="3DEF19BC"/>
    <w:rsid w:val="3E3E2735"/>
    <w:rsid w:val="3EBB5C7E"/>
    <w:rsid w:val="3F8700C8"/>
    <w:rsid w:val="3F99065D"/>
    <w:rsid w:val="3F9B6423"/>
    <w:rsid w:val="3FA65DFD"/>
    <w:rsid w:val="3FAE252D"/>
    <w:rsid w:val="403F74A8"/>
    <w:rsid w:val="40632A0B"/>
    <w:rsid w:val="40942A5F"/>
    <w:rsid w:val="40B66C66"/>
    <w:rsid w:val="40FC77BD"/>
    <w:rsid w:val="412D4FE7"/>
    <w:rsid w:val="41AE4CA1"/>
    <w:rsid w:val="41F8372D"/>
    <w:rsid w:val="42BC7B97"/>
    <w:rsid w:val="42DA30CB"/>
    <w:rsid w:val="43340016"/>
    <w:rsid w:val="4379429B"/>
    <w:rsid w:val="43D45A33"/>
    <w:rsid w:val="442F4452"/>
    <w:rsid w:val="442F67F2"/>
    <w:rsid w:val="44556FBB"/>
    <w:rsid w:val="44606B30"/>
    <w:rsid w:val="44D33584"/>
    <w:rsid w:val="44FE02CA"/>
    <w:rsid w:val="451973F6"/>
    <w:rsid w:val="45417F93"/>
    <w:rsid w:val="45693CDE"/>
    <w:rsid w:val="46717939"/>
    <w:rsid w:val="470A15C8"/>
    <w:rsid w:val="47372C57"/>
    <w:rsid w:val="476113EA"/>
    <w:rsid w:val="4775033C"/>
    <w:rsid w:val="47C04204"/>
    <w:rsid w:val="47EE6A78"/>
    <w:rsid w:val="485707AC"/>
    <w:rsid w:val="48741C41"/>
    <w:rsid w:val="48920AA4"/>
    <w:rsid w:val="48BF7FF3"/>
    <w:rsid w:val="48C154D5"/>
    <w:rsid w:val="49343A1E"/>
    <w:rsid w:val="49520375"/>
    <w:rsid w:val="4A1F4254"/>
    <w:rsid w:val="4A6B78B1"/>
    <w:rsid w:val="4B4F0547"/>
    <w:rsid w:val="4B7901A4"/>
    <w:rsid w:val="4B80545F"/>
    <w:rsid w:val="4B913AD1"/>
    <w:rsid w:val="4BCF5184"/>
    <w:rsid w:val="4BE73A55"/>
    <w:rsid w:val="4BED46C3"/>
    <w:rsid w:val="4C1F1A7E"/>
    <w:rsid w:val="4C3336EA"/>
    <w:rsid w:val="4C925710"/>
    <w:rsid w:val="4C992FC4"/>
    <w:rsid w:val="4DE77BC5"/>
    <w:rsid w:val="4FBB01DA"/>
    <w:rsid w:val="50201CB4"/>
    <w:rsid w:val="50344AE8"/>
    <w:rsid w:val="50947F24"/>
    <w:rsid w:val="50A64AFC"/>
    <w:rsid w:val="50E60F15"/>
    <w:rsid w:val="50F261DE"/>
    <w:rsid w:val="512D2217"/>
    <w:rsid w:val="51603161"/>
    <w:rsid w:val="516F0051"/>
    <w:rsid w:val="5209379B"/>
    <w:rsid w:val="520E7222"/>
    <w:rsid w:val="528953C8"/>
    <w:rsid w:val="52D635D2"/>
    <w:rsid w:val="52EB0007"/>
    <w:rsid w:val="52FE5E20"/>
    <w:rsid w:val="53426509"/>
    <w:rsid w:val="53D32D39"/>
    <w:rsid w:val="53F36916"/>
    <w:rsid w:val="548C0D1A"/>
    <w:rsid w:val="54C56785"/>
    <w:rsid w:val="54DA77CD"/>
    <w:rsid w:val="54F63223"/>
    <w:rsid w:val="550A13A7"/>
    <w:rsid w:val="557F7845"/>
    <w:rsid w:val="558F6FA2"/>
    <w:rsid w:val="55A9476F"/>
    <w:rsid w:val="55C25B0A"/>
    <w:rsid w:val="55DE5A54"/>
    <w:rsid w:val="564F70F9"/>
    <w:rsid w:val="567E7AA9"/>
    <w:rsid w:val="5687127E"/>
    <w:rsid w:val="56A91D64"/>
    <w:rsid w:val="571E4BF1"/>
    <w:rsid w:val="57753AEE"/>
    <w:rsid w:val="580E4EF5"/>
    <w:rsid w:val="58631487"/>
    <w:rsid w:val="586C6932"/>
    <w:rsid w:val="58845D57"/>
    <w:rsid w:val="59132B7E"/>
    <w:rsid w:val="59241992"/>
    <w:rsid w:val="595E60F2"/>
    <w:rsid w:val="59B65EEF"/>
    <w:rsid w:val="59D75F49"/>
    <w:rsid w:val="5A1258DC"/>
    <w:rsid w:val="5A1E2519"/>
    <w:rsid w:val="5AD14EAE"/>
    <w:rsid w:val="5B202006"/>
    <w:rsid w:val="5BF558B9"/>
    <w:rsid w:val="5C3D7C58"/>
    <w:rsid w:val="5DCE2481"/>
    <w:rsid w:val="5DE53281"/>
    <w:rsid w:val="5E6172A0"/>
    <w:rsid w:val="5E711214"/>
    <w:rsid w:val="5F523490"/>
    <w:rsid w:val="5F6E447D"/>
    <w:rsid w:val="5FE26EB4"/>
    <w:rsid w:val="5FFF6234"/>
    <w:rsid w:val="601563FA"/>
    <w:rsid w:val="604A4AEC"/>
    <w:rsid w:val="60D72E76"/>
    <w:rsid w:val="60F816F8"/>
    <w:rsid w:val="61085C61"/>
    <w:rsid w:val="612B1943"/>
    <w:rsid w:val="61451905"/>
    <w:rsid w:val="616F21C6"/>
    <w:rsid w:val="618249A6"/>
    <w:rsid w:val="61ED4B41"/>
    <w:rsid w:val="62016916"/>
    <w:rsid w:val="622635B1"/>
    <w:rsid w:val="625520D8"/>
    <w:rsid w:val="6264235D"/>
    <w:rsid w:val="63604080"/>
    <w:rsid w:val="637644D3"/>
    <w:rsid w:val="63A53BED"/>
    <w:rsid w:val="641F0A7D"/>
    <w:rsid w:val="649A2425"/>
    <w:rsid w:val="651B25C3"/>
    <w:rsid w:val="654E79FE"/>
    <w:rsid w:val="65580489"/>
    <w:rsid w:val="656848D6"/>
    <w:rsid w:val="659971F4"/>
    <w:rsid w:val="65A55680"/>
    <w:rsid w:val="65F76808"/>
    <w:rsid w:val="665C28F9"/>
    <w:rsid w:val="66A77B3C"/>
    <w:rsid w:val="66AA2A9C"/>
    <w:rsid w:val="66D341A9"/>
    <w:rsid w:val="66DA523C"/>
    <w:rsid w:val="66DD48C4"/>
    <w:rsid w:val="67692AE3"/>
    <w:rsid w:val="6771284C"/>
    <w:rsid w:val="6785726F"/>
    <w:rsid w:val="67F15884"/>
    <w:rsid w:val="682C3862"/>
    <w:rsid w:val="683B6A52"/>
    <w:rsid w:val="685B1E41"/>
    <w:rsid w:val="686C4C6E"/>
    <w:rsid w:val="68837C32"/>
    <w:rsid w:val="68C46C06"/>
    <w:rsid w:val="68EB348F"/>
    <w:rsid w:val="68FB74DA"/>
    <w:rsid w:val="695F4115"/>
    <w:rsid w:val="6A672AFE"/>
    <w:rsid w:val="6B1E4D74"/>
    <w:rsid w:val="6B3E6B2D"/>
    <w:rsid w:val="6B560F65"/>
    <w:rsid w:val="6B661CA7"/>
    <w:rsid w:val="6B7413DD"/>
    <w:rsid w:val="6C016E5B"/>
    <w:rsid w:val="6C5D3981"/>
    <w:rsid w:val="6C7D213E"/>
    <w:rsid w:val="6CA31FE9"/>
    <w:rsid w:val="6D0C494A"/>
    <w:rsid w:val="6D1A3D20"/>
    <w:rsid w:val="6D644372"/>
    <w:rsid w:val="6D7B7152"/>
    <w:rsid w:val="6DE278D3"/>
    <w:rsid w:val="6DF47810"/>
    <w:rsid w:val="6DF636EA"/>
    <w:rsid w:val="6E5819F3"/>
    <w:rsid w:val="6E744FF5"/>
    <w:rsid w:val="6E8840A3"/>
    <w:rsid w:val="6F0A062C"/>
    <w:rsid w:val="6FEA00B4"/>
    <w:rsid w:val="6FEF5A87"/>
    <w:rsid w:val="70C36A99"/>
    <w:rsid w:val="70E9149F"/>
    <w:rsid w:val="713C7491"/>
    <w:rsid w:val="71667DD2"/>
    <w:rsid w:val="71860DF2"/>
    <w:rsid w:val="71C20A1F"/>
    <w:rsid w:val="72112427"/>
    <w:rsid w:val="72580AE9"/>
    <w:rsid w:val="73C22CC0"/>
    <w:rsid w:val="73D46558"/>
    <w:rsid w:val="74166B26"/>
    <w:rsid w:val="74940D89"/>
    <w:rsid w:val="755F6FC7"/>
    <w:rsid w:val="758F4DB6"/>
    <w:rsid w:val="75AD282D"/>
    <w:rsid w:val="75C64E37"/>
    <w:rsid w:val="75D0573C"/>
    <w:rsid w:val="75E47425"/>
    <w:rsid w:val="75EF1619"/>
    <w:rsid w:val="75F26F29"/>
    <w:rsid w:val="76043762"/>
    <w:rsid w:val="76A76C88"/>
    <w:rsid w:val="76CA0119"/>
    <w:rsid w:val="76D516FF"/>
    <w:rsid w:val="76E54C86"/>
    <w:rsid w:val="772828A5"/>
    <w:rsid w:val="77AD7F7B"/>
    <w:rsid w:val="77B13E04"/>
    <w:rsid w:val="77E66C16"/>
    <w:rsid w:val="77EA3313"/>
    <w:rsid w:val="784A0950"/>
    <w:rsid w:val="78C440CA"/>
    <w:rsid w:val="78E91960"/>
    <w:rsid w:val="78F94146"/>
    <w:rsid w:val="79173319"/>
    <w:rsid w:val="791D467D"/>
    <w:rsid w:val="79F27106"/>
    <w:rsid w:val="7A514571"/>
    <w:rsid w:val="7A6356B6"/>
    <w:rsid w:val="7AA96093"/>
    <w:rsid w:val="7AD01385"/>
    <w:rsid w:val="7B025333"/>
    <w:rsid w:val="7B7A1BFF"/>
    <w:rsid w:val="7B982817"/>
    <w:rsid w:val="7BEE5180"/>
    <w:rsid w:val="7C1E1A2D"/>
    <w:rsid w:val="7C534BC2"/>
    <w:rsid w:val="7D443027"/>
    <w:rsid w:val="7D4C555F"/>
    <w:rsid w:val="7DA12B4E"/>
    <w:rsid w:val="7DAF2909"/>
    <w:rsid w:val="7E062BD5"/>
    <w:rsid w:val="7E10614C"/>
    <w:rsid w:val="7E905E5D"/>
    <w:rsid w:val="7EA50F5F"/>
    <w:rsid w:val="7F4973E3"/>
    <w:rsid w:val="7FAE2994"/>
    <w:rsid w:val="7FE6609B"/>
    <w:rsid w:val="7FFA53C1"/>
    <w:rsid w:val="7FFE5C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next w:val="1"/>
    <w:link w:val="24"/>
    <w:unhideWhenUsed/>
    <w:qFormat/>
    <w:uiPriority w:val="0"/>
    <w:pPr>
      <w:keepNext/>
      <w:keepLines/>
      <w:numPr>
        <w:ilvl w:val="0"/>
        <w:numId w:val="1"/>
      </w:numPr>
      <w:spacing w:before="120" w:after="146" w:line="360" w:lineRule="auto"/>
      <w:ind w:right="125"/>
      <w:jc w:val="center"/>
      <w:outlineLvl w:val="0"/>
    </w:pPr>
    <w:rPr>
      <w:rFonts w:ascii="微软雅黑" w:hAnsi="微软雅黑" w:eastAsia="宋体" w:cs="微软雅黑"/>
      <w:b/>
      <w:color w:val="000000"/>
      <w:kern w:val="2"/>
      <w:sz w:val="32"/>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7"/>
    <w:qFormat/>
    <w:uiPriority w:val="99"/>
    <w:pPr>
      <w:ind w:firstLine="420" w:firstLineChars="200"/>
    </w:pPr>
    <w:rPr>
      <w:rFonts w:asciiTheme="minorHAnsi" w:hAnsiTheme="minorHAnsi" w:cstheme="minorBidi"/>
    </w:rPr>
  </w:style>
  <w:style w:type="paragraph" w:styleId="4">
    <w:name w:val="annotation text"/>
    <w:basedOn w:val="1"/>
    <w:link w:val="18"/>
    <w:qFormat/>
    <w:uiPriority w:val="0"/>
    <w:pPr>
      <w:spacing w:line="240" w:lineRule="auto"/>
      <w:jc w:val="left"/>
    </w:pPr>
    <w:rPr>
      <w:rFonts w:asciiTheme="minorHAnsi" w:hAnsiTheme="minorHAnsi" w:eastAsiaTheme="minorEastAsia" w:cstheme="minorBidi"/>
      <w:sz w:val="21"/>
    </w:rPr>
  </w:style>
  <w:style w:type="paragraph" w:styleId="5">
    <w:name w:val="Plain Text"/>
    <w:basedOn w:val="1"/>
    <w:link w:val="19"/>
    <w:qFormat/>
    <w:uiPriority w:val="0"/>
    <w:pPr>
      <w:spacing w:line="240" w:lineRule="auto"/>
    </w:pPr>
    <w:rPr>
      <w:rFonts w:ascii="宋体" w:hAnsi="Courier New" w:eastAsiaTheme="minorEastAsia" w:cstheme="minorBidi"/>
      <w:sz w:val="21"/>
    </w:rPr>
  </w:style>
  <w:style w:type="paragraph" w:styleId="6">
    <w:name w:val="Balloon Text"/>
    <w:basedOn w:val="1"/>
    <w:link w:val="23"/>
    <w:semiHidden/>
    <w:unhideWhenUsed/>
    <w:qFormat/>
    <w:uiPriority w:val="99"/>
    <w:pPr>
      <w:spacing w:line="240" w:lineRule="auto"/>
    </w:pPr>
    <w:rPr>
      <w:sz w:val="18"/>
      <w:szCs w:val="18"/>
    </w:rPr>
  </w:style>
  <w:style w:type="paragraph" w:styleId="7">
    <w:name w:val="footer"/>
    <w:basedOn w:val="1"/>
    <w:link w:val="15"/>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paragraph" w:styleId="9">
    <w:name w:val="Title"/>
    <w:basedOn w:val="1"/>
    <w:next w:val="2"/>
    <w:link w:val="16"/>
    <w:qFormat/>
    <w:uiPriority w:val="99"/>
    <w:pPr>
      <w:jc w:val="center"/>
      <w:outlineLvl w:val="0"/>
    </w:pPr>
    <w:rPr>
      <w:rFonts w:ascii="Arial" w:hAnsi="Arial" w:cs="Arial"/>
      <w:b/>
      <w:bCs/>
      <w:sz w:val="32"/>
      <w:szCs w:val="32"/>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qFormat/>
    <w:uiPriority w:val="0"/>
    <w:rPr>
      <w:sz w:val="21"/>
      <w:szCs w:val="21"/>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标题 Char"/>
    <w:link w:val="9"/>
    <w:qFormat/>
    <w:uiPriority w:val="99"/>
    <w:rPr>
      <w:rFonts w:ascii="Arial" w:hAnsi="Arial" w:eastAsia="宋体" w:cs="Arial"/>
      <w:b/>
      <w:bCs/>
      <w:sz w:val="32"/>
      <w:szCs w:val="32"/>
    </w:rPr>
  </w:style>
  <w:style w:type="character" w:customStyle="1" w:styleId="17">
    <w:name w:val="正文缩进 Char"/>
    <w:link w:val="2"/>
    <w:qFormat/>
    <w:uiPriority w:val="99"/>
    <w:rPr>
      <w:rFonts w:eastAsia="宋体"/>
      <w:sz w:val="24"/>
      <w:szCs w:val="24"/>
    </w:rPr>
  </w:style>
  <w:style w:type="character" w:customStyle="1" w:styleId="18">
    <w:name w:val="批注文字 Char1"/>
    <w:link w:val="4"/>
    <w:qFormat/>
    <w:uiPriority w:val="0"/>
    <w:rPr>
      <w:szCs w:val="24"/>
    </w:rPr>
  </w:style>
  <w:style w:type="character" w:customStyle="1" w:styleId="19">
    <w:name w:val="纯文本 Char1"/>
    <w:link w:val="5"/>
    <w:qFormat/>
    <w:uiPriority w:val="0"/>
    <w:rPr>
      <w:rFonts w:ascii="宋体" w:hAnsi="Courier New"/>
      <w:szCs w:val="24"/>
    </w:rPr>
  </w:style>
  <w:style w:type="character" w:customStyle="1" w:styleId="20">
    <w:name w:val="标题 Char1"/>
    <w:basedOn w:val="12"/>
    <w:qFormat/>
    <w:uiPriority w:val="10"/>
    <w:rPr>
      <w:rFonts w:eastAsia="宋体" w:asciiTheme="majorHAnsi" w:hAnsiTheme="majorHAnsi" w:cstheme="majorBidi"/>
      <w:b/>
      <w:bCs/>
      <w:sz w:val="32"/>
      <w:szCs w:val="32"/>
    </w:rPr>
  </w:style>
  <w:style w:type="character" w:customStyle="1" w:styleId="21">
    <w:name w:val="纯文本 Char"/>
    <w:basedOn w:val="12"/>
    <w:semiHidden/>
    <w:qFormat/>
    <w:uiPriority w:val="99"/>
    <w:rPr>
      <w:rFonts w:ascii="宋体" w:hAnsi="Courier New" w:eastAsia="宋体" w:cs="Courier New"/>
      <w:szCs w:val="21"/>
    </w:rPr>
  </w:style>
  <w:style w:type="character" w:customStyle="1" w:styleId="22">
    <w:name w:val="批注文字 Char"/>
    <w:basedOn w:val="12"/>
    <w:semiHidden/>
    <w:qFormat/>
    <w:uiPriority w:val="99"/>
    <w:rPr>
      <w:rFonts w:ascii="Times New Roman" w:hAnsi="Times New Roman" w:eastAsia="宋体" w:cs="Times New Roman"/>
      <w:sz w:val="24"/>
      <w:szCs w:val="24"/>
    </w:rPr>
  </w:style>
  <w:style w:type="character" w:customStyle="1" w:styleId="23">
    <w:name w:val="批注框文本 Char"/>
    <w:basedOn w:val="12"/>
    <w:link w:val="6"/>
    <w:semiHidden/>
    <w:qFormat/>
    <w:uiPriority w:val="99"/>
    <w:rPr>
      <w:rFonts w:ascii="Times New Roman" w:hAnsi="Times New Roman" w:eastAsia="宋体" w:cs="Times New Roman"/>
      <w:sz w:val="18"/>
      <w:szCs w:val="18"/>
    </w:rPr>
  </w:style>
  <w:style w:type="character" w:customStyle="1" w:styleId="24">
    <w:name w:val="标题 1 Char"/>
    <w:basedOn w:val="12"/>
    <w:link w:val="3"/>
    <w:qFormat/>
    <w:uiPriority w:val="0"/>
    <w:rPr>
      <w:rFonts w:ascii="微软雅黑" w:hAnsi="微软雅黑" w:cs="微软雅黑"/>
      <w:b/>
      <w:color w:val="000000"/>
      <w:kern w:val="2"/>
      <w:sz w:val="32"/>
      <w:szCs w:val="22"/>
    </w:rPr>
  </w:style>
  <w:style w:type="paragraph" w:styleId="2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1133</Words>
  <Characters>6459</Characters>
  <Lines>53</Lines>
  <Paragraphs>15</Paragraphs>
  <TotalTime>13</TotalTime>
  <ScaleCrop>false</ScaleCrop>
  <LinksUpToDate>false</LinksUpToDate>
  <CharactersWithSpaces>7577</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2021-09-24T04:05:00Z</dcterms:created>
  <dc:creator>admin</dc:creator>
  <cp:lastModifiedBy>Administrator</cp:lastModifiedBy>
  <dcterms:modified xsi:type="dcterms:W3CDTF">2022-09-02T13:05:11Z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1EE9BD467DD0498F8A5B00B5C703BFE8</vt:lpwstr>
  </property>
</Properties>
</file>