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425498">
      <w:pPr>
        <w:jc w:val="center"/>
        <w:rPr>
          <w:b/>
          <w:bCs/>
          <w:sz w:val="36"/>
          <w:szCs w:val="36"/>
        </w:rPr>
      </w:pPr>
      <w:r>
        <w:rPr>
          <w:rFonts w:hint="eastAsia"/>
          <w:b/>
          <w:bCs/>
          <w:sz w:val="36"/>
          <w:szCs w:val="36"/>
          <w:lang w:val="en-US" w:eastAsia="zh-CN"/>
        </w:rPr>
        <w:t>工程量清单</w:t>
      </w:r>
      <w:r>
        <w:rPr>
          <w:rFonts w:hint="eastAsia"/>
          <w:b/>
          <w:bCs/>
          <w:sz w:val="36"/>
          <w:szCs w:val="36"/>
        </w:rPr>
        <w:t>编制说明</w:t>
      </w:r>
    </w:p>
    <w:p w14:paraId="20130D83">
      <w:pPr>
        <w:keepNext w:val="0"/>
        <w:keepLines w:val="0"/>
        <w:pageBreakBefore w:val="0"/>
        <w:kinsoku/>
        <w:wordWrap/>
        <w:overflowPunct/>
        <w:topLinePunct w:val="0"/>
        <w:autoSpaceDE/>
        <w:autoSpaceDN/>
        <w:bidi w:val="0"/>
        <w:adjustRightInd/>
        <w:snapToGrid/>
        <w:spacing w:line="520" w:lineRule="exact"/>
        <w:ind w:firstLine="482" w:firstLineChars="200"/>
        <w:textAlignment w:val="auto"/>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rPr>
        <w:t>一、工程概况</w:t>
      </w:r>
    </w:p>
    <w:p w14:paraId="653E7588">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t>1、工程名称：内蒙古自治区赛罕强制隔离戒毒所戒治管理区外巡逻通道及隔离网</w:t>
      </w:r>
    </w:p>
    <w:p w14:paraId="305D5427">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0" w:right="0" w:rightChars="0" w:firstLine="480" w:firstLineChars="200"/>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2、工程地点：</w:t>
      </w:r>
      <w:r>
        <w:rPr>
          <w:rFonts w:hint="eastAsia" w:asciiTheme="majorEastAsia" w:hAnsiTheme="majorEastAsia" w:eastAsiaTheme="majorEastAsia" w:cstheme="majorEastAsia"/>
          <w:sz w:val="24"/>
          <w:szCs w:val="24"/>
        </w:rPr>
        <w:t>内蒙古自治区赛罕强制隔离戒毒所戒治管理区</w:t>
      </w:r>
    </w:p>
    <w:p w14:paraId="065BC09F">
      <w:pPr>
        <w:keepNext w:val="0"/>
        <w:keepLines w:val="0"/>
        <w:pageBreakBefore w:val="0"/>
        <w:kinsoku/>
        <w:wordWrap/>
        <w:overflowPunct/>
        <w:topLinePunct w:val="0"/>
        <w:autoSpaceDE/>
        <w:autoSpaceDN/>
        <w:bidi w:val="0"/>
        <w:adjustRightInd/>
        <w:snapToGrid/>
        <w:spacing w:line="520" w:lineRule="exact"/>
        <w:ind w:firstLine="482" w:firstLineChars="200"/>
        <w:textAlignment w:val="auto"/>
        <w:rPr>
          <w:rFonts w:hint="eastAsia" w:asciiTheme="majorEastAsia" w:hAnsiTheme="majorEastAsia" w:eastAsiaTheme="majorEastAsia" w:cstheme="majorEastAsia"/>
          <w:b/>
          <w:sz w:val="24"/>
          <w:szCs w:val="24"/>
          <w:lang w:val="en-US" w:eastAsia="zh-CN"/>
        </w:rPr>
      </w:pPr>
      <w:r>
        <w:rPr>
          <w:rFonts w:hint="eastAsia" w:asciiTheme="majorEastAsia" w:hAnsiTheme="majorEastAsia" w:eastAsiaTheme="majorEastAsia" w:cstheme="majorEastAsia"/>
          <w:b/>
          <w:sz w:val="24"/>
          <w:szCs w:val="24"/>
        </w:rPr>
        <w:t>二、编制</w:t>
      </w:r>
      <w:r>
        <w:rPr>
          <w:rFonts w:hint="eastAsia" w:asciiTheme="majorEastAsia" w:hAnsiTheme="majorEastAsia" w:eastAsiaTheme="majorEastAsia" w:cstheme="majorEastAsia"/>
          <w:b/>
          <w:sz w:val="24"/>
          <w:szCs w:val="24"/>
          <w:lang w:val="en-US" w:eastAsia="zh-CN"/>
        </w:rPr>
        <w:t>范围</w:t>
      </w:r>
    </w:p>
    <w:p w14:paraId="1937689A">
      <w:pPr>
        <w:pStyle w:val="2"/>
        <w:keepNext w:val="0"/>
        <w:keepLines w:val="0"/>
        <w:pageBreakBefore w:val="0"/>
        <w:kinsoku/>
        <w:wordWrap/>
        <w:overflowPunct/>
        <w:topLinePunct w:val="0"/>
        <w:autoSpaceDE/>
        <w:autoSpaceDN/>
        <w:bidi w:val="0"/>
        <w:adjustRightInd/>
        <w:snapToGrid/>
        <w:spacing w:line="640" w:lineRule="exact"/>
        <w:ind w:left="0" w:leftChars="0"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设计图纸范围内全部工作内容</w:t>
      </w:r>
      <w:r>
        <w:rPr>
          <w:rFonts w:hint="eastAsia" w:asciiTheme="majorEastAsia" w:hAnsiTheme="majorEastAsia" w:eastAsiaTheme="majorEastAsia" w:cstheme="majorEastAsia"/>
          <w:sz w:val="24"/>
          <w:szCs w:val="24"/>
        </w:rPr>
        <w:t>。</w:t>
      </w:r>
    </w:p>
    <w:p w14:paraId="62006358">
      <w:pPr>
        <w:keepNext w:val="0"/>
        <w:keepLines w:val="0"/>
        <w:pageBreakBefore w:val="0"/>
        <w:kinsoku/>
        <w:wordWrap/>
        <w:overflowPunct/>
        <w:topLinePunct w:val="0"/>
        <w:autoSpaceDE/>
        <w:autoSpaceDN/>
        <w:bidi w:val="0"/>
        <w:adjustRightInd/>
        <w:snapToGrid/>
        <w:spacing w:line="520" w:lineRule="exact"/>
        <w:ind w:firstLine="482" w:firstLineChars="200"/>
        <w:textAlignment w:val="auto"/>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lang w:val="en-US" w:eastAsia="zh-CN"/>
        </w:rPr>
        <w:t>三</w:t>
      </w:r>
      <w:r>
        <w:rPr>
          <w:rFonts w:hint="eastAsia" w:asciiTheme="majorEastAsia" w:hAnsiTheme="majorEastAsia" w:eastAsiaTheme="majorEastAsia" w:cstheme="majorEastAsia"/>
          <w:b/>
          <w:sz w:val="24"/>
          <w:szCs w:val="24"/>
        </w:rPr>
        <w:t>、编制依据</w:t>
      </w:r>
    </w:p>
    <w:p w14:paraId="3CCE7614">
      <w:pPr>
        <w:keepNext w:val="0"/>
        <w:keepLines w:val="0"/>
        <w:pageBreakBefore w:val="0"/>
        <w:kinsoku/>
        <w:wordWrap/>
        <w:overflowPunct/>
        <w:topLinePunct w:val="0"/>
        <w:autoSpaceDE/>
        <w:autoSpaceDN/>
        <w:bidi w:val="0"/>
        <w:adjustRightInd/>
        <w:snapToGrid/>
        <w:spacing w:line="640" w:lineRule="exact"/>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1、建设单位提供的设计图纸；</w:t>
      </w:r>
    </w:p>
    <w:p w14:paraId="5ECB83EB">
      <w:pPr>
        <w:keepNext w:val="0"/>
        <w:keepLines w:val="0"/>
        <w:pageBreakBefore w:val="0"/>
        <w:kinsoku/>
        <w:wordWrap/>
        <w:overflowPunct/>
        <w:topLinePunct w:val="0"/>
        <w:autoSpaceDE/>
        <w:autoSpaceDN/>
        <w:bidi w:val="0"/>
        <w:adjustRightInd/>
        <w:snapToGrid/>
        <w:spacing w:line="640" w:lineRule="exact"/>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2、《建设工程工程量清单计价规范》GB 50500-2013；</w:t>
      </w:r>
    </w:p>
    <w:p w14:paraId="6D68BCFE">
      <w:pPr>
        <w:keepNext w:val="0"/>
        <w:keepLines w:val="0"/>
        <w:pageBreakBefore w:val="0"/>
        <w:kinsoku/>
        <w:wordWrap/>
        <w:overflowPunct/>
        <w:topLinePunct w:val="0"/>
        <w:autoSpaceDE/>
        <w:autoSpaceDN/>
        <w:bidi w:val="0"/>
        <w:adjustRightInd/>
        <w:snapToGrid/>
        <w:spacing w:line="640" w:lineRule="exact"/>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3</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eastAsia="zh-CN"/>
        </w:rPr>
        <w:t>《</w:t>
      </w:r>
      <w:r>
        <w:rPr>
          <w:rFonts w:hint="eastAsia" w:asciiTheme="majorEastAsia" w:hAnsiTheme="majorEastAsia" w:eastAsiaTheme="majorEastAsia" w:cstheme="majorEastAsia"/>
          <w:sz w:val="24"/>
          <w:szCs w:val="24"/>
        </w:rPr>
        <w:t>内蒙古自治区建设工程费用定额</w:t>
      </w:r>
      <w:r>
        <w:rPr>
          <w:rFonts w:hint="eastAsia" w:asciiTheme="majorEastAsia" w:hAnsiTheme="majorEastAsia" w:eastAsiaTheme="majorEastAsia" w:cstheme="majorEastAsia"/>
          <w:sz w:val="24"/>
          <w:szCs w:val="24"/>
          <w:lang w:eastAsia="zh-CN"/>
        </w:rPr>
        <w:t>》（</w:t>
      </w:r>
      <w:r>
        <w:rPr>
          <w:rFonts w:hint="eastAsia" w:asciiTheme="majorEastAsia" w:hAnsiTheme="majorEastAsia" w:eastAsiaTheme="majorEastAsia" w:cstheme="majorEastAsia"/>
          <w:sz w:val="24"/>
          <w:szCs w:val="24"/>
        </w:rPr>
        <w:t>2017）；</w:t>
      </w:r>
    </w:p>
    <w:p w14:paraId="6878A6BF">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Theme="majorEastAsia" w:hAnsiTheme="majorEastAsia" w:eastAsiaTheme="majorEastAsia" w:cstheme="majorEastAsia"/>
          <w:sz w:val="24"/>
          <w:szCs w:val="24"/>
        </w:rPr>
      </w:pPr>
      <w:r>
        <w:rPr>
          <w:rFonts w:hint="eastAsia" w:ascii="宋体" w:hAnsi="宋体" w:cs="宋体"/>
          <w:color w:val="000000"/>
          <w:kern w:val="0"/>
          <w:sz w:val="24"/>
          <w:szCs w:val="24"/>
          <w:lang w:val="en-US" w:eastAsia="zh-CN" w:bidi="ar"/>
        </w:rPr>
        <w:t>4、</w:t>
      </w:r>
      <w:r>
        <w:rPr>
          <w:rFonts w:hint="eastAsia" w:ascii="宋体" w:hAnsi="宋体" w:cs="宋体"/>
          <w:color w:val="000000"/>
          <w:kern w:val="0"/>
          <w:sz w:val="24"/>
          <w:szCs w:val="24"/>
          <w:lang w:eastAsia="zh-CN" w:bidi="ar"/>
        </w:rPr>
        <w:t>《</w:t>
      </w:r>
      <w:r>
        <w:rPr>
          <w:rFonts w:hint="eastAsia" w:ascii="宋体" w:hAnsi="宋体" w:cs="宋体"/>
          <w:color w:val="000000"/>
          <w:kern w:val="0"/>
          <w:sz w:val="24"/>
          <w:szCs w:val="24"/>
          <w:lang w:val="en-US" w:eastAsia="zh-CN" w:bidi="ar"/>
        </w:rPr>
        <w:t>内蒙古房屋建筑与装饰工程预算定额》</w:t>
      </w:r>
      <w:r>
        <w:rPr>
          <w:rFonts w:hint="eastAsia" w:ascii="宋体" w:hAnsi="宋体" w:cs="宋体"/>
          <w:color w:val="000000"/>
          <w:kern w:val="0"/>
          <w:sz w:val="24"/>
          <w:szCs w:val="24"/>
          <w:lang w:eastAsia="zh-CN" w:bidi="ar"/>
        </w:rPr>
        <w:t>（</w:t>
      </w:r>
      <w:r>
        <w:rPr>
          <w:rFonts w:hint="eastAsia" w:ascii="宋体" w:hAnsi="宋体" w:cs="宋体"/>
          <w:color w:val="000000"/>
          <w:kern w:val="0"/>
          <w:sz w:val="24"/>
          <w:szCs w:val="24"/>
          <w:lang w:val="en-US" w:eastAsia="zh-CN" w:bidi="ar"/>
        </w:rPr>
        <w:t>2017</w:t>
      </w:r>
      <w:r>
        <w:rPr>
          <w:rFonts w:hint="eastAsia" w:ascii="宋体" w:hAnsi="宋体" w:cs="宋体"/>
          <w:color w:val="000000"/>
          <w:kern w:val="0"/>
          <w:sz w:val="24"/>
          <w:szCs w:val="24"/>
          <w:lang w:eastAsia="zh-CN" w:bidi="ar"/>
        </w:rPr>
        <w:t>）；</w:t>
      </w:r>
    </w:p>
    <w:p w14:paraId="5BB9D299">
      <w:pPr>
        <w:keepNext w:val="0"/>
        <w:keepLines w:val="0"/>
        <w:pageBreakBefore w:val="0"/>
        <w:widowControl w:val="0"/>
        <w:kinsoku/>
        <w:wordWrap/>
        <w:overflowPunct/>
        <w:topLinePunct w:val="0"/>
        <w:autoSpaceDE/>
        <w:autoSpaceDN/>
        <w:bidi w:val="0"/>
        <w:adjustRightInd/>
        <w:snapToGrid/>
        <w:spacing w:line="640" w:lineRule="exact"/>
        <w:ind w:firstLine="480" w:firstLineChars="200"/>
        <w:jc w:val="both"/>
        <w:textAlignment w:val="auto"/>
        <w:rPr>
          <w:rFonts w:hint="default" w:eastAsiaTheme="majorEastAsia"/>
          <w:lang w:val="en-US" w:eastAsia="zh-CN"/>
        </w:rPr>
      </w:pP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lang w:eastAsia="zh-CN"/>
        </w:rPr>
        <w:t>《</w:t>
      </w:r>
      <w:r>
        <w:rPr>
          <w:rFonts w:hint="eastAsia" w:asciiTheme="majorEastAsia" w:hAnsiTheme="majorEastAsia" w:eastAsiaTheme="majorEastAsia" w:cstheme="majorEastAsia"/>
          <w:sz w:val="24"/>
          <w:szCs w:val="24"/>
        </w:rPr>
        <w:t>内蒙古自治区市政工程预算定额</w:t>
      </w:r>
      <w:r>
        <w:rPr>
          <w:rFonts w:hint="eastAsia" w:asciiTheme="majorEastAsia" w:hAnsiTheme="majorEastAsia" w:eastAsiaTheme="majorEastAsia" w:cstheme="majorEastAsia"/>
          <w:sz w:val="24"/>
          <w:szCs w:val="24"/>
          <w:lang w:eastAsia="zh-CN"/>
        </w:rPr>
        <w:t>》</w:t>
      </w:r>
      <w:r>
        <w:rPr>
          <w:rFonts w:hint="eastAsia" w:asciiTheme="majorEastAsia" w:hAnsiTheme="majorEastAsia" w:eastAsiaTheme="majorEastAsia" w:cstheme="majorEastAsia"/>
          <w:sz w:val="24"/>
          <w:szCs w:val="24"/>
        </w:rPr>
        <w:t>(2017)；</w:t>
      </w:r>
    </w:p>
    <w:p w14:paraId="4D72C8CD">
      <w:pPr>
        <w:keepNext w:val="0"/>
        <w:keepLines w:val="0"/>
        <w:pageBreakBefore w:val="0"/>
        <w:widowControl w:val="0"/>
        <w:kinsoku/>
        <w:wordWrap/>
        <w:overflowPunct/>
        <w:topLinePunct w:val="0"/>
        <w:autoSpaceDE/>
        <w:autoSpaceDN/>
        <w:bidi w:val="0"/>
        <w:adjustRightInd/>
        <w:snapToGrid/>
        <w:spacing w:line="640" w:lineRule="exact"/>
        <w:ind w:left="481" w:leftChars="229" w:firstLine="0" w:firstLineChars="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rPr>
        <w:t>截止202</w:t>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t>年</w:t>
      </w:r>
      <w:r>
        <w:rPr>
          <w:rFonts w:hint="eastAsia" w:asciiTheme="majorEastAsia" w:hAnsiTheme="majorEastAsia" w:eastAsiaTheme="majorEastAsia" w:cstheme="majorEastAsia"/>
          <w:sz w:val="24"/>
          <w:szCs w:val="24"/>
          <w:lang w:val="en-US" w:eastAsia="zh-CN"/>
        </w:rPr>
        <w:t>10</w:t>
      </w:r>
      <w:r>
        <w:rPr>
          <w:rFonts w:hint="eastAsia" w:asciiTheme="majorEastAsia" w:hAnsiTheme="majorEastAsia" w:eastAsiaTheme="majorEastAsia" w:cstheme="majorEastAsia"/>
          <w:sz w:val="24"/>
          <w:szCs w:val="24"/>
        </w:rPr>
        <w:t>月与建设工程有关的政策性调整文件；</w:t>
      </w:r>
    </w:p>
    <w:p w14:paraId="3BC96835">
      <w:pPr>
        <w:keepNext w:val="0"/>
        <w:keepLines w:val="0"/>
        <w:pageBreakBefore w:val="0"/>
        <w:widowControl w:val="0"/>
        <w:kinsoku/>
        <w:wordWrap/>
        <w:overflowPunct/>
        <w:topLinePunct w:val="0"/>
        <w:autoSpaceDE/>
        <w:autoSpaceDN/>
        <w:bidi w:val="0"/>
        <w:adjustRightInd/>
        <w:snapToGrid/>
        <w:spacing w:line="640" w:lineRule="exact"/>
        <w:ind w:left="481" w:leftChars="229" w:firstLine="0" w:firstLineChars="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7、</w:t>
      </w:r>
      <w:r>
        <w:rPr>
          <w:rFonts w:hint="eastAsia" w:asciiTheme="majorEastAsia" w:hAnsiTheme="majorEastAsia" w:eastAsiaTheme="majorEastAsia" w:cstheme="majorEastAsia"/>
          <w:sz w:val="24"/>
          <w:szCs w:val="24"/>
        </w:rPr>
        <w:t>行业规范、标准图集和其他技术资料；</w:t>
      </w:r>
    </w:p>
    <w:p w14:paraId="4C58F12B">
      <w:pPr>
        <w:keepNext w:val="0"/>
        <w:keepLines w:val="0"/>
        <w:pageBreakBefore w:val="0"/>
        <w:kinsoku/>
        <w:wordWrap/>
        <w:overflowPunct/>
        <w:topLinePunct w:val="0"/>
        <w:autoSpaceDE/>
        <w:autoSpaceDN/>
        <w:bidi w:val="0"/>
        <w:adjustRightInd/>
        <w:snapToGrid/>
        <w:spacing w:line="640" w:lineRule="exact"/>
        <w:ind w:left="481" w:leftChars="229" w:firstLine="0" w:firstLineChars="0"/>
        <w:textAlignment w:val="auto"/>
        <w:rPr>
          <w:rFonts w:hint="eastAsia" w:asciiTheme="majorEastAsia" w:hAnsiTheme="majorEastAsia" w:eastAsiaTheme="majorEastAsia" w:cstheme="majorEastAsia"/>
          <w:b/>
          <w:sz w:val="24"/>
          <w:szCs w:val="24"/>
          <w:lang w:val="en-US" w:eastAsia="zh-CN"/>
        </w:rPr>
      </w:pPr>
      <w:r>
        <w:rPr>
          <w:rFonts w:hint="eastAsia" w:asciiTheme="majorEastAsia" w:hAnsiTheme="majorEastAsia" w:eastAsiaTheme="majorEastAsia" w:cstheme="majorEastAsia"/>
          <w:sz w:val="24"/>
          <w:szCs w:val="24"/>
          <w:lang w:val="en-US" w:eastAsia="zh-CN"/>
        </w:rPr>
        <w:t>8、</w:t>
      </w:r>
      <w:r>
        <w:rPr>
          <w:rFonts w:hint="eastAsia" w:asciiTheme="majorEastAsia" w:hAnsiTheme="majorEastAsia" w:eastAsiaTheme="majorEastAsia" w:cstheme="majorEastAsia"/>
          <w:sz w:val="24"/>
          <w:szCs w:val="24"/>
        </w:rPr>
        <w:t>材料价执行</w:t>
      </w:r>
      <w:r>
        <w:rPr>
          <w:rFonts w:hint="eastAsia" w:asciiTheme="majorEastAsia" w:hAnsiTheme="majorEastAsia" w:eastAsiaTheme="majorEastAsia" w:cstheme="majorEastAsia"/>
          <w:sz w:val="24"/>
          <w:szCs w:val="24"/>
          <w:lang w:val="en-US" w:eastAsia="zh-CN"/>
        </w:rPr>
        <w:t>呼和浩特市2024年第四期建设材料</w:t>
      </w:r>
      <w:r>
        <w:rPr>
          <w:rFonts w:hint="eastAsia" w:asciiTheme="majorEastAsia" w:hAnsiTheme="majorEastAsia" w:eastAsiaTheme="majorEastAsia" w:cstheme="majorEastAsia"/>
          <w:sz w:val="24"/>
          <w:szCs w:val="24"/>
        </w:rPr>
        <w:t>信息价</w:t>
      </w:r>
      <w:r>
        <w:rPr>
          <w:rFonts w:hint="eastAsia" w:asciiTheme="majorEastAsia" w:hAnsiTheme="majorEastAsia" w:eastAsiaTheme="majorEastAsia" w:cstheme="majorEastAsia"/>
          <w:sz w:val="24"/>
          <w:szCs w:val="24"/>
          <w:lang w:val="en-US" w:eastAsia="zh-CN"/>
        </w:rPr>
        <w:t>和市场价进行的调整</w:t>
      </w:r>
      <w:r>
        <w:rPr>
          <w:rFonts w:hint="eastAsia" w:ascii="宋体" w:hAnsi="宋体" w:cs="宋体"/>
          <w:sz w:val="24"/>
          <w:szCs w:val="24"/>
          <w:lang w:val="en-US" w:eastAsia="zh-CN"/>
        </w:rPr>
        <w:t>。</w:t>
      </w:r>
    </w:p>
    <w:p w14:paraId="5CB464C0">
      <w:pPr>
        <w:keepNext w:val="0"/>
        <w:keepLines w:val="0"/>
        <w:pageBreakBefore w:val="0"/>
        <w:kinsoku/>
        <w:wordWrap/>
        <w:overflowPunct/>
        <w:topLinePunct w:val="0"/>
        <w:autoSpaceDE/>
        <w:autoSpaceDN/>
        <w:bidi w:val="0"/>
        <w:adjustRightInd/>
        <w:snapToGrid/>
        <w:spacing w:line="520" w:lineRule="exact"/>
        <w:ind w:firstLine="482" w:firstLineChars="200"/>
        <w:textAlignment w:val="auto"/>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lang w:val="en-US" w:eastAsia="zh-CN"/>
        </w:rPr>
        <w:t>四</w:t>
      </w:r>
      <w:r>
        <w:rPr>
          <w:rFonts w:hint="eastAsia" w:asciiTheme="majorEastAsia" w:hAnsiTheme="majorEastAsia" w:eastAsiaTheme="majorEastAsia" w:cstheme="majorEastAsia"/>
          <w:b/>
          <w:sz w:val="24"/>
          <w:szCs w:val="24"/>
        </w:rPr>
        <w:t>、</w:t>
      </w:r>
      <w:r>
        <w:rPr>
          <w:rFonts w:hint="eastAsia" w:asciiTheme="majorEastAsia" w:hAnsiTheme="majorEastAsia" w:eastAsiaTheme="majorEastAsia" w:cstheme="majorEastAsia"/>
          <w:b/>
          <w:sz w:val="24"/>
          <w:szCs w:val="24"/>
          <w:lang w:val="en-US" w:eastAsia="zh-CN"/>
        </w:rPr>
        <w:t>编制</w:t>
      </w:r>
      <w:r>
        <w:rPr>
          <w:rFonts w:hint="eastAsia" w:asciiTheme="majorEastAsia" w:hAnsiTheme="majorEastAsia" w:eastAsiaTheme="majorEastAsia" w:cstheme="majorEastAsia"/>
          <w:b/>
          <w:sz w:val="24"/>
          <w:szCs w:val="24"/>
        </w:rPr>
        <w:t>说明</w:t>
      </w:r>
    </w:p>
    <w:p w14:paraId="70CD1A82">
      <w:pPr>
        <w:keepNext w:val="0"/>
        <w:keepLines w:val="0"/>
        <w:pageBreakBefore w:val="0"/>
        <w:widowControl/>
        <w:kinsoku/>
        <w:wordWrap/>
        <w:overflowPunct/>
        <w:topLinePunct w:val="0"/>
        <w:autoSpaceDE/>
        <w:autoSpaceDN/>
        <w:bidi w:val="0"/>
        <w:adjustRightInd/>
        <w:snapToGrid/>
        <w:spacing w:line="520" w:lineRule="exact"/>
        <w:ind w:firstLine="491" w:firstLineChars="205"/>
        <w:jc w:val="left"/>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0000"/>
          <w:kern w:val="0"/>
          <w:sz w:val="24"/>
          <w:szCs w:val="24"/>
          <w:lang w:val="en-US" w:eastAsia="zh-CN" w:bidi="ar"/>
        </w:rPr>
        <w:t>1</w:t>
      </w:r>
      <w:r>
        <w:rPr>
          <w:rFonts w:hint="eastAsia" w:asciiTheme="majorEastAsia" w:hAnsiTheme="majorEastAsia" w:eastAsiaTheme="majorEastAsia" w:cstheme="majorEastAsia"/>
          <w:color w:val="000000"/>
          <w:kern w:val="0"/>
          <w:sz w:val="24"/>
          <w:szCs w:val="24"/>
          <w:lang w:bidi="ar"/>
        </w:rPr>
        <w:t>、规费执行《关于调整内蒙古自治区建设工程计价依据规费中养老保险费率的通知》（内建标函【2019】468号）</w:t>
      </w:r>
      <w:r>
        <w:rPr>
          <w:rFonts w:hint="eastAsia" w:asciiTheme="majorEastAsia" w:hAnsiTheme="majorEastAsia" w:eastAsiaTheme="majorEastAsia" w:cstheme="majorEastAsia"/>
          <w:color w:val="000000"/>
          <w:kern w:val="0"/>
          <w:sz w:val="24"/>
          <w:szCs w:val="24"/>
          <w:lang w:eastAsia="zh-CN" w:bidi="ar"/>
        </w:rPr>
        <w:t>；</w:t>
      </w:r>
      <w:r>
        <w:rPr>
          <w:rFonts w:hint="eastAsia" w:asciiTheme="majorEastAsia" w:hAnsiTheme="majorEastAsia" w:eastAsiaTheme="majorEastAsia" w:cstheme="majorEastAsia"/>
          <w:color w:val="000000"/>
          <w:kern w:val="0"/>
          <w:sz w:val="24"/>
          <w:szCs w:val="24"/>
          <w:lang w:bidi="ar"/>
        </w:rPr>
        <w:t xml:space="preserve"> </w:t>
      </w:r>
    </w:p>
    <w:p w14:paraId="0B618499">
      <w:pPr>
        <w:keepNext w:val="0"/>
        <w:keepLines w:val="0"/>
        <w:pageBreakBefore w:val="0"/>
        <w:widowControl/>
        <w:kinsoku/>
        <w:wordWrap/>
        <w:overflowPunct/>
        <w:topLinePunct w:val="0"/>
        <w:autoSpaceDE/>
        <w:autoSpaceDN/>
        <w:bidi w:val="0"/>
        <w:adjustRightInd/>
        <w:snapToGrid/>
        <w:spacing w:line="520" w:lineRule="exact"/>
        <w:ind w:firstLine="491" w:firstLineChars="205"/>
        <w:jc w:val="left"/>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0000"/>
          <w:kern w:val="0"/>
          <w:sz w:val="24"/>
          <w:szCs w:val="24"/>
          <w:lang w:val="en-US" w:eastAsia="zh-CN" w:bidi="ar"/>
        </w:rPr>
        <w:t>2</w:t>
      </w:r>
      <w:r>
        <w:rPr>
          <w:rFonts w:hint="eastAsia" w:asciiTheme="majorEastAsia" w:hAnsiTheme="majorEastAsia" w:eastAsiaTheme="majorEastAsia" w:cstheme="majorEastAsia"/>
          <w:color w:val="000000"/>
          <w:kern w:val="0"/>
          <w:sz w:val="24"/>
          <w:szCs w:val="24"/>
          <w:lang w:bidi="ar"/>
        </w:rPr>
        <w:t>、增值税税率执行《关于调整内蒙古自治区建设工程计价依据增值税税率的通知》</w:t>
      </w:r>
      <w:r>
        <w:rPr>
          <w:rFonts w:hint="eastAsia" w:asciiTheme="majorEastAsia" w:hAnsiTheme="majorEastAsia" w:eastAsiaTheme="majorEastAsia" w:cstheme="majorEastAsia"/>
          <w:sz w:val="24"/>
          <w:szCs w:val="24"/>
        </w:rPr>
        <w:t xml:space="preserve">内建标【2019】113号中规定的9% </w:t>
      </w:r>
      <w:r>
        <w:rPr>
          <w:rFonts w:hint="eastAsia" w:asciiTheme="majorEastAsia" w:hAnsiTheme="majorEastAsia" w:eastAsiaTheme="majorEastAsia" w:cstheme="majorEastAsia"/>
          <w:sz w:val="24"/>
          <w:szCs w:val="24"/>
          <w:lang w:eastAsia="zh-CN"/>
        </w:rPr>
        <w:t>；</w:t>
      </w:r>
      <w:r>
        <w:rPr>
          <w:rFonts w:hint="eastAsia" w:asciiTheme="majorEastAsia" w:hAnsiTheme="majorEastAsia" w:eastAsiaTheme="majorEastAsia" w:cstheme="majorEastAsia"/>
          <w:color w:val="000000"/>
          <w:kern w:val="0"/>
          <w:sz w:val="24"/>
          <w:szCs w:val="24"/>
          <w:lang w:bidi="ar"/>
        </w:rPr>
        <w:t xml:space="preserve"> </w:t>
      </w:r>
    </w:p>
    <w:p w14:paraId="1B9C62E9">
      <w:pPr>
        <w:keepNext w:val="0"/>
        <w:keepLines w:val="0"/>
        <w:pageBreakBefore w:val="0"/>
        <w:widowControl/>
        <w:kinsoku/>
        <w:wordWrap/>
        <w:overflowPunct/>
        <w:topLinePunct w:val="0"/>
        <w:autoSpaceDE/>
        <w:autoSpaceDN/>
        <w:bidi w:val="0"/>
        <w:adjustRightInd/>
        <w:snapToGrid/>
        <w:spacing w:line="520" w:lineRule="exact"/>
        <w:ind w:firstLine="491" w:firstLineChars="205"/>
        <w:jc w:val="left"/>
        <w:textAlignment w:val="auto"/>
        <w:rPr>
          <w:rFonts w:hint="eastAsia" w:asciiTheme="majorEastAsia" w:hAnsiTheme="majorEastAsia" w:eastAsiaTheme="majorEastAsia" w:cstheme="majorEastAsia"/>
          <w:color w:val="000000"/>
          <w:kern w:val="0"/>
          <w:sz w:val="24"/>
          <w:szCs w:val="24"/>
          <w:lang w:eastAsia="zh-CN" w:bidi="ar"/>
        </w:rPr>
      </w:pPr>
      <w:r>
        <w:rPr>
          <w:rFonts w:hint="eastAsia" w:asciiTheme="majorEastAsia" w:hAnsiTheme="majorEastAsia" w:eastAsiaTheme="majorEastAsia" w:cstheme="majorEastAsia"/>
          <w:color w:val="000000"/>
          <w:kern w:val="0"/>
          <w:sz w:val="24"/>
          <w:szCs w:val="24"/>
          <w:lang w:val="en-US" w:eastAsia="zh-CN" w:bidi="ar"/>
        </w:rPr>
        <w:t>3</w:t>
      </w:r>
      <w:r>
        <w:rPr>
          <w:rFonts w:hint="eastAsia" w:asciiTheme="majorEastAsia" w:hAnsiTheme="majorEastAsia" w:eastAsiaTheme="majorEastAsia" w:cstheme="majorEastAsia"/>
          <w:color w:val="000000"/>
          <w:kern w:val="0"/>
          <w:sz w:val="24"/>
          <w:szCs w:val="24"/>
          <w:lang w:bidi="ar"/>
        </w:rPr>
        <w:t>、材料检验试验费已计入招标控制价中，投标企业报价时须将此项费用计入投标报价中。</w:t>
      </w:r>
      <w:r>
        <w:rPr>
          <w:rFonts w:hint="eastAsia" w:asciiTheme="majorEastAsia" w:hAnsiTheme="majorEastAsia" w:eastAsiaTheme="majorEastAsia" w:cstheme="majorEastAsia"/>
          <w:sz w:val="24"/>
          <w:szCs w:val="24"/>
        </w:rPr>
        <w:t>结算时应按施工企业缴费凭证据实调整</w:t>
      </w:r>
      <w:r>
        <w:rPr>
          <w:rFonts w:hint="eastAsia" w:asciiTheme="majorEastAsia" w:hAnsiTheme="majorEastAsia" w:eastAsiaTheme="majorEastAsia" w:cstheme="majorEastAsia"/>
          <w:sz w:val="24"/>
          <w:szCs w:val="24"/>
          <w:lang w:eastAsia="zh-CN"/>
        </w:rPr>
        <w:t>。</w:t>
      </w:r>
      <w:r>
        <w:rPr>
          <w:rFonts w:hint="eastAsia" w:asciiTheme="majorEastAsia" w:hAnsiTheme="majorEastAsia" w:eastAsiaTheme="majorEastAsia" w:cstheme="majorEastAsia"/>
          <w:color w:val="000000"/>
          <w:kern w:val="0"/>
          <w:sz w:val="24"/>
          <w:szCs w:val="24"/>
          <w:lang w:bidi="ar"/>
        </w:rPr>
        <w:t>具体要求见2017版《内蒙古自治区建设工程费用定额》</w:t>
      </w:r>
      <w:r>
        <w:rPr>
          <w:rFonts w:hint="eastAsia" w:asciiTheme="majorEastAsia" w:hAnsiTheme="majorEastAsia" w:eastAsiaTheme="majorEastAsia" w:cstheme="majorEastAsia"/>
          <w:color w:val="000000"/>
          <w:kern w:val="0"/>
          <w:sz w:val="24"/>
          <w:szCs w:val="24"/>
          <w:lang w:eastAsia="zh-CN" w:bidi="ar"/>
        </w:rPr>
        <w:t>；</w:t>
      </w:r>
    </w:p>
    <w:p w14:paraId="3A9FE7B8">
      <w:pPr>
        <w:keepNext w:val="0"/>
        <w:keepLines w:val="0"/>
        <w:pageBreakBefore w:val="0"/>
        <w:widowControl/>
        <w:kinsoku/>
        <w:wordWrap/>
        <w:overflowPunct/>
        <w:topLinePunct w:val="0"/>
        <w:autoSpaceDE/>
        <w:autoSpaceDN/>
        <w:bidi w:val="0"/>
        <w:adjustRightInd/>
        <w:snapToGrid/>
        <w:spacing w:line="520" w:lineRule="exact"/>
        <w:ind w:firstLine="491" w:firstLineChars="205"/>
        <w:jc w:val="left"/>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4、人工费调整执行《内蒙古自治区住房和城乡建设厅关于调整内蒙古自治区建设工程现行预算定额人工费的通知》（内建标</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val="en-US" w:eastAsia="zh-CN"/>
        </w:rPr>
        <w:t>2021</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val="en-US" w:eastAsia="zh-CN"/>
        </w:rPr>
        <w:t>148号）；</w:t>
      </w:r>
    </w:p>
    <w:p w14:paraId="12A2C15F">
      <w:pPr>
        <w:spacing w:line="480" w:lineRule="auto"/>
        <w:rPr>
          <w:rFonts w:hint="eastAsia"/>
          <w:b/>
          <w:bCs/>
          <w:sz w:val="24"/>
          <w:szCs w:val="24"/>
          <w:lang w:val="en-US" w:eastAsia="zh-CN"/>
        </w:rPr>
      </w:pPr>
      <w:r>
        <w:rPr>
          <w:rFonts w:hint="eastAsia" w:asciiTheme="majorEastAsia" w:hAnsiTheme="majorEastAsia" w:eastAsiaTheme="majorEastAsia" w:cstheme="majorEastAsia"/>
          <w:sz w:val="24"/>
          <w:szCs w:val="24"/>
          <w:lang w:val="en-US" w:eastAsia="zh-CN"/>
        </w:rPr>
        <w:t xml:space="preserve">    5、</w:t>
      </w:r>
      <w:r>
        <w:rPr>
          <w:rFonts w:hint="eastAsia" w:asciiTheme="minorEastAsia" w:hAnsiTheme="minorEastAsia" w:eastAsiaTheme="minorEastAsia" w:cstheme="minorEastAsia"/>
          <w:b w:val="0"/>
          <w:i w:val="0"/>
          <w:caps w:val="0"/>
          <w:color w:val="000000"/>
          <w:spacing w:val="0"/>
          <w:kern w:val="0"/>
          <w:sz w:val="24"/>
          <w:szCs w:val="24"/>
          <w:shd w:val="clear" w:fill="FFFFFF"/>
          <w:lang w:val="en-US" w:eastAsia="zh-CN" w:bidi="ar"/>
        </w:rPr>
        <w:t>本工程无材料暂估价。</w:t>
      </w:r>
    </w:p>
    <w:p w14:paraId="0F6D07EB">
      <w:pPr>
        <w:keepNext w:val="0"/>
        <w:keepLines w:val="0"/>
        <w:pageBreakBefore w:val="0"/>
        <w:kinsoku/>
        <w:wordWrap/>
        <w:overflowPunct/>
        <w:topLinePunct w:val="0"/>
        <w:autoSpaceDE/>
        <w:autoSpaceDN/>
        <w:bidi w:val="0"/>
        <w:adjustRightInd/>
        <w:snapToGrid/>
        <w:spacing w:line="520" w:lineRule="exact"/>
        <w:ind w:firstLine="480"/>
        <w:textAlignment w:val="auto"/>
        <w:rPr>
          <w:rFonts w:hint="default" w:eastAsia="宋体"/>
          <w:b/>
          <w:bCs/>
          <w:sz w:val="24"/>
          <w:szCs w:val="24"/>
          <w:lang w:val="en-US" w:eastAsia="zh-CN"/>
        </w:rPr>
      </w:pPr>
      <w:r>
        <w:rPr>
          <w:rFonts w:hint="eastAsia"/>
          <w:b/>
          <w:bCs/>
          <w:sz w:val="24"/>
          <w:szCs w:val="24"/>
          <w:lang w:val="en-US" w:eastAsia="zh-CN"/>
        </w:rPr>
        <w:t>五、其他说明</w:t>
      </w:r>
    </w:p>
    <w:p w14:paraId="0BFA575F">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rPr>
        <w:t>本工程</w:t>
      </w:r>
      <w:r>
        <w:rPr>
          <w:rFonts w:hint="eastAsia" w:asciiTheme="majorEastAsia" w:hAnsiTheme="majorEastAsia" w:eastAsiaTheme="majorEastAsia" w:cstheme="majorEastAsia"/>
          <w:sz w:val="24"/>
          <w:szCs w:val="24"/>
          <w:lang w:val="en-US" w:eastAsia="zh-CN"/>
        </w:rPr>
        <w:t>控制价金额1738551元，其中暂列金54891（含税）</w:t>
      </w:r>
      <w:r>
        <w:rPr>
          <w:rFonts w:hint="eastAsia" w:asciiTheme="majorEastAsia" w:hAnsiTheme="majorEastAsia" w:eastAsiaTheme="majorEastAsia" w:cstheme="majorEastAsia"/>
          <w:sz w:val="24"/>
          <w:szCs w:val="24"/>
          <w:lang w:eastAsia="zh-CN"/>
        </w:rPr>
        <w:t>。</w:t>
      </w:r>
      <w:bookmarkStart w:id="0" w:name="_GoBack"/>
      <w:bookmarkEnd w:id="0"/>
    </w:p>
    <w:p w14:paraId="7110208A">
      <w:pPr>
        <w:keepNext w:val="0"/>
        <w:keepLines w:val="0"/>
        <w:pageBreakBefore w:val="0"/>
        <w:kinsoku/>
        <w:wordWrap/>
        <w:overflowPunct/>
        <w:topLinePunct w:val="0"/>
        <w:autoSpaceDE/>
        <w:autoSpaceDN/>
        <w:bidi w:val="0"/>
        <w:adjustRightInd/>
        <w:snapToGrid/>
        <w:spacing w:line="520" w:lineRule="exact"/>
        <w:textAlignment w:val="auto"/>
        <w:rPr>
          <w:rFonts w:hint="eastAsia" w:asciiTheme="majorEastAsia" w:hAnsiTheme="majorEastAsia" w:eastAsiaTheme="majorEastAsia" w:cstheme="majorEastAsia"/>
          <w:sz w:val="24"/>
          <w:szCs w:val="24"/>
        </w:rPr>
      </w:pPr>
    </w:p>
    <w:p w14:paraId="40FEB019">
      <w:pPr>
        <w:keepNext w:val="0"/>
        <w:keepLines w:val="0"/>
        <w:pageBreakBefore w:val="0"/>
        <w:kinsoku/>
        <w:wordWrap/>
        <w:overflowPunct/>
        <w:topLinePunct w:val="0"/>
        <w:autoSpaceDE/>
        <w:autoSpaceDN/>
        <w:bidi w:val="0"/>
        <w:adjustRightInd/>
        <w:snapToGrid/>
        <w:spacing w:line="640" w:lineRule="exact"/>
        <w:textAlignment w:val="auto"/>
        <w:rPr>
          <w:rFonts w:hint="eastAsia" w:asciiTheme="majorEastAsia" w:hAnsiTheme="majorEastAsia" w:eastAsiaTheme="majorEastAsia" w:cstheme="majorEastAsia"/>
          <w:b/>
          <w:sz w:val="24"/>
          <w:szCs w:val="24"/>
        </w:rPr>
      </w:pPr>
    </w:p>
    <w:sectPr>
      <w:headerReference r:id="rId3" w:type="default"/>
      <w:footerReference r:id="rId4" w:type="default"/>
      <w:pgSz w:w="11906" w:h="16838"/>
      <w:pgMar w:top="1723" w:right="1576" w:bottom="1440" w:left="1576"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E9041">
    <w:pPr>
      <w:pStyle w:val="3"/>
      <w:rPr>
        <w:rFonts w:hint="eastAsia"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A1127F">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4AA1127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50A6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5MjQwZjI3NTQ5NDJjODY4NjZiOTgyZjU4OTMwZTAifQ=="/>
  </w:docVars>
  <w:rsids>
    <w:rsidRoot w:val="00F110D6"/>
    <w:rsid w:val="003C09CD"/>
    <w:rsid w:val="006A6008"/>
    <w:rsid w:val="008B317E"/>
    <w:rsid w:val="00D52213"/>
    <w:rsid w:val="00F110D6"/>
    <w:rsid w:val="01FB7A09"/>
    <w:rsid w:val="072A546F"/>
    <w:rsid w:val="0C8374E5"/>
    <w:rsid w:val="0E1C5C40"/>
    <w:rsid w:val="119C0EA2"/>
    <w:rsid w:val="12FA2E62"/>
    <w:rsid w:val="148915D6"/>
    <w:rsid w:val="17471E70"/>
    <w:rsid w:val="17B77C73"/>
    <w:rsid w:val="1D60044B"/>
    <w:rsid w:val="27EE1C84"/>
    <w:rsid w:val="28A70998"/>
    <w:rsid w:val="2BC002FE"/>
    <w:rsid w:val="30A1544B"/>
    <w:rsid w:val="30AD440B"/>
    <w:rsid w:val="32521DBF"/>
    <w:rsid w:val="34910637"/>
    <w:rsid w:val="3E7906E8"/>
    <w:rsid w:val="44C3604A"/>
    <w:rsid w:val="54290972"/>
    <w:rsid w:val="545411BD"/>
    <w:rsid w:val="54B4085A"/>
    <w:rsid w:val="5C0376ED"/>
    <w:rsid w:val="5DD11006"/>
    <w:rsid w:val="618822F6"/>
    <w:rsid w:val="634F2524"/>
    <w:rsid w:val="66240220"/>
    <w:rsid w:val="684F258B"/>
    <w:rsid w:val="6C5320AB"/>
    <w:rsid w:val="788366C6"/>
    <w:rsid w:val="7DC9667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autoRedefine/>
    <w:qFormat/>
    <w:locked/>
    <w:uiPriority w:val="1"/>
    <w:pPr>
      <w:spacing w:before="62"/>
      <w:ind w:left="913"/>
      <w:outlineLvl w:val="4"/>
    </w:pPr>
    <w:rPr>
      <w:rFonts w:ascii="黑体" w:hAnsi="黑体" w:eastAsia="黑体" w:cs="黑体"/>
      <w:sz w:val="28"/>
      <w:szCs w:val="28"/>
      <w:lang w:val="zh-CN" w:eastAsia="zh-CN" w:bidi="zh-CN"/>
    </w:rPr>
  </w:style>
  <w:style w:type="character" w:default="1" w:styleId="7">
    <w:name w:val="Default Paragraph Font"/>
    <w:semiHidden/>
    <w:qFormat/>
    <w:uiPriority w:val="99"/>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autoRedefine/>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Pages>
  <Words>589</Words>
  <Characters>643</Characters>
  <Lines>0</Lines>
  <Paragraphs>0</Paragraphs>
  <TotalTime>0</TotalTime>
  <ScaleCrop>false</ScaleCrop>
  <LinksUpToDate>false</LinksUpToDate>
  <CharactersWithSpaces>655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2023-03-14T03:29:00Z</dcterms:created>
  <dc:creator>ADMIN</dc:creator>
  <cp:lastModifiedBy>谁能懂我</cp:lastModifiedBy>
  <cp:lastPrinted>2024-07-23T07:15:00Z</cp:lastPrinted>
  <dcterms:modified xsi:type="dcterms:W3CDTF">2024-10-22T06:46:09Z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8FFA6076C6504DEEBF8191C12F39E857_13</vt:lpwstr>
  </property>
</Properties>
</file>