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240" w:lineRule="auto"/>
        <w:jc w:val="center"/>
        <w:rPr>
          <w:rFonts w:asciiTheme="majorEastAsia" w:hAnsiTheme="majorEastAsia" w:eastAsiaTheme="majorEastAsia"/>
          <w:b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sz w:val="72"/>
          <w:szCs w:val="72"/>
        </w:rPr>
        <w:t>内蒙古工业大学</w:t>
      </w:r>
    </w:p>
    <w:p>
      <w:pPr>
        <w:spacing w:line="240" w:lineRule="auto"/>
        <w:jc w:val="center"/>
        <w:rPr>
          <w:rFonts w:asciiTheme="majorEastAsia" w:hAnsiTheme="majorEastAsia" w:eastAsiaTheme="majorEastAsia"/>
          <w:b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sz w:val="72"/>
          <w:szCs w:val="72"/>
        </w:rPr>
        <w:t>货 物 采 购 合 同</w:t>
      </w:r>
    </w:p>
    <w:p>
      <w:pPr>
        <w:jc w:val="center"/>
        <w:rPr>
          <w:rFonts w:asciiTheme="majorEastAsia" w:hAnsiTheme="majorEastAsia" w:eastAsiaTheme="majorEastAsia"/>
          <w:b/>
          <w:bCs/>
          <w:sz w:val="72"/>
          <w:szCs w:val="72"/>
        </w:rPr>
      </w:pPr>
    </w:p>
    <w:p>
      <w:pPr>
        <w:spacing w:line="340" w:lineRule="exact"/>
        <w:ind w:right="42" w:rightChars="15" w:firstLine="482" w:firstLineChars="150"/>
        <w:outlineLvl w:val="0"/>
        <w:rPr>
          <w:rFonts w:asciiTheme="majorEastAsia" w:hAnsiTheme="majorEastAsia" w:eastAsiaTheme="majorEastAsia"/>
          <w:b/>
          <w:bCs/>
          <w:sz w:val="32"/>
        </w:rPr>
      </w:pPr>
    </w:p>
    <w:p>
      <w:pPr>
        <w:spacing w:line="340" w:lineRule="exact"/>
        <w:ind w:right="42" w:rightChars="15" w:firstLine="482" w:firstLineChars="150"/>
        <w:jc w:val="left"/>
        <w:outlineLvl w:val="0"/>
        <w:rPr>
          <w:rFonts w:cs="黑体" w:asciiTheme="majorEastAsia" w:hAnsiTheme="majorEastAsia" w:eastAsiaTheme="majorEastAsia"/>
          <w:b/>
          <w:bCs/>
          <w:sz w:val="32"/>
          <w:szCs w:val="32"/>
        </w:rPr>
      </w:pPr>
    </w:p>
    <w:p>
      <w:pPr>
        <w:spacing w:line="240" w:lineRule="auto"/>
        <w:ind w:firstLine="347" w:firstLineChars="96"/>
        <w:jc w:val="left"/>
        <w:rPr>
          <w:rFonts w:hint="default" w:cs="黑体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cs="黑体" w:asciiTheme="majorEastAsia" w:hAnsiTheme="majorEastAsia" w:eastAsiaTheme="majorEastAsia"/>
          <w:b/>
          <w:sz w:val="36"/>
          <w:szCs w:val="36"/>
        </w:rPr>
        <w:t>合同名称：</w:t>
      </w:r>
      <w:r>
        <w:rPr>
          <w:rFonts w:hint="eastAsia" w:cs="黑体" w:asciiTheme="majorEastAsia" w:hAnsiTheme="majorEastAsia" w:eastAsiaTheme="majorEastAsia"/>
          <w:b/>
          <w:sz w:val="36"/>
          <w:szCs w:val="36"/>
          <w:u w:val="single"/>
          <w:lang w:val="en-US" w:eastAsia="zh-CN"/>
        </w:rPr>
        <w:t xml:space="preserve">                                </w:t>
      </w:r>
    </w:p>
    <w:p>
      <w:pPr>
        <w:spacing w:line="240" w:lineRule="auto"/>
        <w:ind w:firstLine="347" w:firstLineChars="96"/>
        <w:jc w:val="left"/>
        <w:rPr>
          <w:rFonts w:hint="default" w:cs="黑体" w:asciiTheme="majorEastAsia" w:hAnsiTheme="majorEastAsia" w:eastAsiaTheme="majorEastAsia"/>
          <w:b/>
          <w:sz w:val="36"/>
          <w:szCs w:val="36"/>
          <w:u w:val="single"/>
          <w:lang w:val="en-US" w:eastAsia="zh-CN"/>
        </w:rPr>
      </w:pPr>
      <w:r>
        <w:rPr>
          <w:rFonts w:hint="eastAsia" w:cs="黑体" w:asciiTheme="majorEastAsia" w:hAnsiTheme="majorEastAsia" w:eastAsiaTheme="majorEastAsia"/>
          <w:b/>
          <w:sz w:val="36"/>
          <w:szCs w:val="36"/>
        </w:rPr>
        <w:t>合同编号：</w:t>
      </w:r>
      <w:r>
        <w:rPr>
          <w:rFonts w:hint="eastAsia" w:cs="黑体" w:asciiTheme="majorEastAsia" w:hAnsiTheme="majorEastAsia" w:eastAsiaTheme="majorEastAsia"/>
          <w:b/>
          <w:sz w:val="36"/>
          <w:szCs w:val="36"/>
          <w:u w:val="single"/>
          <w:lang w:val="en-US" w:eastAsia="zh-CN"/>
        </w:rPr>
        <w:t xml:space="preserve">                        </w:t>
      </w:r>
    </w:p>
    <w:p>
      <w:pPr>
        <w:spacing w:line="240" w:lineRule="auto"/>
        <w:ind w:firstLine="347" w:firstLineChars="96"/>
        <w:jc w:val="left"/>
        <w:rPr>
          <w:rFonts w:cs="黑体" w:asciiTheme="majorEastAsia" w:hAnsiTheme="majorEastAsia" w:eastAsiaTheme="majorEastAsia"/>
          <w:b/>
          <w:color w:val="FF0000"/>
          <w:sz w:val="36"/>
          <w:szCs w:val="36"/>
        </w:rPr>
      </w:pPr>
      <w:r>
        <w:rPr>
          <w:rFonts w:hint="eastAsia" w:cs="黑体" w:asciiTheme="majorEastAsia" w:hAnsiTheme="majorEastAsia" w:eastAsiaTheme="majorEastAsia"/>
          <w:b/>
          <w:sz w:val="36"/>
          <w:szCs w:val="36"/>
        </w:rPr>
        <w:t>计划</w:t>
      </w:r>
      <w:r>
        <w:rPr>
          <w:rFonts w:cs="黑体" w:asciiTheme="majorEastAsia" w:hAnsiTheme="majorEastAsia" w:eastAsiaTheme="majorEastAsia"/>
          <w:b/>
          <w:sz w:val="36"/>
          <w:szCs w:val="36"/>
        </w:rPr>
        <w:t>备案</w:t>
      </w:r>
      <w:r>
        <w:rPr>
          <w:rFonts w:hint="eastAsia" w:cs="黑体" w:asciiTheme="majorEastAsia" w:hAnsiTheme="majorEastAsia" w:eastAsiaTheme="majorEastAsia"/>
          <w:b/>
          <w:sz w:val="36"/>
          <w:szCs w:val="36"/>
        </w:rPr>
        <w:t>/核准书编号：</w:t>
      </w:r>
      <w:r>
        <w:rPr>
          <w:rFonts w:hint="eastAsia" w:cs="黑体" w:asciiTheme="majorEastAsia" w:hAnsiTheme="majorEastAsia" w:eastAsiaTheme="majorEastAsia"/>
          <w:b/>
          <w:kern w:val="0"/>
          <w:sz w:val="36"/>
          <w:szCs w:val="36"/>
        </w:rPr>
        <w:t>项目流水号</w:t>
      </w:r>
      <w:r>
        <w:rPr>
          <w:rFonts w:cs="黑体" w:asciiTheme="majorEastAsia" w:hAnsiTheme="majorEastAsia" w:eastAsiaTheme="majorEastAsia"/>
          <w:b/>
          <w:sz w:val="36"/>
          <w:szCs w:val="36"/>
          <w:u w:val="single"/>
        </w:rPr>
        <w:t>/</w:t>
      </w:r>
      <w:r>
        <w:rPr>
          <w:rFonts w:hint="eastAsia" w:cs="黑体" w:asciiTheme="majorEastAsia" w:hAnsiTheme="majorEastAsia" w:eastAsiaTheme="majorEastAsia"/>
          <w:b/>
          <w:kern w:val="0"/>
          <w:sz w:val="36"/>
          <w:szCs w:val="36"/>
        </w:rPr>
        <w:t>号</w:t>
      </w:r>
    </w:p>
    <w:p>
      <w:pPr>
        <w:spacing w:line="240" w:lineRule="auto"/>
        <w:ind w:firstLine="422" w:firstLineChars="96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422" w:firstLineChars="96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422" w:firstLineChars="96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422" w:firstLineChars="96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347" w:firstLineChars="96"/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ind w:firstLine="347" w:firstLineChars="96"/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ind w:firstLine="347" w:firstLineChars="96"/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ind w:firstLine="347" w:firstLineChars="96"/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ind w:firstLine="1431" w:firstLineChars="396"/>
        <w:rPr>
          <w:rFonts w:ascii="方正小标宋简体" w:hAnsi="楷体" w:eastAsia="方正小标宋简体"/>
          <w:b/>
          <w:color w:val="FF000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 xml:space="preserve">合同签订日期： </w:t>
      </w:r>
      <w:r>
        <w:rPr>
          <w:rFonts w:cs="黑体" w:asciiTheme="majorEastAsia" w:hAnsiTheme="majorEastAsia" w:eastAsiaTheme="majorEastAsia"/>
          <w:b/>
          <w:sz w:val="36"/>
          <w:szCs w:val="36"/>
          <w:u w:val="single"/>
        </w:rPr>
        <w:t>/</w:t>
      </w:r>
    </w:p>
    <w:p>
      <w:pPr>
        <w:widowControl/>
        <w:spacing w:line="240" w:lineRule="auto"/>
        <w:jc w:val="left"/>
        <w:rPr>
          <w:rFonts w:asciiTheme="majorEastAsia" w:hAnsiTheme="majorEastAsia" w:eastAsiaTheme="majorEastAsia"/>
          <w:sz w:val="30"/>
          <w:szCs w:val="30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418" w:right="1247" w:bottom="1134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default" w:asciiTheme="majorEastAsia" w:hAnsiTheme="majorEastAsia" w:eastAsiaTheme="majorEastAsia"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合 同</w:t>
      </w:r>
      <w:r>
        <w:rPr>
          <w:rFonts w:asciiTheme="majorEastAsia" w:hAnsiTheme="majorEastAsia" w:eastAsiaTheme="majorEastAsia"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sz w:val="30"/>
          <w:szCs w:val="30"/>
        </w:rPr>
        <w:t>名</w:t>
      </w:r>
      <w:r>
        <w:rPr>
          <w:rFonts w:asciiTheme="majorEastAsia" w:hAnsiTheme="majorEastAsia" w:eastAsiaTheme="majorEastAsia"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sz w:val="30"/>
          <w:szCs w:val="30"/>
        </w:rPr>
        <w:t>称：</w:t>
      </w:r>
      <w:r>
        <w:rPr>
          <w:rFonts w:hint="eastAsia" w:asciiTheme="majorEastAsia" w:hAnsiTheme="majorEastAsia" w:eastAsiaTheme="majorEastAsia"/>
          <w:sz w:val="30"/>
          <w:szCs w:val="30"/>
          <w:u w:val="single"/>
          <w:lang w:val="en-US" w:eastAsia="zh-CN"/>
        </w:rPr>
        <w:t xml:space="preserve">                                       </w:t>
      </w:r>
    </w:p>
    <w:p>
      <w:pPr>
        <w:jc w:val="left"/>
        <w:rPr>
          <w:rFonts w:hint="default" w:asciiTheme="majorEastAsia" w:hAnsiTheme="majorEastAsia" w:eastAsia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合 同</w:t>
      </w:r>
      <w:r>
        <w:rPr>
          <w:rFonts w:asciiTheme="majorEastAsia" w:hAnsiTheme="majorEastAsia" w:eastAsiaTheme="majorEastAsia"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sz w:val="30"/>
          <w:szCs w:val="30"/>
        </w:rPr>
        <w:t>编</w:t>
      </w:r>
      <w:r>
        <w:rPr>
          <w:rFonts w:asciiTheme="majorEastAsia" w:hAnsiTheme="majorEastAsia" w:eastAsiaTheme="majorEastAsia"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sz w:val="30"/>
          <w:szCs w:val="30"/>
        </w:rPr>
        <w:t>号：</w:t>
      </w:r>
      <w:r>
        <w:rPr>
          <w:rFonts w:hint="eastAsia" w:asciiTheme="majorEastAsia" w:hAnsiTheme="majorEastAsia" w:eastAsiaTheme="majorEastAsia"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甲方（采</w:t>
      </w:r>
      <w:r>
        <w:rPr>
          <w:rFonts w:asciiTheme="majorEastAsia" w:hAnsiTheme="majorEastAsia" w:eastAsiaTheme="majorEastAsia"/>
          <w:sz w:val="30"/>
          <w:szCs w:val="30"/>
        </w:rPr>
        <w:t xml:space="preserve"> 购 人）：内蒙古工业大学 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</w:t>
      </w:r>
    </w:p>
    <w:p>
      <w:pPr>
        <w:rPr>
          <w:rFonts w:asciiTheme="majorEastAsia" w:hAnsiTheme="majorEastAsia" w:eastAsiaTheme="majorEastAsia"/>
          <w:sz w:val="30"/>
          <w:szCs w:val="30"/>
          <w:u w:val="single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乙方（供 应 商）：</w:t>
      </w:r>
      <w:r>
        <w:rPr>
          <w:rFonts w:hint="eastAsia" w:asciiTheme="majorEastAsia" w:hAnsiTheme="majorEastAsia" w:eastAsiaTheme="majorEastAsia"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合同签订地点：内蒙古工业大学招标采购中心</w:t>
      </w:r>
    </w:p>
    <w:p>
      <w:pPr>
        <w:pStyle w:val="2"/>
        <w:ind w:firstLine="555"/>
        <w:rPr>
          <w:rFonts w:ascii="仿宋" w:hAnsi="仿宋" w:eastAsia="仿宋" w:cstheme="majorBidi"/>
          <w:bCs/>
          <w:szCs w:val="32"/>
        </w:rPr>
      </w:pPr>
      <w:r>
        <w:rPr>
          <w:rFonts w:ascii="仿宋" w:hAnsi="仿宋" w:eastAsia="仿宋" w:cstheme="majorBidi"/>
          <w:bCs/>
          <w:szCs w:val="32"/>
        </w:rPr>
        <w:t>内蒙古工业大学委托</w:t>
      </w:r>
      <w:r>
        <w:rPr>
          <w:rFonts w:ascii="仿宋" w:hAnsi="仿宋" w:eastAsia="仿宋" w:cs="Bookman Old Style"/>
          <w:szCs w:val="28"/>
          <w:u w:val="single"/>
        </w:rPr>
        <w:t>内蒙古佳世达工程项目管理有限公司</w:t>
      </w:r>
      <w:r>
        <w:rPr>
          <w:rFonts w:hint="eastAsia" w:ascii="仿宋" w:hAnsi="仿宋" w:eastAsia="仿宋" w:cstheme="majorBidi"/>
          <w:bCs/>
          <w:szCs w:val="32"/>
        </w:rPr>
        <w:t>代理机构，</w:t>
      </w:r>
      <w:r>
        <w:rPr>
          <w:rFonts w:ascii="仿宋" w:hAnsi="仿宋" w:eastAsia="仿宋" w:cstheme="majorBidi"/>
          <w:bCs/>
          <w:szCs w:val="32"/>
        </w:rPr>
        <w:t>采用</w:t>
      </w:r>
      <w:r>
        <w:rPr>
          <w:rFonts w:ascii="仿宋" w:hAnsi="仿宋" w:eastAsia="仿宋" w:cs="Bookman Old Style"/>
          <w:szCs w:val="28"/>
          <w:u w:val="single"/>
        </w:rPr>
        <w:t>竞争性磋商</w:t>
      </w:r>
      <w:r>
        <w:rPr>
          <w:rFonts w:ascii="仿宋" w:hAnsi="仿宋" w:eastAsia="仿宋" w:cstheme="majorBidi"/>
          <w:bCs/>
          <w:szCs w:val="32"/>
        </w:rPr>
        <w:t>方式</w:t>
      </w:r>
      <w:r>
        <w:rPr>
          <w:rFonts w:hint="eastAsia" w:ascii="仿宋" w:hAnsi="仿宋" w:eastAsia="仿宋" w:cstheme="majorBidi"/>
          <w:bCs/>
          <w:szCs w:val="32"/>
        </w:rPr>
        <w:t>实施了本项目的</w:t>
      </w:r>
      <w:r>
        <w:rPr>
          <w:rFonts w:ascii="仿宋" w:hAnsi="仿宋" w:eastAsia="仿宋" w:cstheme="majorBidi"/>
          <w:bCs/>
          <w:szCs w:val="32"/>
        </w:rPr>
        <w:t>采购</w:t>
      </w:r>
      <w:r>
        <w:rPr>
          <w:rFonts w:hint="eastAsia" w:ascii="仿宋" w:hAnsi="仿宋" w:eastAsia="仿宋" w:cstheme="majorBidi"/>
          <w:bCs/>
          <w:szCs w:val="32"/>
        </w:rPr>
        <w:t>。</w:t>
      </w:r>
    </w:p>
    <w:p>
      <w:pPr>
        <w:pStyle w:val="3"/>
        <w:numPr>
          <w:ilvl w:val="0"/>
          <w:numId w:val="0"/>
        </w:numPr>
        <w:ind w:firstLine="565" w:firstLineChars="201"/>
        <w:rPr>
          <w:rFonts w:ascii="仿宋" w:hAnsi="仿宋" w:cstheme="majorBidi"/>
          <w:szCs w:val="32"/>
        </w:rPr>
      </w:pPr>
      <w:r>
        <w:rPr>
          <w:rFonts w:hint="eastAsia" w:ascii="仿宋" w:hAnsi="仿宋" w:cstheme="majorBidi"/>
          <w:szCs w:val="32"/>
        </w:rPr>
        <w:t>根据《中华人民共和国政府采购法》及</w:t>
      </w:r>
      <w:r>
        <w:rPr>
          <w:rFonts w:ascii="仿宋" w:hAnsi="仿宋" w:cstheme="majorBidi"/>
          <w:szCs w:val="32"/>
        </w:rPr>
        <w:t>《</w:t>
      </w:r>
      <w:r>
        <w:rPr>
          <w:rFonts w:hint="eastAsia" w:ascii="仿宋" w:hAnsi="仿宋" w:cstheme="majorBidi"/>
          <w:szCs w:val="32"/>
        </w:rPr>
        <w:t>中华人民</w:t>
      </w:r>
      <w:r>
        <w:rPr>
          <w:rFonts w:ascii="仿宋" w:hAnsi="仿宋" w:cstheme="majorBidi"/>
          <w:szCs w:val="32"/>
        </w:rPr>
        <w:t>共和国</w:t>
      </w:r>
      <w:r>
        <w:rPr>
          <w:rFonts w:hint="eastAsia" w:ascii="仿宋" w:hAnsi="仿宋" w:cstheme="majorBidi"/>
          <w:szCs w:val="32"/>
        </w:rPr>
        <w:t>民法典</w:t>
      </w:r>
      <w:r>
        <w:rPr>
          <w:rFonts w:ascii="仿宋" w:hAnsi="仿宋" w:cstheme="majorBidi"/>
          <w:szCs w:val="32"/>
        </w:rPr>
        <w:t>》</w:t>
      </w:r>
      <w:r>
        <w:rPr>
          <w:rFonts w:hint="eastAsia" w:ascii="仿宋" w:hAnsi="仿宋" w:cstheme="majorBidi"/>
          <w:szCs w:val="32"/>
        </w:rPr>
        <w:t>等相关法律法规，按照本项目采购文件的要求和中标人投标文件的约定，为保护甲乙双方合法权益，签订本采购合同。</w:t>
      </w:r>
    </w:p>
    <w:p>
      <w:pPr>
        <w:pStyle w:val="2"/>
        <w:ind w:firstLine="555"/>
        <w:rPr>
          <w:rFonts w:ascii="仿宋" w:hAnsi="仿宋" w:eastAsia="仿宋" w:cs="Bookman Old Style"/>
          <w:szCs w:val="28"/>
        </w:rPr>
      </w:pPr>
    </w:p>
    <w:p>
      <w:pPr>
        <w:pStyle w:val="3"/>
        <w:ind w:firstLine="562"/>
        <w:rPr>
          <w:rFonts w:ascii="仿宋" w:hAnsi="仿宋"/>
          <w:szCs w:val="28"/>
        </w:rPr>
      </w:pPr>
      <w:r>
        <w:rPr>
          <w:rFonts w:hint="eastAsia" w:ascii="仿宋" w:hAnsi="仿宋"/>
          <w:szCs w:val="28"/>
        </w:rPr>
        <w:t>合同文件的组成部分</w:t>
      </w:r>
    </w:p>
    <w:p>
      <w:pPr>
        <w:autoSpaceDE w:val="0"/>
        <w:autoSpaceDN w:val="0"/>
        <w:adjustRightInd w:val="0"/>
        <w:snapToGrid w:val="0"/>
        <w:spacing w:line="480" w:lineRule="exact"/>
        <w:ind w:firstLine="560" w:firstLineChars="200"/>
        <w:jc w:val="left"/>
        <w:rPr>
          <w:rFonts w:ascii="仿宋" w:hAnsi="仿宋" w:eastAsia="仿宋" w:cs="MT Extra"/>
          <w:szCs w:val="28"/>
        </w:rPr>
      </w:pPr>
      <w:r>
        <w:rPr>
          <w:rFonts w:hint="eastAsia" w:ascii="仿宋" w:hAnsi="仿宋" w:eastAsia="仿宋" w:cs="MT Extra"/>
          <w:szCs w:val="28"/>
        </w:rPr>
        <w:t>下列文件、资料属于本合同的组成部分：</w:t>
      </w:r>
    </w:p>
    <w:p>
      <w:pPr>
        <w:pStyle w:val="4"/>
      </w:pPr>
      <w:r>
        <w:rPr>
          <w:rFonts w:hint="eastAsia"/>
        </w:rPr>
        <w:t>采购文件；</w:t>
      </w:r>
    </w:p>
    <w:p>
      <w:pPr>
        <w:pStyle w:val="4"/>
      </w:pPr>
      <w:r>
        <w:rPr>
          <w:rFonts w:hint="eastAsia"/>
        </w:rPr>
        <w:t>中标人投标文件；</w:t>
      </w:r>
    </w:p>
    <w:p>
      <w:pPr>
        <w:pStyle w:val="4"/>
      </w:pPr>
      <w:r>
        <w:rPr>
          <w:rFonts w:hint="eastAsia"/>
        </w:rPr>
        <w:t>在采购活动中，评审委员会与中标人议定的以文字记述的补充条款或承诺。</w:t>
      </w:r>
    </w:p>
    <w:p>
      <w:pPr>
        <w:pStyle w:val="3"/>
        <w:ind w:firstLine="562"/>
        <w:rPr>
          <w:rFonts w:ascii="仿宋" w:hAnsi="仿宋"/>
          <w:szCs w:val="28"/>
        </w:rPr>
      </w:pPr>
      <w:r>
        <w:rPr>
          <w:rFonts w:hint="eastAsia" w:ascii="仿宋" w:hAnsi="仿宋"/>
          <w:szCs w:val="28"/>
        </w:rPr>
        <w:t>合同金额</w:t>
      </w:r>
    </w:p>
    <w:p>
      <w:pPr>
        <w:ind w:firstLine="560" w:firstLineChars="200"/>
        <w:rPr>
          <w:rFonts w:ascii="仿宋" w:hAnsi="仿宋" w:eastAsia="仿宋" w:cs="Bookman Old Style"/>
          <w:szCs w:val="28"/>
        </w:rPr>
      </w:pPr>
      <w:r>
        <w:rPr>
          <w:rFonts w:hint="eastAsia" w:ascii="仿宋" w:hAnsi="仿宋" w:eastAsia="仿宋" w:cs="Bookman Old Style"/>
          <w:szCs w:val="28"/>
        </w:rPr>
        <w:t>合同金额（含税）：大写：</w:t>
      </w:r>
      <w:r>
        <w:rPr>
          <w:rFonts w:hint="eastAsia" w:ascii="仿宋" w:hAnsi="仿宋" w:eastAsia="仿宋" w:cs="Bookman Old Style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Bookman Old Style"/>
          <w:szCs w:val="28"/>
        </w:rPr>
        <w:t>（小写：</w:t>
      </w:r>
      <w:r>
        <w:rPr>
          <w:rFonts w:hint="eastAsia" w:ascii="仿宋" w:hAnsi="仿宋" w:eastAsia="仿宋" w:cs="Bookman Old Style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Bookman Old Style"/>
          <w:szCs w:val="28"/>
        </w:rPr>
        <w:t>元）人民币。</w:t>
      </w:r>
    </w:p>
    <w:p>
      <w:pPr>
        <w:ind w:firstLine="562" w:firstLineChars="200"/>
        <w:rPr>
          <w:rFonts w:ascii="仿宋" w:hAnsi="仿宋" w:eastAsia="仿宋" w:cs="Bookman Old Style"/>
          <w:b/>
          <w:szCs w:val="28"/>
        </w:rPr>
      </w:pPr>
    </w:p>
    <w:p>
      <w:pPr>
        <w:rPr>
          <w:rFonts w:ascii="仿宋" w:hAnsi="仿宋" w:eastAsia="仿宋" w:cs="Bookman Old Style"/>
          <w:b/>
          <w:szCs w:val="28"/>
        </w:rPr>
      </w:pPr>
      <w:r>
        <w:rPr>
          <w:rFonts w:hint="eastAsia" w:ascii="仿宋" w:hAnsi="仿宋" w:eastAsia="仿宋" w:cs="Bookman Old Style"/>
          <w:b/>
          <w:szCs w:val="28"/>
        </w:rPr>
        <w:t>采购货物名称、单价、数量、金额（含税）等：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465"/>
        <w:gridCol w:w="887"/>
        <w:gridCol w:w="1367"/>
        <w:gridCol w:w="1944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货物名称</w:t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数量</w:t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单价(元)</w:t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合计金额(元)</w:t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技术参数及质量标准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总计金额:人民币(大写)：</w:t>
            </w:r>
          </w:p>
        </w:tc>
      </w:tr>
    </w:tbl>
    <w:p>
      <w:pPr>
        <w:pStyle w:val="2"/>
        <w:spacing w:line="312" w:lineRule="exact"/>
        <w:jc w:val="center"/>
      </w:pPr>
      <w:bookmarkStart w:id="0" w:name="货物类（非自采类）合同"/>
    </w:p>
    <w:bookmarkEnd w:id="0"/>
    <w:p>
      <w:pPr>
        <w:pStyle w:val="3"/>
        <w:numPr>
          <w:ilvl w:val="255"/>
          <w:numId w:val="0"/>
        </w:numPr>
        <w:ind w:left="560" w:leftChars="200"/>
        <w:rPr>
          <w:rFonts w:ascii="仿宋" w:hAnsi="仿宋"/>
          <w:szCs w:val="28"/>
        </w:rPr>
      </w:pPr>
    </w:p>
    <w:p>
      <w:pPr>
        <w:pStyle w:val="3"/>
        <w:numPr>
          <w:ilvl w:val="255"/>
          <w:numId w:val="0"/>
        </w:numPr>
        <w:ind w:left="560" w:leftChars="200"/>
        <w:rPr>
          <w:rFonts w:ascii="仿宋" w:hAnsi="仿宋"/>
          <w:szCs w:val="28"/>
        </w:rPr>
      </w:pPr>
      <w:r>
        <w:rPr>
          <w:rFonts w:hint="eastAsia" w:ascii="仿宋" w:hAnsi="仿宋"/>
          <w:szCs w:val="28"/>
        </w:rPr>
        <w:t>三、交货时间、地点及其他要求</w:t>
      </w:r>
    </w:p>
    <w:p>
      <w:pPr>
        <w:pStyle w:val="4"/>
        <w:numPr>
          <w:ilvl w:val="0"/>
          <w:numId w:val="4"/>
        </w:numPr>
      </w:pPr>
      <w:r>
        <w:rPr>
          <w:rFonts w:hint="eastAsia"/>
        </w:rPr>
        <w:t>交货时间：合同签订后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cstheme="minorBidi"/>
          <w:bCs w:val="0"/>
          <w:szCs w:val="28"/>
          <w:u w:val="single"/>
        </w:rPr>
        <w:t>天</w:t>
      </w:r>
      <w:r>
        <w:rPr>
          <w:rFonts w:hint="eastAsia"/>
        </w:rPr>
        <w:t>内</w:t>
      </w:r>
    </w:p>
    <w:p>
      <w:pPr>
        <w:pStyle w:val="4"/>
        <w:rPr>
          <w:u w:val="single"/>
        </w:rPr>
      </w:pPr>
      <w:r>
        <w:rPr>
          <w:rFonts w:hint="eastAsia"/>
        </w:rPr>
        <w:t>交货地点：甲方指定地点</w:t>
      </w:r>
    </w:p>
    <w:p>
      <w:pPr>
        <w:pStyle w:val="4"/>
      </w:pPr>
      <w:r>
        <w:rPr>
          <w:rFonts w:hint="eastAsia"/>
        </w:rPr>
        <w:t>其他要求：</w:t>
      </w:r>
    </w:p>
    <w:p>
      <w:pPr>
        <w:pStyle w:val="5"/>
        <w:ind w:left="280" w:firstLine="560" w:firstLineChars="0"/>
      </w:pPr>
      <w:r>
        <w:rPr>
          <w:rFonts w:hint="eastAsia"/>
        </w:rPr>
        <w:t>乙方应在交货前向用户提供交货计划及安装方案；</w:t>
      </w:r>
    </w:p>
    <w:p>
      <w:pPr>
        <w:pStyle w:val="5"/>
        <w:ind w:left="280" w:firstLine="560" w:firstLineChars="0"/>
      </w:pPr>
      <w:r>
        <w:rPr>
          <w:rFonts w:hint="eastAsia"/>
        </w:rPr>
        <w:t>包装、运输、保险、</w:t>
      </w:r>
      <w:r>
        <w:t>税费</w:t>
      </w:r>
      <w:r>
        <w:rPr>
          <w:rFonts w:hint="eastAsia"/>
        </w:rPr>
        <w:t>和装卸费用，以及安装、调试和培训等费用均由乙方承担；</w:t>
      </w:r>
    </w:p>
    <w:p>
      <w:pPr>
        <w:pStyle w:val="5"/>
        <w:ind w:left="280" w:firstLine="560" w:firstLineChars="0"/>
        <w:rPr>
          <w:rFonts w:cs="Bookman Old Style"/>
        </w:rPr>
      </w:pPr>
      <w:r>
        <w:rPr>
          <w:rFonts w:hint="eastAsia" w:cs="Bookman Old Style"/>
        </w:rPr>
        <w:t>如乙方提供的货物与采购文件</w:t>
      </w:r>
      <w:r>
        <w:rPr>
          <w:rFonts w:cs="Bookman Old Style"/>
        </w:rPr>
        <w:t>、中标人投标文件</w:t>
      </w:r>
      <w:r>
        <w:rPr>
          <w:rFonts w:hint="eastAsia" w:cs="Bookman Old Style"/>
        </w:rPr>
        <w:t>规定不相符，甲方有权不予接收；</w:t>
      </w:r>
    </w:p>
    <w:p>
      <w:pPr>
        <w:pStyle w:val="5"/>
        <w:ind w:left="280" w:firstLine="560" w:firstLineChars="0"/>
        <w:rPr>
          <w:rFonts w:cs="Bookman Old Style"/>
        </w:rPr>
      </w:pPr>
      <w:r>
        <w:rPr>
          <w:rFonts w:hint="eastAsia" w:cs="Bookman Old Style"/>
        </w:rPr>
        <w:t>乙方未能按时供货，按照本合同违约责任条款作相应处理。</w:t>
      </w:r>
    </w:p>
    <w:p>
      <w:pPr>
        <w:pStyle w:val="3"/>
        <w:numPr>
          <w:ilvl w:val="255"/>
          <w:numId w:val="0"/>
        </w:numPr>
        <w:ind w:left="560" w:leftChars="200"/>
        <w:rPr>
          <w:rFonts w:ascii="仿宋" w:hAnsi="仿宋"/>
          <w:szCs w:val="28"/>
        </w:rPr>
      </w:pPr>
      <w:r>
        <w:rPr>
          <w:rFonts w:hint="eastAsia" w:ascii="仿宋" w:hAnsi="仿宋"/>
          <w:szCs w:val="28"/>
        </w:rPr>
        <w:t>四、验收</w:t>
      </w:r>
    </w:p>
    <w:p>
      <w:pPr>
        <w:ind w:firstLine="560" w:firstLineChars="200"/>
        <w:rPr>
          <w:rFonts w:ascii="仿宋" w:hAnsi="仿宋" w:eastAsia="仿宋"/>
          <w:bCs/>
          <w:szCs w:val="28"/>
        </w:rPr>
      </w:pPr>
      <w:r>
        <w:rPr>
          <w:rFonts w:hint="eastAsia" w:ascii="仿宋" w:hAnsi="仿宋" w:eastAsia="仿宋"/>
          <w:bCs/>
          <w:szCs w:val="28"/>
        </w:rPr>
        <w:t>货物</w:t>
      </w:r>
      <w:r>
        <w:rPr>
          <w:rFonts w:ascii="仿宋" w:hAnsi="仿宋" w:eastAsia="仿宋"/>
          <w:bCs/>
          <w:szCs w:val="28"/>
        </w:rPr>
        <w:t>验收执行《</w:t>
      </w:r>
      <w:r>
        <w:rPr>
          <w:rFonts w:hint="eastAsia" w:ascii="仿宋" w:hAnsi="仿宋" w:eastAsia="仿宋"/>
          <w:bCs/>
          <w:szCs w:val="28"/>
        </w:rPr>
        <w:t>内蒙古工业大学新购</w:t>
      </w:r>
      <w:r>
        <w:rPr>
          <w:rFonts w:ascii="仿宋" w:hAnsi="仿宋" w:eastAsia="仿宋"/>
          <w:bCs/>
          <w:szCs w:val="28"/>
        </w:rPr>
        <w:t>货物类</w:t>
      </w:r>
      <w:r>
        <w:rPr>
          <w:rFonts w:hint="eastAsia" w:ascii="仿宋" w:hAnsi="仿宋" w:eastAsia="仿宋"/>
          <w:szCs w:val="28"/>
        </w:rPr>
        <w:t>资产验收</w:t>
      </w:r>
      <w:r>
        <w:rPr>
          <w:rFonts w:ascii="仿宋" w:hAnsi="仿宋" w:eastAsia="仿宋"/>
          <w:szCs w:val="28"/>
        </w:rPr>
        <w:t>管理办法</w:t>
      </w:r>
      <w:r>
        <w:rPr>
          <w:rFonts w:ascii="仿宋" w:hAnsi="仿宋" w:eastAsia="仿宋"/>
          <w:bCs/>
          <w:szCs w:val="28"/>
        </w:rPr>
        <w:t>》</w:t>
      </w:r>
      <w:r>
        <w:rPr>
          <w:rFonts w:hint="eastAsia" w:ascii="仿宋" w:hAnsi="仿宋" w:eastAsia="仿宋"/>
          <w:bCs/>
          <w:szCs w:val="28"/>
        </w:rPr>
        <w:t>相关</w:t>
      </w:r>
      <w:r>
        <w:rPr>
          <w:rFonts w:ascii="仿宋" w:hAnsi="仿宋" w:eastAsia="仿宋"/>
          <w:bCs/>
          <w:szCs w:val="28"/>
        </w:rPr>
        <w:t>规定</w:t>
      </w:r>
      <w:r>
        <w:rPr>
          <w:rFonts w:hint="eastAsia" w:ascii="仿宋" w:hAnsi="仿宋" w:eastAsia="仿宋"/>
          <w:bCs/>
          <w:szCs w:val="28"/>
        </w:rPr>
        <w:t>。</w:t>
      </w:r>
    </w:p>
    <w:p>
      <w:pPr>
        <w:pStyle w:val="3"/>
        <w:numPr>
          <w:ilvl w:val="255"/>
          <w:numId w:val="0"/>
        </w:numPr>
        <w:ind w:firstLine="559" w:firstLineChars="199"/>
      </w:pPr>
      <w:r>
        <w:rPr>
          <w:rFonts w:hint="eastAsia" w:ascii="仿宋" w:hAnsi="仿宋"/>
          <w:szCs w:val="28"/>
        </w:rPr>
        <w:t>五、质保期、</w:t>
      </w:r>
      <w:r>
        <w:rPr>
          <w:rFonts w:hint="eastAsia" w:ascii="仿宋" w:hAnsi="仿宋"/>
          <w:kern w:val="0"/>
          <w:szCs w:val="28"/>
        </w:rPr>
        <w:t>售后服务承诺</w:t>
      </w:r>
      <w:r>
        <w:rPr>
          <w:rFonts w:hint="eastAsia" w:ascii="仿宋" w:hAnsi="仿宋"/>
          <w:szCs w:val="28"/>
        </w:rPr>
        <w:t>、安装调试、培训等：详见中标人投标（响应）文件及补充条款和承诺。</w:t>
      </w:r>
    </w:p>
    <w:p>
      <w:pPr>
        <w:pStyle w:val="3"/>
        <w:numPr>
          <w:ilvl w:val="255"/>
          <w:numId w:val="0"/>
        </w:numPr>
        <w:ind w:left="560" w:leftChars="200"/>
        <w:rPr>
          <w:rFonts w:ascii="仿宋" w:hAnsi="仿宋"/>
          <w:szCs w:val="28"/>
        </w:rPr>
      </w:pPr>
      <w:r>
        <w:rPr>
          <w:rFonts w:hint="eastAsia" w:ascii="仿宋" w:hAnsi="仿宋"/>
          <w:szCs w:val="28"/>
        </w:rPr>
        <w:t>六、付款方式及履约保证金</w:t>
      </w:r>
    </w:p>
    <w:p>
      <w:pPr>
        <w:pStyle w:val="4"/>
        <w:numPr>
          <w:ilvl w:val="255"/>
          <w:numId w:val="0"/>
        </w:numPr>
        <w:ind w:firstLine="372" w:firstLineChars="133"/>
      </w:pPr>
      <w:r>
        <w:rPr>
          <w:rFonts w:hint="eastAsia"/>
        </w:rPr>
        <w:t>（一）甲方使用人民币结算合同款项，在货到</w:t>
      </w:r>
      <w:r>
        <w:t>安装调试</w:t>
      </w:r>
      <w:r>
        <w:rPr>
          <w:rFonts w:hint="eastAsia"/>
        </w:rPr>
        <w:t>完成且</w:t>
      </w:r>
      <w:r>
        <w:t>验收合格</w:t>
      </w:r>
      <w:r>
        <w:rPr>
          <w:rFonts w:hint="eastAsia"/>
        </w:rPr>
        <w:t>后，根据付款进度进行支付，支付</w:t>
      </w:r>
      <w:r>
        <w:t>方式</w:t>
      </w:r>
      <w:r>
        <w:rPr>
          <w:rFonts w:hint="eastAsia"/>
        </w:rPr>
        <w:t>为银行转账至合同中乙方的银行账户；</w:t>
      </w:r>
    </w:p>
    <w:p>
      <w:r>
        <w:rPr>
          <w:rFonts w:hint="eastAsia"/>
        </w:rPr>
        <w:t>支付进度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431"/>
        <w:gridCol w:w="1713"/>
        <w:gridCol w:w="1432"/>
        <w:gridCol w:w="1432"/>
        <w:gridCol w:w="1150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付款阶段</w:t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是否预付款</w:t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付款日期</w:t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付款比例</w:t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付款额</w:t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付款条件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31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总计金额:人民币(大写)：</w:t>
            </w:r>
          </w:p>
        </w:tc>
      </w:tr>
    </w:tbl>
    <w:p>
      <w:pPr>
        <w:pStyle w:val="2"/>
        <w:spacing w:line="312" w:lineRule="exact"/>
        <w:jc w:val="center"/>
      </w:pPr>
      <w:bookmarkStart w:id="1" w:name="付款方式表"/>
      <w:bookmarkEnd w:id="1"/>
    </w:p>
    <w:p>
      <w:pPr>
        <w:pStyle w:val="4"/>
        <w:numPr>
          <w:ilvl w:val="255"/>
          <w:numId w:val="0"/>
        </w:numPr>
        <w:ind w:firstLine="372" w:firstLineChars="133"/>
        <w:jc w:val="left"/>
      </w:pPr>
      <w:r>
        <w:rPr>
          <w:rFonts w:hint="eastAsia"/>
        </w:rPr>
        <w:t>（二）为更好履行合同，乙方须向甲方交纳履约保证金，金额为人民</w:t>
      </w:r>
      <w:r>
        <w:t>币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元。履约保证金的交付时间为签订合同前三日内；</w:t>
      </w:r>
    </w:p>
    <w:p>
      <w:pPr>
        <w:pStyle w:val="4"/>
        <w:numPr>
          <w:ilvl w:val="255"/>
          <w:numId w:val="0"/>
        </w:numPr>
        <w:ind w:firstLine="372" w:firstLineChars="133"/>
      </w:pPr>
      <w:r>
        <w:rPr>
          <w:rFonts w:hint="eastAsia"/>
        </w:rPr>
        <w:t>（三）在货物验收合格后，履约保证金自动转为质量保证金，质保期详见</w:t>
      </w:r>
      <w:r>
        <w:t>《</w:t>
      </w:r>
      <w:r>
        <w:rPr>
          <w:rFonts w:hint="eastAsia"/>
        </w:rPr>
        <w:t>中标（成交）</w:t>
      </w:r>
      <w:r>
        <w:t>通知书》</w:t>
      </w:r>
      <w:r>
        <w:rPr>
          <w:rFonts w:hint="eastAsia"/>
        </w:rPr>
        <w:t>。质保期满后如果无质量及服务问题，质量保证金一次性无息返还；</w:t>
      </w:r>
    </w:p>
    <w:p>
      <w:pPr>
        <w:pStyle w:val="4"/>
      </w:pPr>
      <w:r>
        <w:rPr>
          <w:rFonts w:hint="eastAsia"/>
        </w:rPr>
        <w:t>若乙方未能履行其义务，甲方有权扣罚履约保证金；</w:t>
      </w:r>
    </w:p>
    <w:p>
      <w:pPr>
        <w:pStyle w:val="4"/>
      </w:pPr>
      <w:r>
        <w:rPr>
          <w:rFonts w:hint="eastAsia"/>
        </w:rPr>
        <w:t>双方账户信息</w:t>
      </w:r>
    </w:p>
    <w:p>
      <w:pPr>
        <w:ind w:firstLine="562" w:firstLineChars="200"/>
        <w:rPr>
          <w:rFonts w:ascii="仿宋" w:hAnsi="仿宋" w:eastAsia="仿宋"/>
          <w:b/>
          <w:szCs w:val="28"/>
        </w:rPr>
      </w:pPr>
      <w:r>
        <w:rPr>
          <w:rFonts w:hint="eastAsia" w:ascii="仿宋" w:hAnsi="仿宋" w:eastAsia="仿宋"/>
          <w:b/>
          <w:szCs w:val="28"/>
        </w:rPr>
        <w:t>甲方（内蒙古工业大学）统一社会信用代码及单位账户相关信息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统一社会信用代码：121500004600293062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单 位 名 称： 内蒙古工业大学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开 户 银 行： 中国建设银行股份有限公司呼和浩特新城区支行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账       号： 1505 0170 6632 0000 0636</w:t>
      </w:r>
    </w:p>
    <w:p>
      <w:pPr>
        <w:ind w:left="748" w:leftChars="203" w:hanging="180" w:hangingChars="64"/>
        <w:rPr>
          <w:rFonts w:ascii="仿宋" w:hAnsi="仿宋" w:eastAsia="仿宋"/>
          <w:b/>
          <w:szCs w:val="28"/>
        </w:rPr>
      </w:pPr>
    </w:p>
    <w:p>
      <w:pPr>
        <w:ind w:left="748" w:leftChars="203" w:hanging="180" w:hangingChars="64"/>
        <w:rPr>
          <w:rFonts w:ascii="仿宋" w:hAnsi="仿宋" w:eastAsia="仿宋" w:cs="Bookman Old Style"/>
          <w:b/>
          <w:szCs w:val="28"/>
        </w:rPr>
      </w:pPr>
      <w:r>
        <w:rPr>
          <w:rFonts w:hint="eastAsia" w:ascii="仿宋" w:hAnsi="仿宋" w:eastAsia="仿宋"/>
          <w:b/>
          <w:szCs w:val="28"/>
        </w:rPr>
        <w:t>乙方（供应商）统一社会信用代码及单位账户相关信息</w:t>
      </w:r>
    </w:p>
    <w:p>
      <w:pPr>
        <w:ind w:firstLine="560" w:firstLineChars="200"/>
        <w:rPr>
          <w:rFonts w:hint="default" w:ascii="仿宋" w:hAnsi="仿宋" w:eastAsia="仿宋"/>
          <w:szCs w:val="28"/>
          <w:lang w:val="en-US" w:eastAsia="zh-CN"/>
        </w:rPr>
      </w:pPr>
      <w:r>
        <w:rPr>
          <w:rFonts w:hint="eastAsia" w:ascii="仿宋" w:hAnsi="仿宋" w:eastAsia="仿宋"/>
          <w:szCs w:val="28"/>
        </w:rPr>
        <w:t>统一社会信用代码：</w:t>
      </w:r>
      <w:r>
        <w:rPr>
          <w:rFonts w:hint="eastAsia" w:ascii="仿宋" w:hAnsi="仿宋" w:eastAsia="仿宋"/>
          <w:szCs w:val="28"/>
          <w:u w:val="single"/>
          <w:lang w:val="en-US" w:eastAsia="zh-CN"/>
        </w:rPr>
        <w:t xml:space="preserve">                      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单 位 名 称：</w:t>
      </w:r>
      <w:r>
        <w:rPr>
          <w:rFonts w:hint="eastAsia" w:ascii="仿宋" w:hAnsi="仿宋" w:eastAsia="仿宋"/>
          <w:szCs w:val="28"/>
          <w:u w:val="single"/>
          <w:lang w:val="en-US" w:eastAsia="zh-CN"/>
        </w:rPr>
        <w:t xml:space="preserve">                      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开 户 银 行：</w:t>
      </w:r>
      <w:r>
        <w:rPr>
          <w:rFonts w:hint="eastAsia" w:ascii="仿宋" w:hAnsi="仿宋" w:eastAsia="仿宋"/>
          <w:szCs w:val="28"/>
          <w:u w:val="single"/>
          <w:lang w:val="en-US" w:eastAsia="zh-CN"/>
        </w:rPr>
        <w:t xml:space="preserve">                      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账       号：</w:t>
      </w:r>
      <w:r>
        <w:rPr>
          <w:rFonts w:hint="eastAsia" w:ascii="仿宋" w:hAnsi="仿宋" w:eastAsia="仿宋"/>
          <w:szCs w:val="28"/>
          <w:u w:val="single"/>
          <w:lang w:val="en-US" w:eastAsia="zh-CN"/>
        </w:rPr>
        <w:t xml:space="preserve">                      </w:t>
      </w:r>
    </w:p>
    <w:p>
      <w:pPr>
        <w:pStyle w:val="3"/>
        <w:numPr>
          <w:ilvl w:val="255"/>
          <w:numId w:val="0"/>
        </w:numPr>
        <w:ind w:left="560" w:leftChars="200"/>
        <w:rPr>
          <w:rFonts w:ascii="仿宋" w:hAnsi="仿宋"/>
          <w:szCs w:val="28"/>
        </w:rPr>
      </w:pPr>
    </w:p>
    <w:p>
      <w:pPr>
        <w:pStyle w:val="3"/>
        <w:numPr>
          <w:ilvl w:val="255"/>
          <w:numId w:val="0"/>
        </w:numPr>
        <w:ind w:left="560" w:leftChars="200"/>
        <w:rPr>
          <w:rFonts w:ascii="仿宋" w:hAnsi="仿宋"/>
          <w:szCs w:val="28"/>
        </w:rPr>
      </w:pPr>
      <w:r>
        <w:rPr>
          <w:rFonts w:hint="eastAsia" w:ascii="仿宋" w:hAnsi="仿宋"/>
          <w:szCs w:val="28"/>
        </w:rPr>
        <w:t>七、</w:t>
      </w:r>
      <w:r>
        <w:rPr>
          <w:rFonts w:ascii="仿宋" w:hAnsi="仿宋"/>
          <w:szCs w:val="28"/>
        </w:rPr>
        <w:t>拒收和退货</w:t>
      </w:r>
    </w:p>
    <w:p>
      <w:pPr>
        <w:pStyle w:val="4"/>
        <w:numPr>
          <w:ilvl w:val="0"/>
          <w:numId w:val="0"/>
        </w:numPr>
        <w:ind w:firstLine="420"/>
      </w:pPr>
      <w:r>
        <w:rPr>
          <w:rFonts w:hint="eastAsia" w:cs="Bookman Old Style"/>
        </w:rPr>
        <w:t>如乙方提供的货物与采购文件</w:t>
      </w:r>
      <w:r>
        <w:rPr>
          <w:rFonts w:cs="Bookman Old Style"/>
        </w:rPr>
        <w:t>、中标人投标</w:t>
      </w:r>
      <w:r>
        <w:rPr>
          <w:rFonts w:hint="eastAsia" w:cs="Bookman Old Style"/>
        </w:rPr>
        <w:t>（响应）</w:t>
      </w:r>
      <w:r>
        <w:rPr>
          <w:rFonts w:cs="Bookman Old Style"/>
        </w:rPr>
        <w:t>文件</w:t>
      </w:r>
      <w:r>
        <w:rPr>
          <w:rFonts w:hint="eastAsia" w:cs="Bookman Old Style"/>
        </w:rPr>
        <w:t>规定不相符，</w:t>
      </w:r>
      <w:r>
        <w:t>甲方有权</w:t>
      </w:r>
      <w:r>
        <w:rPr>
          <w:rFonts w:hint="eastAsia"/>
        </w:rPr>
        <w:t>拒收和退货</w:t>
      </w:r>
      <w:r>
        <w:t>。乙方承担所有</w:t>
      </w:r>
      <w:r>
        <w:rPr>
          <w:rFonts w:hint="eastAsia"/>
        </w:rPr>
        <w:t>因此引发</w:t>
      </w:r>
      <w:r>
        <w:t>的各种费用和对甲方造成的</w:t>
      </w:r>
      <w:r>
        <w:rPr>
          <w:rFonts w:hint="eastAsia"/>
        </w:rPr>
        <w:t>经济</w:t>
      </w:r>
      <w:r>
        <w:t>损失</w:t>
      </w:r>
      <w:r>
        <w:rPr>
          <w:rFonts w:hint="eastAsia"/>
        </w:rPr>
        <w:t>，包括</w:t>
      </w:r>
      <w:r>
        <w:t>甲方因主张权利产生的律师费</w:t>
      </w:r>
      <w:r>
        <w:rPr>
          <w:rFonts w:hint="eastAsia"/>
        </w:rPr>
        <w:t>、</w:t>
      </w:r>
      <w:r>
        <w:t>交通费、鉴定费、公告费等其他费用。</w:t>
      </w:r>
    </w:p>
    <w:p>
      <w:pPr>
        <w:pStyle w:val="3"/>
        <w:numPr>
          <w:ilvl w:val="255"/>
          <w:numId w:val="0"/>
        </w:numPr>
        <w:ind w:left="560" w:leftChars="200"/>
      </w:pPr>
      <w:r>
        <w:rPr>
          <w:rFonts w:hint="eastAsia"/>
        </w:rPr>
        <w:t>八、双方的权利及义务</w:t>
      </w:r>
    </w:p>
    <w:p>
      <w:pPr>
        <w:pStyle w:val="4"/>
        <w:numPr>
          <w:ilvl w:val="0"/>
          <w:numId w:val="5"/>
        </w:numPr>
        <w:ind w:left="567" w:hanging="194"/>
      </w:pPr>
      <w:r>
        <w:rPr>
          <w:rFonts w:hint="eastAsia"/>
        </w:rPr>
        <w:t>甲方的权利和义务</w:t>
      </w:r>
    </w:p>
    <w:p>
      <w:pPr>
        <w:pStyle w:val="5"/>
        <w:numPr>
          <w:ilvl w:val="0"/>
          <w:numId w:val="6"/>
        </w:numPr>
        <w:ind w:firstLineChars="0"/>
      </w:pPr>
      <w:r>
        <w:rPr>
          <w:rFonts w:hint="eastAsia"/>
        </w:rPr>
        <w:t>甲方有权向乙方询问采购项目进展情况；</w:t>
      </w:r>
    </w:p>
    <w:p>
      <w:pPr>
        <w:pStyle w:val="5"/>
        <w:ind w:left="280" w:firstLine="560" w:firstLineChars="0"/>
      </w:pPr>
      <w:r>
        <w:rPr>
          <w:rFonts w:hint="eastAsia"/>
        </w:rPr>
        <w:t>乙方在供货过程中，甲方</w:t>
      </w:r>
      <w:r>
        <w:t>有义务</w:t>
      </w:r>
      <w:r>
        <w:rPr>
          <w:rFonts w:hint="eastAsia"/>
        </w:rPr>
        <w:t>配合。</w:t>
      </w:r>
    </w:p>
    <w:p>
      <w:pPr>
        <w:pStyle w:val="4"/>
      </w:pPr>
      <w:r>
        <w:rPr>
          <w:rFonts w:hint="eastAsia"/>
        </w:rPr>
        <w:t>乙方的权利和义务</w:t>
      </w:r>
    </w:p>
    <w:p>
      <w:pPr>
        <w:pStyle w:val="5"/>
        <w:numPr>
          <w:ilvl w:val="0"/>
          <w:numId w:val="7"/>
        </w:numPr>
        <w:ind w:firstLineChars="0"/>
      </w:pPr>
      <w:r>
        <w:rPr>
          <w:rFonts w:hint="eastAsia"/>
        </w:rPr>
        <w:t>乙方可要求甲方按本合同的约定按时足额支付相应费用；</w:t>
      </w:r>
    </w:p>
    <w:p>
      <w:pPr>
        <w:pStyle w:val="5"/>
        <w:ind w:left="280" w:firstLine="560" w:firstLineChars="0"/>
      </w:pPr>
      <w:r>
        <w:rPr>
          <w:rFonts w:hint="eastAsia"/>
        </w:rPr>
        <w:t>乙方在履行合同过程中，不得将采购项目委托给第三方</w:t>
      </w:r>
      <w:r>
        <w:t>实施</w:t>
      </w:r>
      <w:r>
        <w:rPr>
          <w:rFonts w:hint="eastAsia"/>
        </w:rPr>
        <w:t>。一经发现，甲方有权解除合同，乙方应退还甲方已付全部合同价款，并向甲方支付违约金。</w:t>
      </w:r>
    </w:p>
    <w:p>
      <w:pPr>
        <w:pStyle w:val="3"/>
        <w:numPr>
          <w:ilvl w:val="255"/>
          <w:numId w:val="0"/>
        </w:numPr>
        <w:ind w:left="560" w:leftChars="200"/>
        <w:rPr>
          <w:rFonts w:ascii="仿宋" w:hAnsi="仿宋"/>
          <w:color w:val="FF0000"/>
          <w:szCs w:val="28"/>
        </w:rPr>
      </w:pPr>
      <w:r>
        <w:rPr>
          <w:rFonts w:hint="eastAsia" w:ascii="仿宋" w:hAnsi="仿宋"/>
          <w:szCs w:val="28"/>
        </w:rPr>
        <w:t>九、</w:t>
      </w:r>
      <w:r>
        <w:rPr>
          <w:rFonts w:ascii="仿宋" w:hAnsi="仿宋"/>
          <w:szCs w:val="28"/>
        </w:rPr>
        <w:t>违约责任</w:t>
      </w:r>
    </w:p>
    <w:p>
      <w:pPr>
        <w:pStyle w:val="4"/>
        <w:numPr>
          <w:ilvl w:val="0"/>
          <w:numId w:val="8"/>
        </w:numPr>
      </w:pPr>
      <w:r>
        <w:t>本合同任何一方不履行合同义务或者履行合同义务不符合约定的，应当承担继续履行、采取补救措施和/或赔偿损失等违约责任</w:t>
      </w:r>
      <w:r>
        <w:rPr>
          <w:rFonts w:hint="eastAsia"/>
        </w:rPr>
        <w:t>；</w:t>
      </w:r>
    </w:p>
    <w:p>
      <w:pPr>
        <w:pStyle w:val="4"/>
      </w:pPr>
      <w:r>
        <w:t>如果</w:t>
      </w:r>
      <w:r>
        <w:rPr>
          <w:rFonts w:hint="eastAsia"/>
        </w:rPr>
        <w:t>乙方</w:t>
      </w:r>
      <w:r>
        <w:t>提供的货物不符合</w:t>
      </w:r>
      <w:r>
        <w:rPr>
          <w:rFonts w:hint="eastAsia"/>
        </w:rPr>
        <w:t>采购人</w:t>
      </w:r>
      <w:r>
        <w:t>要求的质量标准、服务标准，</w:t>
      </w:r>
      <w:r>
        <w:rPr>
          <w:rFonts w:hint="eastAsia"/>
        </w:rPr>
        <w:t>采购人</w:t>
      </w:r>
      <w:r>
        <w:t>有权向</w:t>
      </w:r>
      <w:r>
        <w:rPr>
          <w:rFonts w:hint="eastAsia"/>
        </w:rPr>
        <w:t>乙方</w:t>
      </w:r>
      <w:r>
        <w:t>索赔</w:t>
      </w:r>
      <w:r>
        <w:rPr>
          <w:rFonts w:hint="eastAsia"/>
        </w:rPr>
        <w:t>；</w:t>
      </w:r>
    </w:p>
    <w:p>
      <w:pPr>
        <w:pStyle w:val="4"/>
      </w:pPr>
      <w:r>
        <w:t>双方应该协商解决</w:t>
      </w:r>
      <w:r>
        <w:rPr>
          <w:rFonts w:hint="eastAsia"/>
        </w:rPr>
        <w:t>因上述</w:t>
      </w:r>
      <w:r>
        <w:t>条款所产生的纠纷。协商不成的，应提交甲方所在地的</w:t>
      </w:r>
      <w:r>
        <w:rPr>
          <w:rFonts w:hint="eastAsia"/>
        </w:rPr>
        <w:t>人民法院裁定</w:t>
      </w:r>
      <w:r>
        <w:t>。</w:t>
      </w:r>
    </w:p>
    <w:p>
      <w:pPr>
        <w:pStyle w:val="3"/>
        <w:numPr>
          <w:ilvl w:val="255"/>
          <w:numId w:val="0"/>
        </w:numPr>
        <w:ind w:left="560" w:leftChars="200"/>
        <w:rPr>
          <w:rFonts w:ascii="仿宋" w:hAnsi="仿宋"/>
          <w:color w:val="FF0000"/>
          <w:szCs w:val="28"/>
        </w:rPr>
      </w:pPr>
      <w:r>
        <w:rPr>
          <w:rFonts w:hint="eastAsia" w:ascii="仿宋" w:hAnsi="仿宋"/>
          <w:szCs w:val="28"/>
        </w:rPr>
        <w:t>十、</w:t>
      </w:r>
      <w:r>
        <w:rPr>
          <w:rFonts w:ascii="仿宋" w:hAnsi="仿宋"/>
          <w:szCs w:val="28"/>
        </w:rPr>
        <w:t>不可抗力</w:t>
      </w:r>
    </w:p>
    <w:p>
      <w:pPr>
        <w:pStyle w:val="4"/>
        <w:numPr>
          <w:ilvl w:val="0"/>
          <w:numId w:val="9"/>
        </w:numPr>
      </w:pPr>
      <w:r>
        <w:t>如果发生了不可抗力，</w:t>
      </w:r>
      <w:r>
        <w:rPr>
          <w:rFonts w:hint="eastAsia"/>
        </w:rPr>
        <w:t>双</w:t>
      </w:r>
      <w:r>
        <w:t>方</w:t>
      </w:r>
      <w:r>
        <w:rPr>
          <w:rFonts w:hint="eastAsia"/>
        </w:rPr>
        <w:t>均</w:t>
      </w:r>
      <w:r>
        <w:t>不承担赔偿责任。但是遭受不可抗力的一方应该及时书面通知另一方，说明情况及可能延误的时间或者说明合同因不可抗力已不可能履行，并将延误或者不能履行的可能性降低到最低限度</w:t>
      </w:r>
      <w:r>
        <w:rPr>
          <w:rFonts w:hint="eastAsia"/>
        </w:rPr>
        <w:t>；</w:t>
      </w:r>
    </w:p>
    <w:p>
      <w:pPr>
        <w:pStyle w:val="4"/>
      </w:pPr>
      <w:r>
        <w:t>如果合同的履行因某一方遭遇不可抗力而发生阻碍或者延迟</w:t>
      </w:r>
      <w:r>
        <w:rPr>
          <w:rFonts w:hint="eastAsia"/>
        </w:rPr>
        <w:t>时，</w:t>
      </w:r>
      <w:r>
        <w:t>双方就此应该进行讨论以减轻不可抗力的影响，也可以经双方</w:t>
      </w:r>
      <w:r>
        <w:rPr>
          <w:rFonts w:hint="eastAsia"/>
        </w:rPr>
        <w:t>协商</w:t>
      </w:r>
      <w:r>
        <w:t>做出在当时的情况下合理而公正的替代方案</w:t>
      </w:r>
      <w:r>
        <w:rPr>
          <w:rFonts w:hint="eastAsia"/>
        </w:rPr>
        <w:t>，</w:t>
      </w:r>
      <w:r>
        <w:t>或</w:t>
      </w:r>
      <w:r>
        <w:rPr>
          <w:rFonts w:hint="eastAsia"/>
        </w:rPr>
        <w:t>者</w:t>
      </w:r>
      <w:r>
        <w:t>终止合同</w:t>
      </w:r>
      <w:r>
        <w:rPr>
          <w:rFonts w:hint="eastAsia"/>
        </w:rPr>
        <w:t>履行；</w:t>
      </w:r>
    </w:p>
    <w:p>
      <w:pPr>
        <w:pStyle w:val="4"/>
      </w:pPr>
      <w:r>
        <w:rPr>
          <w:rFonts w:hint="eastAsia"/>
        </w:rPr>
        <w:t>乙方</w:t>
      </w:r>
      <w:r>
        <w:t>迟延履行后发生不可抗力的，</w:t>
      </w:r>
      <w:r>
        <w:rPr>
          <w:rFonts w:hint="eastAsia"/>
        </w:rPr>
        <w:t>乙方</w:t>
      </w:r>
      <w:r>
        <w:t>不能免除责任。</w:t>
      </w:r>
    </w:p>
    <w:p>
      <w:pPr>
        <w:pStyle w:val="3"/>
        <w:numPr>
          <w:ilvl w:val="255"/>
          <w:numId w:val="0"/>
        </w:numPr>
        <w:ind w:left="560" w:leftChars="200"/>
        <w:rPr>
          <w:rFonts w:ascii="仿宋" w:hAnsi="仿宋"/>
          <w:szCs w:val="28"/>
        </w:rPr>
      </w:pPr>
      <w:r>
        <w:rPr>
          <w:rFonts w:hint="eastAsia" w:ascii="仿宋" w:hAnsi="仿宋"/>
          <w:szCs w:val="28"/>
        </w:rPr>
        <w:t>十一、合同生效及其它</w:t>
      </w:r>
    </w:p>
    <w:p>
      <w:pPr>
        <w:pStyle w:val="4"/>
        <w:numPr>
          <w:ilvl w:val="0"/>
          <w:numId w:val="10"/>
        </w:numPr>
        <w:ind w:firstLine="426"/>
      </w:pPr>
      <w:r>
        <w:rPr>
          <w:rFonts w:hint="eastAsia" w:cs="Bookman Old Style"/>
        </w:rPr>
        <w:t>本合同经</w:t>
      </w:r>
      <w:r>
        <w:rPr>
          <w:rFonts w:hint="eastAsia"/>
        </w:rPr>
        <w:t>甲乙双方法人代表（或授权人）签字并</w:t>
      </w:r>
      <w:r>
        <w:rPr>
          <w:rFonts w:hint="eastAsia"/>
          <w:szCs w:val="28"/>
        </w:rPr>
        <w:t>加盖合同专用章后生效；</w:t>
      </w:r>
    </w:p>
    <w:p>
      <w:pPr>
        <w:pStyle w:val="4"/>
      </w:pPr>
      <w:r>
        <w:rPr>
          <w:rFonts w:hint="eastAsia"/>
        </w:rPr>
        <w:t>本合同中双方预留的联系方式及地址必须真实有效，因此出现相关问题后果自负；</w:t>
      </w:r>
    </w:p>
    <w:p>
      <w:pPr>
        <w:pStyle w:val="4"/>
      </w:pPr>
      <w:r>
        <w:rPr>
          <w:rFonts w:hint="eastAsia" w:cs="Bookman Old Style"/>
        </w:rPr>
        <w:t>本合同一式三份，</w:t>
      </w:r>
      <w:r>
        <w:rPr>
          <w:rFonts w:hint="eastAsia"/>
        </w:rPr>
        <w:t>甲方一份，乙</w:t>
      </w:r>
      <w:r>
        <w:t>方</w:t>
      </w:r>
      <w:r>
        <w:rPr>
          <w:rFonts w:hint="eastAsia"/>
        </w:rPr>
        <w:t>一份，代理机构一份；</w:t>
      </w:r>
    </w:p>
    <w:p>
      <w:pPr>
        <w:pStyle w:val="4"/>
      </w:pPr>
      <w:r>
        <w:rPr>
          <w:rFonts w:hint="eastAsia"/>
        </w:rPr>
        <w:t>合同内容如遇国家法律、法规及政策另有规定的，从其规定；</w:t>
      </w:r>
    </w:p>
    <w:p>
      <w:pPr>
        <w:pStyle w:val="4"/>
        <w:numPr>
          <w:ilvl w:val="255"/>
          <w:numId w:val="0"/>
        </w:numPr>
        <w:ind w:left="420"/>
      </w:pPr>
      <w:r>
        <w:rPr>
          <w:rFonts w:hint="eastAsia"/>
        </w:rPr>
        <w:t>（五）本合同未尽事宜，双方协商解决；</w:t>
      </w:r>
    </w:p>
    <w:p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（六）其他条款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>_</w:t>
      </w:r>
      <w:r>
        <w:rPr>
          <w:rFonts w:ascii="仿宋" w:hAnsi="仿宋" w:eastAsia="仿宋" w:cstheme="majorBidi"/>
          <w:bCs/>
          <w:szCs w:val="32"/>
          <w:u w:val="single"/>
        </w:rPr>
        <w:t>/</w:t>
      </w:r>
    </w:p>
    <w:p>
      <w:pPr>
        <w:pStyle w:val="4"/>
        <w:numPr>
          <w:ilvl w:val="255"/>
          <w:numId w:val="0"/>
        </w:numPr>
        <w:ind w:left="420"/>
      </w:pPr>
      <w:r>
        <w:rPr>
          <w:rFonts w:hint="eastAsia"/>
        </w:rPr>
        <w:t>（七）附件：</w:t>
      </w:r>
    </w:p>
    <w:p>
      <w:pPr>
        <w:pStyle w:val="5"/>
        <w:numPr>
          <w:ilvl w:val="0"/>
          <w:numId w:val="11"/>
        </w:numPr>
        <w:ind w:firstLineChars="0"/>
        <w:rPr>
          <w:color w:val="FF0000"/>
        </w:rPr>
      </w:pPr>
      <w:r>
        <w:rPr>
          <w:rFonts w:hint="eastAsia"/>
        </w:rPr>
        <w:t>中标（成交）通知书（如有）；</w:t>
      </w:r>
    </w:p>
    <w:p>
      <w:pPr>
        <w:pStyle w:val="5"/>
        <w:numPr>
          <w:ilvl w:val="0"/>
          <w:numId w:val="11"/>
        </w:numPr>
        <w:ind w:firstLineChars="0"/>
        <w:rPr>
          <w:color w:val="FF0000"/>
        </w:rPr>
      </w:pPr>
      <w:r>
        <w:rPr>
          <w:rFonts w:hint="eastAsia"/>
        </w:rPr>
        <w:t>甲方财务</w:t>
      </w:r>
      <w:r>
        <w:t>开具的</w:t>
      </w:r>
      <w:r>
        <w:rPr>
          <w:rFonts w:hint="eastAsia"/>
        </w:rPr>
        <w:t>履约保证金交纳凭证（如有）；</w:t>
      </w:r>
    </w:p>
    <w:p>
      <w:pPr>
        <w:pStyle w:val="5"/>
        <w:ind w:firstLine="848" w:firstLineChars="303"/>
        <w:rPr>
          <w:rFonts w:ascii="仿宋" w:hAnsi="仿宋" w:cs="宋体" w:eastAsiaTheme="minorEastAsia"/>
          <w:color w:val="FF0000"/>
          <w:kern w:val="0"/>
          <w:szCs w:val="28"/>
        </w:rPr>
      </w:pPr>
      <w:r>
        <w:rPr>
          <w:rFonts w:hint="eastAsia"/>
        </w:rPr>
        <w:t>乙方法人代表签署合同的授权委托书（如有）。</w:t>
      </w:r>
      <w:r>
        <w:br w:type="page"/>
      </w:r>
      <w:r>
        <w:rPr>
          <w:rFonts w:hint="eastAsia" w:ascii="仿宋" w:hAnsi="仿宋"/>
          <w:szCs w:val="28"/>
        </w:rPr>
        <w:t xml:space="preserve">甲方：内蒙古工业大学（合同专用章） </w:t>
      </w:r>
    </w:p>
    <w:p>
      <w:pPr>
        <w:spacing w:line="600" w:lineRule="exac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法人代表（或授权人）（签字或签章）：</w:t>
      </w:r>
    </w:p>
    <w:p>
      <w:pPr>
        <w:spacing w:line="600" w:lineRule="exac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地址：内蒙古自治区呼和浩特市新城区爱民街49号</w:t>
      </w:r>
    </w:p>
    <w:p>
      <w:pPr>
        <w:spacing w:line="600" w:lineRule="exac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电话：0471-5317870  </w:t>
      </w:r>
    </w:p>
    <w:p>
      <w:pPr>
        <w:spacing w:line="600" w:lineRule="exact"/>
        <w:jc w:val="righ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年    月   日</w:t>
      </w:r>
    </w:p>
    <w:p>
      <w:pPr>
        <w:pStyle w:val="2"/>
      </w:pPr>
    </w:p>
    <w:p>
      <w:pPr>
        <w:spacing w:line="600" w:lineRule="exac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乙方：</w:t>
      </w:r>
      <w:r>
        <w:rPr>
          <w:rFonts w:hint="eastAsia" w:ascii="仿宋" w:hAnsi="仿宋" w:eastAsia="仿宋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Cs w:val="28"/>
        </w:rPr>
        <w:t>（合同</w:t>
      </w:r>
      <w:r>
        <w:rPr>
          <w:rFonts w:ascii="仿宋" w:hAnsi="仿宋" w:eastAsia="仿宋"/>
          <w:szCs w:val="28"/>
        </w:rPr>
        <w:t>专用</w:t>
      </w:r>
      <w:r>
        <w:rPr>
          <w:rFonts w:hint="eastAsia" w:ascii="仿宋" w:hAnsi="仿宋" w:eastAsia="仿宋"/>
          <w:szCs w:val="28"/>
        </w:rPr>
        <w:t>章）</w:t>
      </w:r>
    </w:p>
    <w:p>
      <w:pPr>
        <w:spacing w:line="600" w:lineRule="exac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法人代表（或授权人）（签字或签章）：</w:t>
      </w:r>
    </w:p>
    <w:p>
      <w:pPr>
        <w:spacing w:line="600" w:lineRule="exact"/>
        <w:rPr>
          <w:rFonts w:ascii="仿宋" w:hAnsi="仿宋" w:eastAsia="仿宋"/>
          <w:color w:val="FF0000"/>
          <w:szCs w:val="28"/>
          <w:highlight w:val="yellow"/>
        </w:rPr>
      </w:pPr>
      <w:r>
        <w:rPr>
          <w:rFonts w:hint="eastAsia" w:ascii="仿宋" w:hAnsi="仿宋" w:eastAsia="仿宋"/>
          <w:szCs w:val="28"/>
        </w:rPr>
        <w:t>地址：</w:t>
      </w:r>
      <w:r>
        <w:rPr>
          <w:rFonts w:hint="eastAsia" w:ascii="仿宋" w:hAnsi="仿宋" w:eastAsia="仿宋"/>
          <w:szCs w:val="28"/>
          <w:u w:val="single"/>
          <w:lang w:val="en-US" w:eastAsia="zh-CN"/>
        </w:rPr>
        <w:t xml:space="preserve">                      </w:t>
      </w:r>
    </w:p>
    <w:p>
      <w:pPr>
        <w:spacing w:line="600" w:lineRule="exac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电话：</w:t>
      </w:r>
      <w:r>
        <w:rPr>
          <w:rFonts w:hint="eastAsia" w:ascii="仿宋" w:hAnsi="仿宋" w:eastAsia="仿宋"/>
          <w:szCs w:val="28"/>
          <w:u w:val="single"/>
          <w:lang w:val="en-US" w:eastAsia="zh-CN"/>
        </w:rPr>
        <w:t xml:space="preserve">                      </w:t>
      </w:r>
      <w:bookmarkStart w:id="2" w:name="_GoBack"/>
      <w:bookmarkEnd w:id="2"/>
    </w:p>
    <w:p>
      <w:pPr>
        <w:spacing w:line="600" w:lineRule="exac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           </w:t>
      </w:r>
    </w:p>
    <w:p>
      <w:pPr>
        <w:spacing w:line="600" w:lineRule="exact"/>
        <w:jc w:val="righ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年    月   日</w:t>
      </w:r>
    </w:p>
    <w:p>
      <w:pPr>
        <w:pStyle w:val="6"/>
        <w:rPr>
          <w:rFonts w:ascii="仿宋" w:hAnsi="仿宋" w:eastAsia="仿宋"/>
          <w:szCs w:val="28"/>
        </w:rPr>
      </w:pPr>
    </w:p>
    <w:p/>
    <w:sectPr>
      <w:footerReference r:id="rId8" w:type="default"/>
      <w:pgSz w:w="11906" w:h="16838"/>
      <w:pgMar w:top="1418" w:right="1247" w:bottom="1134" w:left="1418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2049" o:spid="_x0000_s2049" o:spt="202" type="#_x0000_t202" style="position:absolute;left:0pt;margin-top:0pt;height:26pt;width:8.15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  <w:rPr>
                    <w:rStyle w:val="17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fldChar w:fldCharType="end"/>
    </w:r>
  </w:p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4232969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82513"/>
    <w:multiLevelType w:val="multilevel"/>
    <w:tmpl w:val="0DF82513"/>
    <w:lvl w:ilvl="0" w:tentative="0">
      <w:start w:val="1"/>
      <w:numFmt w:val="chineseCountingThousand"/>
      <w:pStyle w:val="4"/>
      <w:suff w:val="space"/>
      <w:lvlText w:val="(%1)"/>
      <w:lvlJc w:val="left"/>
      <w:rPr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ind w:left="131" w:hanging="420"/>
      </w:pPr>
    </w:lvl>
    <w:lvl w:ilvl="2" w:tentative="0">
      <w:start w:val="1"/>
      <w:numFmt w:val="lowerRoman"/>
      <w:lvlText w:val="%3."/>
      <w:lvlJc w:val="right"/>
      <w:pPr>
        <w:ind w:left="551" w:hanging="420"/>
      </w:pPr>
    </w:lvl>
    <w:lvl w:ilvl="3" w:tentative="0">
      <w:start w:val="1"/>
      <w:numFmt w:val="decimal"/>
      <w:lvlText w:val="%4."/>
      <w:lvlJc w:val="left"/>
      <w:pPr>
        <w:ind w:left="971" w:hanging="420"/>
      </w:pPr>
    </w:lvl>
    <w:lvl w:ilvl="4" w:tentative="0">
      <w:start w:val="1"/>
      <w:numFmt w:val="lowerLetter"/>
      <w:lvlText w:val="%5)"/>
      <w:lvlJc w:val="left"/>
      <w:pPr>
        <w:ind w:left="1391" w:hanging="420"/>
      </w:pPr>
    </w:lvl>
    <w:lvl w:ilvl="5" w:tentative="0">
      <w:start w:val="1"/>
      <w:numFmt w:val="lowerRoman"/>
      <w:lvlText w:val="%6."/>
      <w:lvlJc w:val="right"/>
      <w:pPr>
        <w:ind w:left="1811" w:hanging="420"/>
      </w:pPr>
    </w:lvl>
    <w:lvl w:ilvl="6" w:tentative="0">
      <w:start w:val="1"/>
      <w:numFmt w:val="decimal"/>
      <w:lvlText w:val="%7."/>
      <w:lvlJc w:val="left"/>
      <w:pPr>
        <w:ind w:left="2231" w:hanging="420"/>
      </w:pPr>
    </w:lvl>
    <w:lvl w:ilvl="7" w:tentative="0">
      <w:start w:val="1"/>
      <w:numFmt w:val="lowerLetter"/>
      <w:lvlText w:val="%8)"/>
      <w:lvlJc w:val="left"/>
      <w:pPr>
        <w:ind w:left="2651" w:hanging="420"/>
      </w:pPr>
    </w:lvl>
    <w:lvl w:ilvl="8" w:tentative="0">
      <w:start w:val="1"/>
      <w:numFmt w:val="lowerRoman"/>
      <w:lvlText w:val="%9."/>
      <w:lvlJc w:val="right"/>
      <w:pPr>
        <w:ind w:left="3071" w:hanging="420"/>
      </w:pPr>
    </w:lvl>
  </w:abstractNum>
  <w:abstractNum w:abstractNumId="1">
    <w:nsid w:val="41DD6ED2"/>
    <w:multiLevelType w:val="multilevel"/>
    <w:tmpl w:val="41DD6ED2"/>
    <w:lvl w:ilvl="0" w:tentative="0">
      <w:start w:val="1"/>
      <w:numFmt w:val="decimal"/>
      <w:pStyle w:val="5"/>
      <w:suff w:val="nothing"/>
      <w:lvlText w:val="%1、"/>
      <w:lvlJc w:val="left"/>
      <w:pPr>
        <w:ind w:left="126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926C52"/>
    <w:multiLevelType w:val="multilevel"/>
    <w:tmpl w:val="5D926C52"/>
    <w:lvl w:ilvl="0" w:tentative="0">
      <w:start w:val="1"/>
      <w:numFmt w:val="chineseCountingThousand"/>
      <w:pStyle w:val="3"/>
      <w:suff w:val="space"/>
      <w:lvlText w:val="%1、"/>
      <w:lvlJc w:val="left"/>
      <w:pPr>
        <w:ind w:left="84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lang w:val="en-US"/>
      </w:rPr>
    </w:lvl>
    <w:lvl w:ilvl="1" w:tentative="0">
      <w:start w:val="1"/>
      <w:numFmt w:val="lowerLetter"/>
      <w:lvlText w:val="%2)"/>
      <w:lvlJc w:val="left"/>
      <w:pPr>
        <w:ind w:left="2117" w:hanging="420"/>
      </w:pPr>
    </w:lvl>
    <w:lvl w:ilvl="2" w:tentative="0">
      <w:start w:val="1"/>
      <w:numFmt w:val="lowerRoman"/>
      <w:lvlText w:val="%3."/>
      <w:lvlJc w:val="right"/>
      <w:pPr>
        <w:ind w:left="2537" w:hanging="420"/>
      </w:pPr>
    </w:lvl>
    <w:lvl w:ilvl="3" w:tentative="0">
      <w:start w:val="1"/>
      <w:numFmt w:val="decimal"/>
      <w:lvlText w:val="%4."/>
      <w:lvlJc w:val="left"/>
      <w:pPr>
        <w:ind w:left="2957" w:hanging="420"/>
      </w:pPr>
    </w:lvl>
    <w:lvl w:ilvl="4" w:tentative="0">
      <w:start w:val="1"/>
      <w:numFmt w:val="lowerLetter"/>
      <w:lvlText w:val="%5)"/>
      <w:lvlJc w:val="left"/>
      <w:pPr>
        <w:ind w:left="3377" w:hanging="420"/>
      </w:pPr>
    </w:lvl>
    <w:lvl w:ilvl="5" w:tentative="0">
      <w:start w:val="1"/>
      <w:numFmt w:val="lowerRoman"/>
      <w:lvlText w:val="%6."/>
      <w:lvlJc w:val="right"/>
      <w:pPr>
        <w:ind w:left="3797" w:hanging="420"/>
      </w:pPr>
    </w:lvl>
    <w:lvl w:ilvl="6" w:tentative="0">
      <w:start w:val="1"/>
      <w:numFmt w:val="decimal"/>
      <w:lvlText w:val="%7."/>
      <w:lvlJc w:val="left"/>
      <w:pPr>
        <w:ind w:left="4217" w:hanging="420"/>
      </w:pPr>
    </w:lvl>
    <w:lvl w:ilvl="7" w:tentative="0">
      <w:start w:val="1"/>
      <w:numFmt w:val="lowerLetter"/>
      <w:lvlText w:val="%8)"/>
      <w:lvlJc w:val="left"/>
      <w:pPr>
        <w:ind w:left="4637" w:hanging="420"/>
      </w:pPr>
    </w:lvl>
    <w:lvl w:ilvl="8" w:tentative="0">
      <w:start w:val="1"/>
      <w:numFmt w:val="lowerRoman"/>
      <w:lvlText w:val="%9."/>
      <w:lvlJc w:val="right"/>
      <w:pPr>
        <w:ind w:left="5057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yN2ZkMjRlM2UwZWEzM2M3YjIyNDQ5MzVlZGZkMTIifQ=="/>
  </w:docVars>
  <w:rsids>
    <w:rsidRoot w:val="00000000"/>
    <w:rsid w:val="1A1D02E8"/>
    <w:rsid w:val="58AE1126"/>
    <w:rsid w:val="71EA7B5F"/>
    <w:rsid w:val="759A4A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qFormat="1" w:unhideWhenUsed="0" w:uiPriority="0" w:semiHidden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numPr>
        <w:ilvl w:val="0"/>
        <w:numId w:val="1"/>
      </w:numPr>
      <w:ind w:left="0" w:firstLine="200" w:firstLineChars="200"/>
      <w:jc w:val="left"/>
      <w:outlineLvl w:val="0"/>
    </w:pPr>
    <w:rPr>
      <w:rFonts w:eastAsia="仿宋"/>
      <w:b/>
      <w:bCs/>
    </w:rPr>
  </w:style>
  <w:style w:type="paragraph" w:styleId="4">
    <w:name w:val="heading 2"/>
    <w:basedOn w:val="1"/>
    <w:next w:val="1"/>
    <w:link w:val="18"/>
    <w:unhideWhenUsed/>
    <w:qFormat/>
    <w:uiPriority w:val="0"/>
    <w:pPr>
      <w:numPr>
        <w:ilvl w:val="0"/>
        <w:numId w:val="2"/>
      </w:numPr>
      <w:ind w:firstLine="420"/>
      <w:outlineLvl w:val="1"/>
    </w:pPr>
    <w:rPr>
      <w:rFonts w:ascii="仿宋" w:hAnsi="仿宋" w:eastAsia="仿宋" w:cstheme="majorBidi"/>
      <w:bCs/>
      <w:szCs w:val="32"/>
    </w:rPr>
  </w:style>
  <w:style w:type="paragraph" w:styleId="5">
    <w:name w:val="heading 3"/>
    <w:basedOn w:val="1"/>
    <w:next w:val="1"/>
    <w:link w:val="20"/>
    <w:unhideWhenUsed/>
    <w:qFormat/>
    <w:uiPriority w:val="0"/>
    <w:pPr>
      <w:keepNext/>
      <w:numPr>
        <w:ilvl w:val="0"/>
        <w:numId w:val="3"/>
      </w:numPr>
      <w:ind w:left="0" w:firstLine="200" w:firstLineChars="200"/>
      <w:outlineLvl w:val="2"/>
    </w:pPr>
    <w:rPr>
      <w:rFonts w:eastAsia="仿宋"/>
      <w:bCs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</w:rPr>
  </w:style>
  <w:style w:type="paragraph" w:styleId="6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 w:cs="MT Extra"/>
      <w:szCs w:val="20"/>
    </w:rPr>
  </w:style>
  <w:style w:type="paragraph" w:styleId="9">
    <w:name w:val="Balloon Text"/>
    <w:basedOn w:val="1"/>
    <w:link w:val="23"/>
    <w:qFormat/>
    <w:uiPriority w:val="0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7">
    <w:name w:val="page number"/>
    <w:basedOn w:val="16"/>
    <w:qFormat/>
    <w:uiPriority w:val="0"/>
  </w:style>
  <w:style w:type="character" w:customStyle="1" w:styleId="18">
    <w:name w:val="标题 2 字符"/>
    <w:basedOn w:val="16"/>
    <w:link w:val="4"/>
    <w:qFormat/>
    <w:uiPriority w:val="0"/>
    <w:rPr>
      <w:rFonts w:ascii="仿宋" w:hAnsi="仿宋" w:eastAsia="仿宋" w:cstheme="majorBidi"/>
      <w:bCs/>
      <w:kern w:val="2"/>
      <w:sz w:val="28"/>
      <w:szCs w:val="32"/>
    </w:rPr>
  </w:style>
  <w:style w:type="character" w:customStyle="1" w:styleId="19">
    <w:name w:val="标题 字符"/>
    <w:basedOn w:val="16"/>
    <w:link w:val="1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标题 3 字符"/>
    <w:basedOn w:val="16"/>
    <w:link w:val="5"/>
    <w:qFormat/>
    <w:uiPriority w:val="0"/>
    <w:rPr>
      <w:rFonts w:eastAsia="仿宋" w:asciiTheme="minorHAnsi" w:hAnsiTheme="minorHAnsi" w:cstheme="minorBidi"/>
      <w:bCs/>
      <w:kern w:val="2"/>
      <w:sz w:val="28"/>
      <w:szCs w:val="32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标题 1 字符"/>
    <w:basedOn w:val="16"/>
    <w:link w:val="3"/>
    <w:qFormat/>
    <w:uiPriority w:val="0"/>
    <w:rPr>
      <w:rFonts w:eastAsia="仿宋" w:asciiTheme="minorHAnsi" w:hAnsiTheme="minorHAnsi" w:cstheme="minorBidi"/>
      <w:b/>
      <w:bCs/>
      <w:kern w:val="2"/>
      <w:sz w:val="28"/>
      <w:szCs w:val="24"/>
    </w:rPr>
  </w:style>
  <w:style w:type="character" w:customStyle="1" w:styleId="23">
    <w:name w:val="批注框文本 字符"/>
    <w:basedOn w:val="16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字符"/>
    <w:basedOn w:val="16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3B8222-C3C1-4F3B-BCF6-036FE97BFD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338</Words>
  <Characters>1933</Characters>
  <Lines>16</Lines>
  <Paragraphs>4</Paragraphs>
  <TotalTime>0</TotalTime>
  <ScaleCrop>false</ScaleCrop>
  <LinksUpToDate>false</LinksUpToDate>
  <CharactersWithSpaces>2267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2022-01-06T06:41:00Z</dcterms:created>
  <dc:creator>Administrator</dc:creator>
  <cp:lastModifiedBy>诸神的黄昏</cp:lastModifiedBy>
  <cp:lastPrinted>2018-11-28T02:41:00Z</cp:lastPrinted>
  <dcterms:modified xsi:type="dcterms:W3CDTF">2022-11-24T03:33:14Z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3979330B14F2411685BC5AEB13566F68</vt:lpwstr>
  </property>
  <property fmtid="{D5CDD505-2E9C-101B-9397-08002B2CF9AE}" pid="3" name="KSOProductBuildVer">
    <vt:lpwstr>2052-11.1.0.12598</vt:lpwstr>
  </property>
</Properties>
</file>