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楷体" w:hAnsi="楷体" w:eastAsia="楷体"/>
          <w:b/>
          <w:sz w:val="28"/>
          <w:szCs w:val="28"/>
          <w:highlight w:val="none"/>
          <w:lang w:val="en-US" w:eastAsia="zh-CN"/>
        </w:rPr>
      </w:pPr>
      <w:bookmarkStart w:id="0" w:name="_Toc417128823"/>
      <w:r>
        <w:rPr>
          <w:rFonts w:hint="eastAsia" w:ascii="楷体" w:hAnsi="楷体" w:eastAsia="楷体"/>
          <w:b/>
          <w:bCs/>
          <w:sz w:val="36"/>
          <w:szCs w:val="36"/>
          <w:lang w:val="en-US" w:eastAsia="zh-CN"/>
        </w:rPr>
        <w:t>工程量清单</w:t>
      </w:r>
      <w:r>
        <w:rPr>
          <w:rFonts w:hint="eastAsia" w:ascii="楷体" w:hAnsi="楷体" w:eastAsia="楷体"/>
          <w:b/>
          <w:bCs/>
          <w:sz w:val="36"/>
          <w:szCs w:val="36"/>
        </w:rPr>
        <w:t>编制</w:t>
      </w:r>
      <w:r>
        <w:rPr>
          <w:rFonts w:hint="eastAsia" w:ascii="楷体" w:hAnsi="楷体" w:eastAsia="楷体"/>
          <w:b/>
          <w:bCs/>
          <w:sz w:val="36"/>
          <w:szCs w:val="36"/>
          <w:lang w:val="en-US" w:eastAsia="zh-CN"/>
        </w:rPr>
        <w:t>说明</w:t>
      </w:r>
    </w:p>
    <w:p>
      <w:pPr>
        <w:pStyle w:val="3"/>
        <w:spacing w:line="360" w:lineRule="auto"/>
        <w:ind w:firstLine="562"/>
        <w:rPr>
          <w:rFonts w:ascii="楷体" w:hAnsi="楷体" w:eastAsia="楷体"/>
          <w:b/>
        </w:rPr>
      </w:pPr>
      <w:bookmarkStart w:id="1" w:name="_Toc18740"/>
      <w:r>
        <w:rPr>
          <w:rFonts w:hint="eastAsia" w:ascii="楷体" w:hAnsi="楷体" w:eastAsia="楷体"/>
          <w:b/>
        </w:rPr>
        <w:t>一、项目基本情况</w:t>
      </w:r>
      <w:bookmarkEnd w:id="0"/>
      <w:bookmarkEnd w:id="1"/>
    </w:p>
    <w:p>
      <w:pPr>
        <w:spacing w:line="432" w:lineRule="auto"/>
        <w:ind w:left="120" w:leftChars="57" w:firstLine="560" w:firstLineChars="200"/>
        <w:rPr>
          <w:rFonts w:hint="eastAsia" w:ascii="楷体" w:hAnsi="楷体" w:eastAsia="楷体"/>
          <w:color w:val="000000"/>
          <w:sz w:val="28"/>
          <w:szCs w:val="28"/>
          <w:highlight w:val="none"/>
          <w:lang w:val="en-US" w:eastAsia="zh-CN"/>
        </w:rPr>
      </w:pPr>
      <w:bookmarkStart w:id="2" w:name="_Toc417128824"/>
      <w:r>
        <w:rPr>
          <w:rFonts w:hint="eastAsia" w:ascii="楷体" w:hAnsi="楷体" w:eastAsia="楷体"/>
          <w:color w:val="000000"/>
          <w:sz w:val="28"/>
          <w:szCs w:val="28"/>
        </w:rPr>
        <w:t>1、工程名称：</w:t>
      </w:r>
      <w:r>
        <w:rPr>
          <w:rFonts w:hint="eastAsia" w:ascii="楷体" w:hAnsi="楷体" w:eastAsia="楷体"/>
          <w:color w:val="000000"/>
          <w:sz w:val="28"/>
          <w:szCs w:val="28"/>
          <w:highlight w:val="none"/>
          <w:lang w:val="en-US" w:eastAsia="zh-CN"/>
        </w:rPr>
        <w:t>内蒙古民族大学医学院实训教学综合楼一级、二级供热管网及附属医院换热站工程</w:t>
      </w:r>
    </w:p>
    <w:p>
      <w:pPr>
        <w:spacing w:line="432" w:lineRule="auto"/>
        <w:ind w:left="120" w:leftChars="57" w:firstLine="560" w:firstLineChars="200"/>
        <w:rPr>
          <w:rFonts w:ascii="楷体" w:hAnsi="楷体" w:eastAsia="楷体"/>
          <w:color w:val="000000"/>
          <w:sz w:val="28"/>
          <w:szCs w:val="28"/>
          <w:highlight w:val="none"/>
        </w:rPr>
      </w:pPr>
      <w:r>
        <w:rPr>
          <w:rFonts w:hint="eastAsia" w:ascii="楷体" w:hAnsi="楷体" w:eastAsia="楷体"/>
          <w:color w:val="000000"/>
          <w:sz w:val="28"/>
          <w:szCs w:val="28"/>
          <w:highlight w:val="none"/>
        </w:rPr>
        <w:t>2、工程地点：</w:t>
      </w:r>
      <w:r>
        <w:rPr>
          <w:rFonts w:hint="eastAsia" w:ascii="楷体" w:hAnsi="楷体" w:eastAsia="楷体"/>
          <w:color w:val="000000"/>
          <w:sz w:val="28"/>
          <w:szCs w:val="28"/>
          <w:highlight w:val="none"/>
          <w:lang w:val="en-US" w:eastAsia="zh-CN"/>
        </w:rPr>
        <w:t>通辽市科尔沁区</w:t>
      </w:r>
    </w:p>
    <w:p>
      <w:pPr>
        <w:spacing w:line="432" w:lineRule="auto"/>
        <w:ind w:left="120" w:leftChars="57" w:firstLine="560" w:firstLineChars="200"/>
        <w:rPr>
          <w:rFonts w:hint="eastAsia" w:ascii="楷体" w:hAnsi="楷体" w:eastAsia="楷体"/>
          <w:b/>
          <w:sz w:val="28"/>
          <w:szCs w:val="28"/>
        </w:rPr>
      </w:pPr>
      <w:r>
        <w:rPr>
          <w:rFonts w:hint="eastAsia" w:ascii="楷体" w:hAnsi="楷体" w:eastAsia="楷体"/>
          <w:color w:val="000000"/>
          <w:sz w:val="28"/>
          <w:szCs w:val="28"/>
          <w:highlight w:val="none"/>
        </w:rPr>
        <w:t>3、建设单位：</w:t>
      </w:r>
      <w:r>
        <w:rPr>
          <w:rFonts w:hint="eastAsia" w:ascii="楷体" w:hAnsi="楷体" w:eastAsia="楷体"/>
          <w:color w:val="000000"/>
          <w:sz w:val="28"/>
          <w:szCs w:val="28"/>
          <w:highlight w:val="none"/>
          <w:lang w:val="en-US" w:eastAsia="zh-CN"/>
        </w:rPr>
        <w:t>内蒙古民族大学附属医院</w:t>
      </w:r>
      <w:bookmarkStart w:id="3" w:name="_Toc5987"/>
    </w:p>
    <w:p>
      <w:pPr>
        <w:spacing w:line="432" w:lineRule="auto"/>
        <w:ind w:left="120" w:leftChars="57" w:firstLine="562" w:firstLineChars="200"/>
        <w:rPr>
          <w:rFonts w:ascii="楷体" w:hAnsi="楷体" w:eastAsia="楷体"/>
          <w:b/>
          <w:sz w:val="28"/>
          <w:szCs w:val="28"/>
        </w:rPr>
      </w:pPr>
      <w:r>
        <w:rPr>
          <w:rFonts w:hint="eastAsia" w:ascii="楷体" w:hAnsi="楷体" w:eastAsia="楷体"/>
          <w:b/>
          <w:sz w:val="28"/>
          <w:szCs w:val="28"/>
        </w:rPr>
        <w:t>二、工程概况</w:t>
      </w:r>
      <w:bookmarkEnd w:id="2"/>
      <w:bookmarkEnd w:id="3"/>
    </w:p>
    <w:p>
      <w:pPr>
        <w:spacing w:line="432" w:lineRule="auto"/>
        <w:ind w:firstLine="560" w:firstLineChars="200"/>
        <w:rPr>
          <w:rFonts w:hint="default" w:ascii="楷体_GB2312" w:hAnsi="楷体" w:eastAsia="楷体_GB2312"/>
          <w:color w:val="000000"/>
          <w:sz w:val="28"/>
          <w:szCs w:val="28"/>
          <w:lang w:val="en-US"/>
        </w:rPr>
      </w:pPr>
      <w:r>
        <w:rPr>
          <w:rFonts w:hint="eastAsia" w:ascii="楷体_GB2312" w:hAnsi="楷体" w:eastAsia="楷体_GB2312"/>
          <w:color w:val="000000"/>
          <w:sz w:val="28"/>
          <w:szCs w:val="28"/>
        </w:rPr>
        <w:t>本工程位</w:t>
      </w:r>
      <w:r>
        <w:rPr>
          <w:rFonts w:hint="eastAsia" w:ascii="楷体_GB2312" w:hAnsi="楷体" w:eastAsia="楷体_GB2312"/>
          <w:color w:val="000000"/>
          <w:sz w:val="28"/>
          <w:szCs w:val="28"/>
          <w:lang w:val="en-US" w:eastAsia="zh-CN"/>
        </w:rPr>
        <w:t>于</w:t>
      </w:r>
      <w:r>
        <w:rPr>
          <w:rFonts w:hint="eastAsia" w:ascii="楷体" w:hAnsi="楷体" w:eastAsia="楷体"/>
          <w:color w:val="000000"/>
          <w:sz w:val="28"/>
          <w:szCs w:val="28"/>
          <w:highlight w:val="none"/>
          <w:lang w:val="en-US" w:eastAsia="zh-CN"/>
        </w:rPr>
        <w:t>通辽市科尔沁区</w:t>
      </w:r>
      <w:r>
        <w:rPr>
          <w:rFonts w:hint="eastAsia" w:ascii="楷体_GB2312" w:hAnsi="楷体" w:eastAsia="楷体_GB2312"/>
          <w:color w:val="000000"/>
          <w:sz w:val="28"/>
          <w:szCs w:val="28"/>
        </w:rPr>
        <w:t>，</w:t>
      </w:r>
      <w:r>
        <w:rPr>
          <w:rFonts w:hint="eastAsia" w:ascii="楷体_GB2312" w:hAnsi="楷体" w:eastAsia="楷体_GB2312"/>
          <w:color w:val="000000"/>
          <w:sz w:val="28"/>
          <w:szCs w:val="28"/>
          <w:lang w:val="en-US" w:eastAsia="zh-CN"/>
        </w:rPr>
        <w:t>供热管网、土石方、路面拆除、换热站改建等。</w:t>
      </w:r>
    </w:p>
    <w:p>
      <w:pPr>
        <w:pStyle w:val="3"/>
        <w:spacing w:line="360" w:lineRule="auto"/>
        <w:ind w:firstLine="562"/>
        <w:rPr>
          <w:rFonts w:ascii="楷体" w:hAnsi="楷体" w:eastAsia="楷体"/>
          <w:color w:val="auto"/>
          <w:sz w:val="28"/>
          <w:szCs w:val="28"/>
          <w:highlight w:val="none"/>
        </w:rPr>
      </w:pPr>
      <w:bookmarkStart w:id="4" w:name="_Toc527"/>
      <w:r>
        <w:rPr>
          <w:rFonts w:hint="eastAsia" w:ascii="楷体" w:hAnsi="楷体" w:eastAsia="楷体"/>
          <w:b/>
          <w:color w:val="auto"/>
          <w:highlight w:val="none"/>
        </w:rPr>
        <w:t>三、编制范围及内容</w:t>
      </w:r>
      <w:bookmarkEnd w:id="4"/>
    </w:p>
    <w:p>
      <w:pPr>
        <w:spacing w:line="432" w:lineRule="auto"/>
        <w:ind w:firstLine="560" w:firstLineChars="200"/>
        <w:rPr>
          <w:rFonts w:ascii="楷体" w:hAnsi="楷体" w:eastAsia="楷体"/>
          <w:color w:val="auto"/>
          <w:sz w:val="28"/>
          <w:szCs w:val="28"/>
          <w:highlight w:val="none"/>
        </w:rPr>
      </w:pPr>
      <w:r>
        <w:rPr>
          <w:rFonts w:hint="eastAsia" w:ascii="楷体" w:hAnsi="楷体" w:eastAsia="楷体"/>
          <w:color w:val="auto"/>
          <w:sz w:val="28"/>
          <w:szCs w:val="28"/>
          <w:highlight w:val="none"/>
          <w:lang w:val="en-US" w:eastAsia="zh-CN"/>
        </w:rPr>
        <w:t>工程量清单</w:t>
      </w:r>
      <w:r>
        <w:rPr>
          <w:rFonts w:hint="eastAsia" w:ascii="楷体" w:hAnsi="楷体" w:eastAsia="楷体"/>
          <w:color w:val="auto"/>
          <w:sz w:val="28"/>
          <w:szCs w:val="28"/>
          <w:highlight w:val="none"/>
        </w:rPr>
        <w:t>具体编制范围及内容：</w:t>
      </w:r>
      <w:r>
        <w:rPr>
          <w:rFonts w:hint="eastAsia" w:ascii="楷体" w:hAnsi="楷体" w:eastAsia="楷体"/>
          <w:color w:val="auto"/>
          <w:sz w:val="28"/>
          <w:szCs w:val="28"/>
          <w:highlight w:val="none"/>
          <w:lang w:val="en-US" w:eastAsia="zh-CN"/>
        </w:rPr>
        <w:t>一级管网、二级管网、土石方、路面拆除、换热站建筑装修、电气工程、给排水、采暖工程</w:t>
      </w:r>
      <w:r>
        <w:rPr>
          <w:rFonts w:hint="eastAsia" w:ascii="楷体_GB2312" w:hAnsi="楷体" w:eastAsia="楷体_GB2312"/>
          <w:color w:val="000000"/>
          <w:sz w:val="28"/>
          <w:szCs w:val="28"/>
          <w:lang w:val="en-US" w:eastAsia="zh-CN"/>
        </w:rPr>
        <w:t>等。</w:t>
      </w:r>
    </w:p>
    <w:p>
      <w:pPr>
        <w:pStyle w:val="3"/>
        <w:spacing w:line="360" w:lineRule="auto"/>
        <w:ind w:firstLine="562"/>
        <w:rPr>
          <w:rFonts w:ascii="楷体" w:hAnsi="楷体" w:eastAsia="楷体"/>
          <w:b/>
        </w:rPr>
      </w:pPr>
      <w:bookmarkStart w:id="5" w:name="_Toc25552"/>
      <w:r>
        <w:rPr>
          <w:rFonts w:hint="eastAsia" w:ascii="楷体" w:hAnsi="楷体" w:eastAsia="楷体"/>
          <w:b/>
        </w:rPr>
        <w:t>四、编制依据</w:t>
      </w:r>
      <w:bookmarkEnd w:id="5"/>
    </w:p>
    <w:p>
      <w:pPr>
        <w:spacing w:line="432" w:lineRule="auto"/>
        <w:ind w:left="120" w:leftChars="57" w:firstLine="560" w:firstLineChars="200"/>
        <w:rPr>
          <w:rFonts w:ascii="楷体" w:hAnsi="楷体" w:eastAsia="楷体"/>
          <w:color w:val="000000"/>
          <w:sz w:val="28"/>
          <w:szCs w:val="28"/>
        </w:rPr>
      </w:pPr>
      <w:bookmarkStart w:id="6" w:name="_Toc417128827"/>
      <w:r>
        <w:rPr>
          <w:rFonts w:hint="eastAsia" w:ascii="楷体" w:hAnsi="楷体" w:eastAsia="楷体"/>
          <w:color w:val="000000"/>
          <w:sz w:val="28"/>
          <w:szCs w:val="28"/>
        </w:rPr>
        <w:t>1、工程造价咨询合同。</w:t>
      </w:r>
    </w:p>
    <w:p>
      <w:pPr>
        <w:spacing w:line="432" w:lineRule="auto"/>
        <w:ind w:left="120" w:leftChars="57" w:firstLine="560" w:firstLineChars="200"/>
        <w:rPr>
          <w:rFonts w:ascii="楷体" w:hAnsi="楷体" w:eastAsia="楷体"/>
          <w:color w:val="000000"/>
          <w:sz w:val="28"/>
          <w:szCs w:val="28"/>
        </w:rPr>
      </w:pPr>
      <w:r>
        <w:rPr>
          <w:rFonts w:hint="eastAsia" w:ascii="楷体" w:hAnsi="楷体" w:eastAsia="楷体"/>
          <w:color w:val="000000"/>
          <w:sz w:val="28"/>
          <w:szCs w:val="28"/>
        </w:rPr>
        <w:t>2、国家、行业和地方政府的法律、法规和有关规定。</w:t>
      </w:r>
    </w:p>
    <w:p>
      <w:pPr>
        <w:spacing w:line="432" w:lineRule="auto"/>
        <w:ind w:left="120" w:leftChars="57" w:firstLine="560" w:firstLineChars="200"/>
        <w:rPr>
          <w:rFonts w:hint="eastAsia" w:ascii="楷体" w:hAnsi="楷体" w:eastAsia="楷体"/>
          <w:color w:val="000000"/>
          <w:sz w:val="28"/>
          <w:szCs w:val="28"/>
        </w:rPr>
      </w:pPr>
      <w:r>
        <w:rPr>
          <w:rFonts w:hint="eastAsia" w:ascii="楷体" w:hAnsi="楷体" w:eastAsia="楷体"/>
          <w:color w:val="000000"/>
          <w:sz w:val="28"/>
          <w:szCs w:val="28"/>
        </w:rPr>
        <w:t>3、招标文件。</w:t>
      </w:r>
    </w:p>
    <w:p>
      <w:pPr>
        <w:spacing w:line="432" w:lineRule="auto"/>
        <w:ind w:left="120" w:leftChars="57" w:firstLine="560" w:firstLineChars="200"/>
        <w:rPr>
          <w:rFonts w:hint="eastAsia" w:ascii="楷体" w:hAnsi="楷体" w:eastAsia="楷体"/>
          <w:color w:val="000000"/>
          <w:sz w:val="28"/>
          <w:szCs w:val="28"/>
          <w:lang w:val="en-US" w:eastAsia="zh-CN"/>
        </w:rPr>
      </w:pPr>
      <w:r>
        <w:rPr>
          <w:rFonts w:hint="eastAsia" w:ascii="楷体" w:hAnsi="楷体" w:eastAsia="楷体"/>
          <w:color w:val="000000"/>
          <w:sz w:val="28"/>
          <w:szCs w:val="28"/>
          <w:lang w:val="en-US" w:eastAsia="zh-CN"/>
        </w:rPr>
        <w:t>4、图纸。</w:t>
      </w:r>
    </w:p>
    <w:p>
      <w:pPr>
        <w:spacing w:line="432" w:lineRule="auto"/>
        <w:ind w:left="120" w:leftChars="57" w:firstLine="560" w:firstLineChars="200"/>
        <w:rPr>
          <w:rFonts w:ascii="楷体" w:hAnsi="楷体" w:eastAsia="楷体"/>
          <w:color w:val="000000"/>
          <w:sz w:val="28"/>
          <w:szCs w:val="28"/>
        </w:rPr>
      </w:pPr>
      <w:r>
        <w:rPr>
          <w:rFonts w:hint="eastAsia" w:ascii="楷体" w:hAnsi="楷体" w:eastAsia="楷体"/>
          <w:color w:val="000000"/>
          <w:sz w:val="28"/>
          <w:szCs w:val="28"/>
          <w:lang w:val="en-US" w:eastAsia="zh-CN"/>
        </w:rPr>
        <w:t>5</w:t>
      </w:r>
      <w:r>
        <w:rPr>
          <w:rFonts w:hint="eastAsia" w:ascii="楷体" w:hAnsi="楷体" w:eastAsia="楷体"/>
          <w:color w:val="000000"/>
          <w:sz w:val="28"/>
          <w:szCs w:val="28"/>
        </w:rPr>
        <w:t>、合理的施工组织设计和施工方案。</w:t>
      </w:r>
    </w:p>
    <w:p>
      <w:pPr>
        <w:spacing w:line="432" w:lineRule="auto"/>
        <w:ind w:left="120" w:leftChars="57" w:firstLine="560" w:firstLineChars="200"/>
        <w:rPr>
          <w:rFonts w:ascii="楷体" w:hAnsi="楷体" w:eastAsia="楷体"/>
          <w:color w:val="000000"/>
          <w:sz w:val="28"/>
          <w:szCs w:val="28"/>
        </w:rPr>
      </w:pPr>
      <w:r>
        <w:rPr>
          <w:rFonts w:hint="eastAsia" w:ascii="楷体" w:hAnsi="楷体" w:eastAsia="楷体"/>
          <w:color w:val="000000"/>
          <w:sz w:val="28"/>
          <w:szCs w:val="28"/>
          <w:lang w:val="en-US" w:eastAsia="zh-CN"/>
        </w:rPr>
        <w:t>6</w:t>
      </w:r>
      <w:r>
        <w:rPr>
          <w:rFonts w:hint="eastAsia" w:ascii="楷体" w:hAnsi="楷体" w:eastAsia="楷体"/>
          <w:color w:val="000000"/>
          <w:sz w:val="28"/>
          <w:szCs w:val="28"/>
        </w:rPr>
        <w:t>、</w:t>
      </w:r>
      <w:r>
        <w:rPr>
          <w:rFonts w:hint="eastAsia" w:ascii="楷体_GB2312" w:hAnsi="楷体" w:eastAsia="楷体_GB2312"/>
          <w:color w:val="000000"/>
          <w:sz w:val="28"/>
          <w:szCs w:val="28"/>
          <w:lang w:val="en-US" w:eastAsia="zh-CN"/>
        </w:rPr>
        <w:t>2023</w:t>
      </w:r>
      <w:r>
        <w:rPr>
          <w:rFonts w:hint="eastAsia" w:ascii="楷体_GB2312" w:hAnsi="楷体" w:eastAsia="楷体_GB2312"/>
          <w:color w:val="000000"/>
          <w:sz w:val="28"/>
          <w:szCs w:val="28"/>
        </w:rPr>
        <w:t>年</w:t>
      </w:r>
      <w:r>
        <w:rPr>
          <w:rFonts w:hint="eastAsia" w:ascii="楷体_GB2312" w:hAnsi="楷体" w:eastAsia="楷体_GB2312"/>
          <w:color w:val="000000"/>
          <w:sz w:val="28"/>
          <w:szCs w:val="28"/>
          <w:lang w:eastAsia="zh-CN"/>
        </w:rPr>
        <w:t>第二季度通辽</w:t>
      </w:r>
      <w:r>
        <w:rPr>
          <w:rFonts w:hint="eastAsia" w:ascii="楷体_GB2312" w:hAnsi="楷体" w:eastAsia="楷体_GB2312"/>
          <w:color w:val="000000"/>
          <w:sz w:val="28"/>
          <w:szCs w:val="28"/>
        </w:rPr>
        <w:t>市工程造价信息</w:t>
      </w:r>
      <w:r>
        <w:rPr>
          <w:rFonts w:hint="eastAsia" w:ascii="楷体" w:hAnsi="楷体" w:eastAsia="楷体"/>
          <w:color w:val="000000"/>
          <w:sz w:val="28"/>
          <w:szCs w:val="28"/>
        </w:rPr>
        <w:t>。</w:t>
      </w:r>
    </w:p>
    <w:p>
      <w:pPr>
        <w:spacing w:line="432" w:lineRule="auto"/>
        <w:ind w:left="120" w:leftChars="57" w:firstLine="560" w:firstLineChars="200"/>
        <w:rPr>
          <w:rFonts w:ascii="楷体" w:hAnsi="楷体" w:eastAsia="楷体"/>
          <w:color w:val="000000"/>
          <w:sz w:val="28"/>
          <w:szCs w:val="28"/>
        </w:rPr>
      </w:pPr>
      <w:r>
        <w:rPr>
          <w:rFonts w:hint="eastAsia" w:ascii="楷体" w:hAnsi="楷体" w:eastAsia="楷体"/>
          <w:color w:val="000000"/>
          <w:sz w:val="28"/>
          <w:szCs w:val="28"/>
          <w:lang w:val="en-US" w:eastAsia="zh-CN"/>
        </w:rPr>
        <w:t>7</w:t>
      </w:r>
      <w:r>
        <w:rPr>
          <w:rFonts w:hint="eastAsia" w:ascii="楷体" w:hAnsi="楷体" w:eastAsia="楷体"/>
          <w:color w:val="000000"/>
          <w:sz w:val="28"/>
          <w:szCs w:val="28"/>
        </w:rPr>
        <w:t>、材料设备市场价格。</w:t>
      </w:r>
    </w:p>
    <w:p>
      <w:pPr>
        <w:spacing w:line="432" w:lineRule="auto"/>
        <w:ind w:left="120" w:leftChars="57" w:firstLine="560" w:firstLineChars="200"/>
        <w:rPr>
          <w:rFonts w:ascii="楷体" w:hAnsi="楷体" w:eastAsia="楷体"/>
          <w:color w:val="000000"/>
          <w:sz w:val="28"/>
          <w:szCs w:val="28"/>
        </w:rPr>
      </w:pPr>
      <w:r>
        <w:rPr>
          <w:rFonts w:hint="eastAsia" w:ascii="楷体" w:hAnsi="楷体" w:eastAsia="楷体"/>
          <w:color w:val="000000"/>
          <w:sz w:val="28"/>
          <w:szCs w:val="28"/>
          <w:lang w:val="en-US" w:eastAsia="zh-CN"/>
        </w:rPr>
        <w:t>8</w:t>
      </w:r>
      <w:r>
        <w:rPr>
          <w:rFonts w:hint="eastAsia" w:ascii="楷体" w:hAnsi="楷体" w:eastAsia="楷体"/>
          <w:color w:val="000000"/>
          <w:sz w:val="28"/>
          <w:szCs w:val="28"/>
        </w:rPr>
        <w:t>、计价编制依据：</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《建设工程工程量清单计价规范》（GB50500-2013）；</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《内蒙古</w:t>
      </w:r>
      <w:r>
        <w:rPr>
          <w:rFonts w:hint="eastAsia" w:ascii="楷体" w:hAnsi="楷体" w:eastAsia="楷体"/>
          <w:color w:val="000000"/>
          <w:sz w:val="28"/>
          <w:szCs w:val="28"/>
          <w:lang w:eastAsia="zh-CN"/>
        </w:rPr>
        <w:t>房屋建筑与装饰</w:t>
      </w:r>
      <w:r>
        <w:rPr>
          <w:rFonts w:hint="eastAsia" w:ascii="楷体" w:hAnsi="楷体" w:eastAsia="楷体"/>
          <w:color w:val="000000"/>
          <w:sz w:val="28"/>
          <w:szCs w:val="28"/>
        </w:rPr>
        <w:t>工程预算定额》（2017）；</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《内蒙古</w:t>
      </w:r>
      <w:r>
        <w:rPr>
          <w:rFonts w:hint="eastAsia" w:ascii="楷体" w:hAnsi="楷体" w:eastAsia="楷体"/>
          <w:color w:val="000000"/>
          <w:sz w:val="28"/>
          <w:szCs w:val="28"/>
          <w:lang w:eastAsia="zh-CN"/>
        </w:rPr>
        <w:t>通用</w:t>
      </w:r>
      <w:r>
        <w:rPr>
          <w:rFonts w:hint="eastAsia" w:ascii="楷体" w:hAnsi="楷体" w:eastAsia="楷体"/>
          <w:color w:val="000000"/>
          <w:sz w:val="28"/>
          <w:szCs w:val="28"/>
        </w:rPr>
        <w:t>安装工程预算定额》（2017）；</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《内蒙古</w:t>
      </w:r>
      <w:r>
        <w:rPr>
          <w:rFonts w:hint="eastAsia" w:ascii="楷体" w:hAnsi="楷体" w:eastAsia="楷体"/>
          <w:color w:val="000000"/>
          <w:sz w:val="28"/>
          <w:szCs w:val="28"/>
          <w:lang w:eastAsia="zh-CN"/>
        </w:rPr>
        <w:t>通用</w:t>
      </w:r>
      <w:r>
        <w:rPr>
          <w:rFonts w:hint="eastAsia" w:ascii="楷体" w:hAnsi="楷体" w:eastAsia="楷体"/>
          <w:color w:val="000000"/>
          <w:sz w:val="28"/>
          <w:szCs w:val="28"/>
          <w:lang w:val="en-US" w:eastAsia="zh-CN"/>
        </w:rPr>
        <w:t>市政</w:t>
      </w:r>
      <w:r>
        <w:rPr>
          <w:rFonts w:hint="eastAsia" w:ascii="楷体" w:hAnsi="楷体" w:eastAsia="楷体"/>
          <w:color w:val="000000"/>
          <w:sz w:val="28"/>
          <w:szCs w:val="28"/>
        </w:rPr>
        <w:t>工程预算定额》（2017）；</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《内蒙古自治区建设工程费用计算规则》（2017）</w:t>
      </w:r>
      <w:r>
        <w:rPr>
          <w:rFonts w:hint="eastAsia" w:ascii="楷体" w:hAnsi="楷体" w:eastAsia="楷体"/>
          <w:color w:val="000000"/>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lang w:eastAsia="zh-CN"/>
        </w:rPr>
        <w:t>《</w:t>
      </w:r>
      <w:r>
        <w:rPr>
          <w:rFonts w:hint="eastAsia" w:ascii="楷体" w:hAnsi="楷体" w:eastAsia="楷体"/>
          <w:color w:val="000000"/>
          <w:sz w:val="28"/>
          <w:szCs w:val="28"/>
          <w:lang w:val="en-US" w:eastAsia="zh-CN"/>
        </w:rPr>
        <w:t>内蒙古自治区施工机械台班费用定额、仪器仪表台班费用定额、混凝土及砂浆配合比价格</w:t>
      </w:r>
      <w:r>
        <w:rPr>
          <w:rFonts w:hint="eastAsia" w:ascii="楷体" w:hAnsi="楷体" w:eastAsia="楷体"/>
          <w:color w:val="000000"/>
          <w:sz w:val="28"/>
          <w:szCs w:val="28"/>
          <w:lang w:eastAsia="zh-CN"/>
        </w:rPr>
        <w:t>》</w:t>
      </w:r>
      <w:r>
        <w:rPr>
          <w:rFonts w:hint="eastAsia" w:ascii="楷体" w:hAnsi="楷体" w:eastAsia="楷体"/>
          <w:color w:val="000000"/>
          <w:sz w:val="28"/>
          <w:szCs w:val="28"/>
        </w:rPr>
        <w:t>（2017）。</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hint="eastAsia" w:ascii="楷体" w:hAnsi="楷体" w:eastAsia="楷体"/>
          <w:color w:val="000000"/>
          <w:sz w:val="28"/>
          <w:szCs w:val="28"/>
        </w:rPr>
      </w:pPr>
      <w:r>
        <w:rPr>
          <w:rFonts w:hint="eastAsia" w:ascii="楷体" w:hAnsi="楷体" w:eastAsia="楷体"/>
          <w:color w:val="000000"/>
          <w:sz w:val="28"/>
          <w:szCs w:val="28"/>
        </w:rPr>
        <w:t>规费依据内建标函[2019]468号文《关于调整内蒙古自治区建设工程计价依据规费中养老保险费率的通知》为19%；</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hint="eastAsia" w:ascii="楷体" w:hAnsi="楷体" w:eastAsia="楷体"/>
          <w:color w:val="000000"/>
          <w:sz w:val="28"/>
          <w:szCs w:val="28"/>
        </w:rPr>
      </w:pPr>
      <w:r>
        <w:rPr>
          <w:rFonts w:hint="eastAsia" w:ascii="楷体" w:hAnsi="楷体" w:eastAsia="楷体"/>
          <w:color w:val="000000"/>
          <w:sz w:val="28"/>
          <w:szCs w:val="28"/>
        </w:rPr>
        <w:t>税金依据内建标[2019]113号文《关于调整内蒙古自治区建设工程计价依据增值税税率的通知》为9%；</w:t>
      </w:r>
    </w:p>
    <w:p>
      <w:pPr>
        <w:keepNext w:val="0"/>
        <w:keepLines w:val="0"/>
        <w:pageBreakBefore w:val="0"/>
        <w:widowControl w:val="0"/>
        <w:numPr>
          <w:ilvl w:val="0"/>
          <w:numId w:val="1"/>
        </w:numPr>
        <w:kinsoku/>
        <w:wordWrap/>
        <w:overflowPunct/>
        <w:topLinePunct w:val="0"/>
        <w:autoSpaceDE/>
        <w:autoSpaceDN/>
        <w:bidi w:val="0"/>
        <w:adjustRightInd w:val="0"/>
        <w:snapToGrid/>
        <w:spacing w:line="520" w:lineRule="atLeast"/>
        <w:ind w:left="0" w:leftChars="0" w:firstLine="425" w:firstLineChars="0"/>
        <w:textAlignment w:val="auto"/>
        <w:rPr>
          <w:rFonts w:ascii="楷体" w:hAnsi="楷体" w:eastAsia="楷体"/>
          <w:color w:val="000000"/>
          <w:sz w:val="28"/>
          <w:szCs w:val="28"/>
        </w:rPr>
      </w:pPr>
      <w:r>
        <w:rPr>
          <w:rFonts w:hint="eastAsia" w:ascii="楷体" w:hAnsi="楷体" w:eastAsia="楷体"/>
          <w:color w:val="000000"/>
          <w:sz w:val="28"/>
          <w:szCs w:val="28"/>
        </w:rPr>
        <w:t>人工费依据内建标〔2021〕148号文件“内蒙古自治区住房和城乡建设厅关于调整内蒙古自治区建设工程现行预算定额人工费通知”。</w:t>
      </w:r>
    </w:p>
    <w:bookmarkEnd w:id="6"/>
    <w:p>
      <w:pPr>
        <w:pStyle w:val="3"/>
        <w:spacing w:line="360" w:lineRule="auto"/>
        <w:ind w:firstLine="562"/>
        <w:rPr>
          <w:rFonts w:ascii="楷体" w:hAnsi="楷体" w:eastAsia="楷体"/>
          <w:b/>
        </w:rPr>
      </w:pPr>
      <w:bookmarkStart w:id="7" w:name="_Toc2886"/>
      <w:r>
        <w:rPr>
          <w:rFonts w:hint="eastAsia" w:ascii="楷体" w:hAnsi="楷体" w:eastAsia="楷体"/>
          <w:b/>
          <w:lang w:val="en-US" w:eastAsia="zh-CN"/>
        </w:rPr>
        <w:t>五</w:t>
      </w:r>
      <w:r>
        <w:rPr>
          <w:rFonts w:hint="eastAsia" w:ascii="楷体" w:hAnsi="楷体" w:eastAsia="楷体"/>
          <w:b/>
        </w:rPr>
        <w:t>、编制说明</w:t>
      </w:r>
      <w:bookmarkEnd w:id="7"/>
    </w:p>
    <w:p>
      <w:pPr>
        <w:spacing w:line="432" w:lineRule="auto"/>
        <w:ind w:left="120" w:leftChars="57" w:firstLine="560" w:firstLineChars="200"/>
        <w:rPr>
          <w:rFonts w:ascii="楷体" w:hAnsi="楷体" w:eastAsia="楷体"/>
        </w:rPr>
      </w:pPr>
      <w:r>
        <w:rPr>
          <w:rFonts w:hint="eastAsia" w:ascii="楷体" w:hAnsi="楷体" w:eastAsia="楷体"/>
          <w:color w:val="000000"/>
          <w:sz w:val="28"/>
          <w:szCs w:val="28"/>
          <w:lang w:val="en-US" w:eastAsia="zh-CN"/>
        </w:rPr>
        <w:t>1、</w:t>
      </w:r>
      <w:r>
        <w:rPr>
          <w:rFonts w:hint="eastAsia" w:ascii="楷体" w:hAnsi="楷体" w:eastAsia="楷体"/>
          <w:color w:val="000000"/>
          <w:sz w:val="28"/>
          <w:szCs w:val="28"/>
        </w:rPr>
        <w:t>关于材料：地材价差调整执行</w:t>
      </w:r>
      <w:r>
        <w:rPr>
          <w:rFonts w:hint="eastAsia" w:ascii="楷体" w:hAnsi="楷体" w:eastAsia="楷体"/>
          <w:color w:val="000000"/>
          <w:sz w:val="28"/>
          <w:szCs w:val="28"/>
          <w:lang w:val="en-US" w:eastAsia="zh-CN"/>
        </w:rPr>
        <w:t>2023</w:t>
      </w:r>
      <w:r>
        <w:rPr>
          <w:rFonts w:hint="eastAsia" w:ascii="楷体" w:hAnsi="楷体" w:eastAsia="楷体"/>
          <w:color w:val="000000"/>
          <w:sz w:val="28"/>
          <w:szCs w:val="28"/>
        </w:rPr>
        <w:t>年</w:t>
      </w:r>
      <w:r>
        <w:rPr>
          <w:rFonts w:hint="eastAsia" w:ascii="楷体" w:hAnsi="楷体" w:eastAsia="楷体"/>
          <w:color w:val="000000"/>
          <w:sz w:val="28"/>
          <w:szCs w:val="28"/>
          <w:lang w:eastAsia="zh-CN"/>
        </w:rPr>
        <w:t>第二季度</w:t>
      </w:r>
      <w:r>
        <w:rPr>
          <w:rFonts w:hint="eastAsia" w:ascii="楷体" w:hAnsi="楷体" w:eastAsia="楷体"/>
          <w:color w:val="000000"/>
          <w:sz w:val="28"/>
          <w:szCs w:val="28"/>
        </w:rPr>
        <w:t>《</w:t>
      </w:r>
      <w:r>
        <w:rPr>
          <w:rFonts w:hint="eastAsia" w:ascii="楷体" w:hAnsi="楷体" w:eastAsia="楷体"/>
          <w:color w:val="000000"/>
          <w:sz w:val="28"/>
          <w:szCs w:val="28"/>
          <w:lang w:eastAsia="zh-CN"/>
        </w:rPr>
        <w:t>通辽市</w:t>
      </w:r>
      <w:r>
        <w:rPr>
          <w:rFonts w:hint="eastAsia" w:ascii="楷体" w:hAnsi="楷体" w:eastAsia="楷体"/>
          <w:color w:val="000000"/>
          <w:sz w:val="28"/>
          <w:szCs w:val="28"/>
        </w:rPr>
        <w:t>工程造价信息》，其它材料按如造价信息有的按造价信息执行，如造价信息过高的或造价信息没有的，按市场询价执行。</w:t>
      </w:r>
      <w:bookmarkStart w:id="8" w:name="_GoBack"/>
      <w:bookmarkEnd w:id="8"/>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9F814"/>
    <w:multiLevelType w:val="singleLevel"/>
    <w:tmpl w:val="F5E9F81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3NTMxZTBmNWQ1MmY1MWY0ZGQ2MTc2YzdmZWE3ZTAifQ=="/>
  </w:docVars>
  <w:rsids>
    <w:rsidRoot w:val="007F34F7"/>
    <w:rsid w:val="0001437B"/>
    <w:rsid w:val="000251DF"/>
    <w:rsid w:val="000408E0"/>
    <w:rsid w:val="00041E39"/>
    <w:rsid w:val="00066FEE"/>
    <w:rsid w:val="00085ECA"/>
    <w:rsid w:val="00090E75"/>
    <w:rsid w:val="00091B52"/>
    <w:rsid w:val="000C075B"/>
    <w:rsid w:val="000F2BA1"/>
    <w:rsid w:val="001029E3"/>
    <w:rsid w:val="001159B3"/>
    <w:rsid w:val="001251A2"/>
    <w:rsid w:val="0012572C"/>
    <w:rsid w:val="00175148"/>
    <w:rsid w:val="00191472"/>
    <w:rsid w:val="001C0327"/>
    <w:rsid w:val="001E1ABD"/>
    <w:rsid w:val="001E4937"/>
    <w:rsid w:val="001F103E"/>
    <w:rsid w:val="001F2EBE"/>
    <w:rsid w:val="001F75A5"/>
    <w:rsid w:val="002113E6"/>
    <w:rsid w:val="00223DEC"/>
    <w:rsid w:val="002513D0"/>
    <w:rsid w:val="00253EDE"/>
    <w:rsid w:val="002B3371"/>
    <w:rsid w:val="002C1AF3"/>
    <w:rsid w:val="002D509D"/>
    <w:rsid w:val="003032A6"/>
    <w:rsid w:val="00324168"/>
    <w:rsid w:val="003640B6"/>
    <w:rsid w:val="00364C9D"/>
    <w:rsid w:val="00365B76"/>
    <w:rsid w:val="00366D57"/>
    <w:rsid w:val="00374C4B"/>
    <w:rsid w:val="00393193"/>
    <w:rsid w:val="003A1136"/>
    <w:rsid w:val="003A68F2"/>
    <w:rsid w:val="003C00CE"/>
    <w:rsid w:val="003D2D45"/>
    <w:rsid w:val="003E6DDA"/>
    <w:rsid w:val="003F3CA3"/>
    <w:rsid w:val="00423D75"/>
    <w:rsid w:val="00450B19"/>
    <w:rsid w:val="00451E6E"/>
    <w:rsid w:val="004533CA"/>
    <w:rsid w:val="0047017E"/>
    <w:rsid w:val="004A00D7"/>
    <w:rsid w:val="004A07CD"/>
    <w:rsid w:val="004A13A8"/>
    <w:rsid w:val="004D6406"/>
    <w:rsid w:val="004E1035"/>
    <w:rsid w:val="004F17E4"/>
    <w:rsid w:val="005053B1"/>
    <w:rsid w:val="00530401"/>
    <w:rsid w:val="0053432E"/>
    <w:rsid w:val="00574ADC"/>
    <w:rsid w:val="00582C88"/>
    <w:rsid w:val="00592010"/>
    <w:rsid w:val="00594E7E"/>
    <w:rsid w:val="005A77A9"/>
    <w:rsid w:val="005B2D1A"/>
    <w:rsid w:val="005B40E5"/>
    <w:rsid w:val="005C4E3B"/>
    <w:rsid w:val="005D3C22"/>
    <w:rsid w:val="005F0C85"/>
    <w:rsid w:val="005F46C8"/>
    <w:rsid w:val="006133A0"/>
    <w:rsid w:val="00642271"/>
    <w:rsid w:val="00676498"/>
    <w:rsid w:val="00686E30"/>
    <w:rsid w:val="00693C5A"/>
    <w:rsid w:val="006A51EE"/>
    <w:rsid w:val="006A64EC"/>
    <w:rsid w:val="006C679F"/>
    <w:rsid w:val="006E2D78"/>
    <w:rsid w:val="006F4462"/>
    <w:rsid w:val="007026FC"/>
    <w:rsid w:val="00763404"/>
    <w:rsid w:val="00775F49"/>
    <w:rsid w:val="00792963"/>
    <w:rsid w:val="00797721"/>
    <w:rsid w:val="007B0B35"/>
    <w:rsid w:val="007B5EF7"/>
    <w:rsid w:val="007C2A8E"/>
    <w:rsid w:val="007E7CFE"/>
    <w:rsid w:val="007F34F7"/>
    <w:rsid w:val="00867ADA"/>
    <w:rsid w:val="00897B2B"/>
    <w:rsid w:val="008B6D3A"/>
    <w:rsid w:val="008C79C5"/>
    <w:rsid w:val="008F782C"/>
    <w:rsid w:val="009030D1"/>
    <w:rsid w:val="0090459C"/>
    <w:rsid w:val="00912688"/>
    <w:rsid w:val="00943E42"/>
    <w:rsid w:val="009723A9"/>
    <w:rsid w:val="00995803"/>
    <w:rsid w:val="009A199C"/>
    <w:rsid w:val="009A46D2"/>
    <w:rsid w:val="009E526A"/>
    <w:rsid w:val="009F21C5"/>
    <w:rsid w:val="00A268C2"/>
    <w:rsid w:val="00A32186"/>
    <w:rsid w:val="00A34DDA"/>
    <w:rsid w:val="00A442E5"/>
    <w:rsid w:val="00A77871"/>
    <w:rsid w:val="00A93AF2"/>
    <w:rsid w:val="00A96463"/>
    <w:rsid w:val="00AA7F84"/>
    <w:rsid w:val="00AD6987"/>
    <w:rsid w:val="00AE70FD"/>
    <w:rsid w:val="00AF3E9C"/>
    <w:rsid w:val="00B11ACC"/>
    <w:rsid w:val="00B233AF"/>
    <w:rsid w:val="00B44FA6"/>
    <w:rsid w:val="00B47CBC"/>
    <w:rsid w:val="00B51D4E"/>
    <w:rsid w:val="00B7090A"/>
    <w:rsid w:val="00BA5E1D"/>
    <w:rsid w:val="00BB10DF"/>
    <w:rsid w:val="00C039B3"/>
    <w:rsid w:val="00C126A6"/>
    <w:rsid w:val="00CC16F8"/>
    <w:rsid w:val="00CC57FA"/>
    <w:rsid w:val="00CD4E6B"/>
    <w:rsid w:val="00CD5EE8"/>
    <w:rsid w:val="00CE4082"/>
    <w:rsid w:val="00CF4F89"/>
    <w:rsid w:val="00CF7BBC"/>
    <w:rsid w:val="00D018F6"/>
    <w:rsid w:val="00D21DE2"/>
    <w:rsid w:val="00D35A8A"/>
    <w:rsid w:val="00D36526"/>
    <w:rsid w:val="00D36B1E"/>
    <w:rsid w:val="00D41BAD"/>
    <w:rsid w:val="00D45F2F"/>
    <w:rsid w:val="00D56B07"/>
    <w:rsid w:val="00D823B1"/>
    <w:rsid w:val="00D85CAB"/>
    <w:rsid w:val="00DD58B8"/>
    <w:rsid w:val="00DE0017"/>
    <w:rsid w:val="00E04228"/>
    <w:rsid w:val="00E10DA4"/>
    <w:rsid w:val="00E111A5"/>
    <w:rsid w:val="00E50A47"/>
    <w:rsid w:val="00E840F4"/>
    <w:rsid w:val="00E87236"/>
    <w:rsid w:val="00EB33C3"/>
    <w:rsid w:val="00ED1C63"/>
    <w:rsid w:val="00ED3E80"/>
    <w:rsid w:val="00ED7B2E"/>
    <w:rsid w:val="00F243D5"/>
    <w:rsid w:val="00F45048"/>
    <w:rsid w:val="00F50D03"/>
    <w:rsid w:val="00F66E92"/>
    <w:rsid w:val="00F97469"/>
    <w:rsid w:val="00FB00BC"/>
    <w:rsid w:val="00FB1C98"/>
    <w:rsid w:val="00FC7D4B"/>
    <w:rsid w:val="00FD4BDF"/>
    <w:rsid w:val="00FF7015"/>
    <w:rsid w:val="07005EC6"/>
    <w:rsid w:val="09A517E8"/>
    <w:rsid w:val="0D2C3A73"/>
    <w:rsid w:val="1E450A81"/>
    <w:rsid w:val="251240E5"/>
    <w:rsid w:val="2C344011"/>
    <w:rsid w:val="2CAB4DC6"/>
    <w:rsid w:val="33062F70"/>
    <w:rsid w:val="355F3024"/>
    <w:rsid w:val="43E754D6"/>
    <w:rsid w:val="4A1C75EF"/>
    <w:rsid w:val="52496819"/>
    <w:rsid w:val="66FE549A"/>
    <w:rsid w:val="69623F36"/>
    <w:rsid w:val="704E12D0"/>
    <w:rsid w:val="75662603"/>
    <w:rsid w:val="78E212B8"/>
    <w:rsid w:val="7B854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0"/>
    <w:pPr>
      <w:keepNext/>
      <w:ind w:firstLine="560" w:firstLineChars="200"/>
      <w:outlineLvl w:val="1"/>
    </w:pPr>
    <w:rPr>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9"/>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toc 2"/>
    <w:basedOn w:val="1"/>
    <w:next w:val="1"/>
    <w:unhideWhenUsed/>
    <w:qFormat/>
    <w:uiPriority w:val="39"/>
    <w:pPr>
      <w:ind w:left="420" w:leftChars="200"/>
    </w:p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unhideWhenUsed/>
    <w:qFormat/>
    <w:uiPriority w:val="99"/>
    <w:rPr>
      <w:color w:val="0000FF" w:themeColor="hyperlink"/>
      <w:u w:val="single"/>
      <w14:textFill>
        <w14:solidFill>
          <w14:schemeClr w14:val="hlink"/>
        </w14:solidFill>
      </w14:textFill>
    </w:rPr>
  </w:style>
  <w:style w:type="character" w:customStyle="1" w:styleId="14">
    <w:name w:val="页眉 Char"/>
    <w:basedOn w:val="11"/>
    <w:link w:val="6"/>
    <w:semiHidden/>
    <w:qFormat/>
    <w:uiPriority w:val="99"/>
    <w:rPr>
      <w:sz w:val="18"/>
      <w:szCs w:val="18"/>
    </w:rPr>
  </w:style>
  <w:style w:type="character" w:customStyle="1" w:styleId="15">
    <w:name w:val="页脚 Char"/>
    <w:basedOn w:val="11"/>
    <w:link w:val="5"/>
    <w:qFormat/>
    <w:uiPriority w:val="99"/>
    <w:rPr>
      <w:sz w:val="18"/>
      <w:szCs w:val="18"/>
    </w:rPr>
  </w:style>
  <w:style w:type="character" w:customStyle="1" w:styleId="16">
    <w:name w:val="标题 2 Char"/>
    <w:basedOn w:val="11"/>
    <w:link w:val="3"/>
    <w:qFormat/>
    <w:uiPriority w:val="0"/>
    <w:rPr>
      <w:rFonts w:ascii="Times New Roman" w:hAnsi="Times New Roman" w:eastAsia="宋体" w:cs="Times New Roman"/>
      <w:sz w:val="28"/>
      <w:szCs w:val="24"/>
    </w:rPr>
  </w:style>
  <w:style w:type="character" w:customStyle="1" w:styleId="17">
    <w:name w:val="标题 1 Char"/>
    <w:basedOn w:val="11"/>
    <w:link w:val="2"/>
    <w:qFormat/>
    <w:uiPriority w:val="9"/>
    <w:rPr>
      <w:rFonts w:ascii="Times New Roman" w:hAnsi="Times New Roman" w:eastAsia="宋体" w:cs="Times New Roman"/>
      <w:b/>
      <w:bCs/>
      <w:kern w:val="44"/>
      <w:sz w:val="44"/>
      <w:szCs w:val="44"/>
    </w:rPr>
  </w:style>
  <w:style w:type="paragraph" w:customStyle="1" w:styleId="18">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9">
    <w:name w:val="批注框文本 Char"/>
    <w:basedOn w:val="11"/>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3ED10-7A5E-4558-BFC9-ED34501F5A0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4756</Words>
  <Characters>5320</Characters>
  <Lines>53</Lines>
  <Paragraphs>15</Paragraphs>
  <TotalTime>258</TotalTime>
  <ScaleCrop>false</ScaleCrop>
  <LinksUpToDate>false</LinksUpToDate>
  <CharactersWithSpaces>5427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2015-06-04T08:59:00Z</dcterms:created>
  <dc:creator>微软用户</dc:creator>
  <cp:lastModifiedBy>土豆你个西红柿</cp:lastModifiedBy>
  <cp:lastPrinted>2023-11-21T02:04:00Z</cp:lastPrinted>
  <dcterms:modified xsi:type="dcterms:W3CDTF">2023-11-22T08:30:00Z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EBA69730FEE74A52BE617ABCDCD46C51_13</vt:lpwstr>
  </property>
</Properties>
</file>