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8"/>
          <w:lang w:val="en-US" w:eastAsia="zh-CN"/>
        </w:rPr>
        <w:t>分 项 报 价 表</w:t>
      </w:r>
    </w:p>
    <w:bookmarkEnd w:id="0"/>
    <w:tbl>
      <w:tblPr>
        <w:tblStyle w:val="4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63"/>
        <w:gridCol w:w="8374"/>
        <w:gridCol w:w="704"/>
        <w:gridCol w:w="724"/>
        <w:gridCol w:w="984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附表1：硬件设备和软件分项报价表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单价报价(元)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总价报价(元)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1、阿拉善盟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远程可见光电视摄像机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a)视场角：宽视场≥16°×9°；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变焦倍率：连续光学变焦不小于60倍（不使用扩展镜的条件下）；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c）★通光口径：≥90mm；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d）★镜头具有预置功能，支持自动聚焦。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a）成像器件：≥1/2″CCD或CMOS成像器件，支持黑白、彩色自动切换；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b）★分辨率：≥2560×1440；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c）图像帧率：≥25fps；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d）灵敏度：黑白模式优于0.01lx，彩色模式优于0.1lx。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 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在良好照明情况下，将国际三线靶标板放在距可见光电视摄像机500m处，昼间视频图像主观评价应达到4级以上，夜间图像质量应清晰、无明显斑点噪声。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对人员的识别距离不小于9km，对小型目标的识别距离不小于10km。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注：以上识别距离是指在能见度不小于 15 km、温度 25 ℃和湿度 80%、目标与背景温差不小于 5 k 条件下的作用距离。人员目标是指 1.75 m 高的人，小型目标是指尺寸为 4 m×2 m×1.5 m 的船只或 4 m×2 m ×1.5 m 的车辆。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非制冷红外热像仪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a）视场角：宽视场≥19°×15°；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b）变焦倍率：连续光学变焦≥10倍，通光口径≥150 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a）像元材料：氧化钒或多晶硅红外探测器；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b）★分辨率：≥640×512；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c）★启动时间：≤20s；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d）工作波段：8～14μm。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对人员的识别距离不小于2.5km，对小型目标的识别距离不小于6km。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重型转台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1)最大方位回转速度：≥45°/s；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2)最大方位回转加速度：≥60°/s2；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3)最小方位回转速度：≤0.1°/s；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4)最大俯仰回转速度：≥30°/s；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5)最大俯仰回转加速度：≥60°/ s2；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6)最小俯仰回转速度：≤0.1°/s；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7)方位转动范围：0°～360°连续旋转；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8)★俯仰转动范围：-45°～+45°；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9)★回归精度：≤0.1°；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10)预置位数：≥256；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11)防护等级：不低于IP66。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智能控制柜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 空间容纳：能够放置空气开关、防雷模块、编码器、智能网关和电源模块等设备；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b) 智能恒温：具有温度传感器，可设置工作温度范围，当超出范围时自动启动散热或加热单元；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c) 智能恒湿：具有湿度传感器，可设置工作湿度范围，当超出范围时自动启动除湿单元；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d) 供电检测与控制：能够实时监测控制柜内设备及供电系统的电压、电流，可设置安全电压值，当过载时能够告警，超过安全值自动切断供电系统，可远程手动切断或接通各个设备供电；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e) 柜门状态监测：能够远程实时监测控制柜门的开关状态，可对长时间开门状态进行报警；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f) 远程管理：多前端控制柜可集中在后端平台进行信息显示和管理，支持内部功能模块远端固件升级;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g) 安全防护：能够防高低温、沙尘、冲击、振动、淋雨、湿热和防风压等，以保证置于露天控制柜内的设备正常工作。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超近程Ⅱ型监控前端摄像机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 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宽视场≥50°×28°，连续光学变焦≥22倍（不使用扩展镜条的件下），通光口径≥40 mm，应具有辅助照明光源，镜头具有预置功能，支持自动聚焦。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 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成像器件：≥1/2″CCD或CMOS成像器件，能黑白、彩色自动切换；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★分辨率：≥2560×1440；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图像帧率：≥25 fps；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灵敏度：黑白模式优于0.01 lx，彩色模式优于0.1 lx。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 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 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在良好照明情况下，昼间视频图像主观评价应达到4级以上，夜间图像质量应清晰、无明显斑点噪声。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 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昼间对人员的识别距离不小于0.5 km，夜间对人员的识别距离不小于0.3 km。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存储设备（含硬盘）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 视频数据按H.264/H.265/MPEG-4/MJPEG视频编码格式和文件格式进行存储，或按GB/T 25724的相关要求进行存储。音频数据按G.711/G.723.1/G.729等音频编解码格式存储；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 存储的可见光图像数据应支持1080P、2K（2560×1440）等图像分辨率，存储的红外图像应支持640×512或更高图像分辨率；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 支持按图像的来源、记录时间和报警事件类别等多种方式对存储的图像数据进行检索，支持多用户同时访问同一数据资源；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 支持参数配置、日志管理、数据管理和自动备份等；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 支持图像记录、回放同时工作的双工模式，应支持图像高码流记录；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 应具有以太网接口，支持TCP/IP协议；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 CVR存储不小于64路，存储硬盘容量不小于192T。支持原有视频监控存储。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数据融合单元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2台管理客户端，1台接入交换机，支持管理原有监控。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2、巴彦淖尔市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远程可见光电视摄像机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a)视场角：宽视场≥16°×9°；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b）★变焦倍率：连续光学变焦不小于60倍（不使用扩展镜的条件下）；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c）★通光口径：≥90mm；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d）★镜头具有预置功能，支持自动聚焦。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a）成像器件：≥1/2″CCD或CMOS成像器件，支持黑白、彩色自动切换；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b）★分辨率：≥2560×1440；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c）图像帧率：≥25fps；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d）灵敏度：黑白模式优于0.01lx，彩色模式优于0.1lx。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 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在良好照明情况下，将国际三线靶标板放在距可见光电视摄像机500m处，昼间视频图像主观评价应达到4级以上，夜间图像质量应清晰、无明显斑点噪声。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对人员的识别距离不小于9km，对小型目标的识别距离不小于10km。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注：以上识别距离是指在能见度不小于 15 km、温度 25 ℃和湿度 80%、目标与背景温差不小于 5 k 条件下的作用距离。人员目标是指 1.75 m 高的人，小型目标是指尺寸为 4 m×2 m×1.5 m 的船只或 4 m×2 m ×1.5 m 的车辆。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非制冷红外热像仪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a）视场角：宽视场≥19°×15°；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b）变焦倍率：连续光学变焦≥10倍，通光口径≥150 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a）像元材料：氧化钒或多晶硅红外探测器；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b）★分辨率：≥640×512；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c）★启动时间：≤20s；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d）工作波段：8～14μm。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对人员的识别距离不小于2.5km，对小型目标的识别距离不小于6km。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重型转台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1)最大方位回转速度：≥45°/s；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2)最大方位回转加速度：≥60°/s2；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3)最小方位回转速度：≤0.1°/s；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4)最大俯仰回转速度：≥30°/s；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5)最大俯仰回转加速度：≥60°/ s2；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6)最小俯仰回转速度：≤0.1°/s；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7)方位转动范围：0°～360°连续旋转；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8)★俯仰转动范围：-45°～+45°；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9)★回归精度：≤0.1°；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10)预置位数：≥256；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11)防护等级：不低于IP66。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智能控制柜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 空间容纳：能够放置空气开关、防雷模块、编码器、智能网关和电源模块等设备；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b) 智能恒温：具有温度传感器，可设置工作温度范围，当超出范围时自动启动散热或加热单元；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c) 智能恒湿：具有湿度传感器，可设置工作湿度范围，当超出范围时自动启动除湿单元；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d) 供电检测与控制：能够实时监测控制柜内设备及供电系统的电压、电流，可设置安全电压值，当过载时能够告警，超过安全值自动切断供电系统，可远程手动切断或接通各个设备供电；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e) 柜门状态监测：能够远程实时监测控制柜门的开关状态，可对长时间开门状态进行报警；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f) 远程管理：多前端控制柜可集中在后端平台进行信息显示和管理，支持内部功能模块远端固件升级;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g) 安全防护：能够防高低温、沙尘、冲击、振动、淋雨、湿热和防风压等，以保证置于露天控制柜内的设备正常工作。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3、锡林郭勒盟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远程可见光电视摄像机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a)视场角：宽视场≥16°×9°；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b）★变焦倍率：连续光学变焦不小于60倍（不使用扩展镜的条件下）；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c）★通光口径：≥90mm；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d）★镜头具有预置功能，支持自动聚焦。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a）成像器件：≥1/2″CCD或CMOS成像器件，支持黑白、彩色自动切换；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b）★分辨率：≥2560×1440；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c）图像帧率：≥25fps；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d）灵敏度：黑白模式优于0.01lx，彩色模式优于0.1lx。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 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在良好照明情况下，将国际三线靶标板放在距可见光电视摄像机500m处，昼间视频图像主观评价应达到4级以上，夜间图像质量应清晰、无明显斑点噪声。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对人员的识别距离不小于9km，对小型目标的识别距离不小于10km。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注：以上识别距离是指在能见度不小于 15 km、温度 25 ℃和湿度 80%、目标与背景温差不小于 5 k 条件下的作用距离。人员目标是指 1.75 m 高的人，小型目标是指尺寸为 4 m×2 m×1.5 m 的船只或 4 m×2 m ×1.5 m 的车辆。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非制冷红外热像仪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1)光学系统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a）视场角：宽视场≥19°×15°；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b）变焦倍率：连续光学变焦≥10倍，通光口径≥150 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a）像元材料：氧化钒或多晶硅红外探测器；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b）★分辨率：≥640×512；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c）★启动时间：≤20s；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d）工作波段：8～14μm。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3)编码标准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支持H.264/H.265/MPEG-4/MJPEG编码格式，宜满足GB/T 33475.2或GB/T 25724的相关要求。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4)图像质量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夜间图像质量应清晰、无明显斑点噪声。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5)作用距离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对人员的识别距离不小于2.5km，对小型目标的识别距离不小于6km。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重型转台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1)最大方位回转速度：≥45°/s；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2)最大方位回转加速度：≥60°/s2；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3)最小方位回转速度：≤0.1°/s；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4)最大俯仰回转速度：≥30°/s；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5)最大俯仰回转加速度：≥60°/ s2；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6)最小俯仰回转速度：≤0.1°/s；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7)方位转动范围：0°～360°连续旋转；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8)★俯仰转动范围：-45°～+45°；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9)★回归精度：≤0.1°；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10)预置位数：≥256；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11)防护等级：不低于IP66。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智能控制柜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 空间容纳：能够放置空气开关、防雷模块、编码器、智能网关和电源模块等设备；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b) 智能恒温：具有温度传感器，可设置工作温度范围，当超出范围时自动启动散热或加热单元；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c) 智能恒湿：具有湿度传感器，可设置工作湿度范围，当超出范围时自动启动除湿单元；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d) 供电检测与控制：能够实时监测控制柜内设备及供电系统的电压、电流，可设置安全电压值，当过载时能够告警，超过安全值自动切断供电系统，可远程手动切断或接通各个设备供电；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e) 柜门状态监测：能够远程实时监测控制柜门的开关状态，可对长时间开门状态进行报警；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f) 远程管理：多前端控制柜可集中在后端平台进行信息显示和管理，支持内部功能模块远端固件升级;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g) 安全防护：能够防高低温、沙尘、冲击、振动、淋雨、湿热和防风压等，以保证置于露天控制柜内的设备正常工作。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存储设备（含硬盘）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 视频数据按H.264/H.265/MPEG-4/MJPEG视频编码格式和文件格式进行存储，或按GB/T 25724的相关要求进行存储。音频数据按G.711/G.723.1/G.729等音频编解码格式存储；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 存储的可见光图像数据应支持1080P、2K（2560×1440）等图像分辨率，存储的红外图像应支持640×512或更高图像分辨率；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 支持按图像的来源、记录时间和报警事件类别等多种方式对存储的图像数据进行检索，支持多用户同时访问同一数据资源；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 支持参数配置、日志管理、数据管理和自动备份等；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 支持图像记录、回放同时工作的双工模式，应支持图像高码流记录；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 应具有以太网接口，支持TCP/IP协议；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 CVR存储不小于64路，存储硬盘容量不小于288T。支持原有视频监控存储。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华为MateView GT 34英寸 WQHD  3K 165Hz 可壁挂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数据融合单元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2台管理客户端，1台接入交换机，支持管理原有监控。增加控制端2套（控制键盘、LED屏控制器）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4、修理更换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修理球机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超近程Ⅱ型监控前端摄像机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修理云台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近端摄像机云台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修理球型云台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含远程可见光电视摄像机、非制冷红外热像仪，重型转台，控制柜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换光端机</w:t>
            </w:r>
          </w:p>
        </w:tc>
        <w:tc>
          <w:tcPr>
            <w:tcW w:w="2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千兆以太网电口≥24，千兆光口≥4，交换容量≥336Gbps，含1对千兆光模块和光跳线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总计（1+2+3+4）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投标人全称（加盖公章）：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法定代表人/负责人或委托代理人（签字或盖章）：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146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510"/>
        <w:gridCol w:w="5660"/>
        <w:gridCol w:w="1160"/>
        <w:gridCol w:w="1230"/>
        <w:gridCol w:w="1320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附表3：维护费分项报价表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维护内容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单价报价(元)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总价报价(元)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定期巡检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巡检天数90天 ，工程师3人（软件工程师1人、硬件工程师2人），其他相关人员投标单位自行考虑。具体详见：“内蒙古自治区智能管控设施维护项目初步设计方案”中5.6 日常运行维护系统方案。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日常和应急维护及培训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日常和应急维护详见“内蒙古自治区智能管控设施维护项目初步设计方案”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培训：次数5次，每次2人（专家）7天。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易损耗材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胶体电池8只*4组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太阳能光伏板300Wp 100块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34英寸显示器20台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投标人全称（加盖公章）：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法定代表人/负责人或委托代理人（签字或盖章）：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r>
        <w:rPr>
          <w:rFonts w:hint="eastAsia"/>
          <w:color w:val="FF0000"/>
          <w:lang w:val="en-US" w:eastAsia="zh-CN"/>
        </w:rPr>
        <w:t>注：分项报价不得超过单价限价及总价限价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DgzZTgzM2E1MTRkODVmYWYzNWE2YTEwNWFmOGYifQ=="/>
  </w:docVars>
  <w:rsids>
    <w:rsidRoot w:val="356A008D"/>
    <w:rsid w:val="356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40" w:lineRule="exact"/>
      <w:jc w:val="center"/>
    </w:pPr>
    <w:rPr>
      <w:rFonts w:ascii="仿宋_GB2312" w:hAnsi="Times New Roman" w:eastAsia="仿宋_GB2312" w:cs="Times New Roman"/>
      <w:sz w:val="28"/>
      <w:szCs w:val="24"/>
    </w:rPr>
  </w:style>
  <w:style w:type="paragraph" w:customStyle="1" w:styleId="3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2023-02-27T02:25:00Z</dcterms:created>
  <dc:creator>ZHJ-Y</dc:creator>
  <cp:lastModifiedBy>ZHJ-Y</cp:lastModifiedBy>
  <dcterms:modified xsi:type="dcterms:W3CDTF">2023-02-27T02:25:51Z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66F51CBD89144FB9A6057F8BB6F16F0E</vt:lpwstr>
  </property>
</Properties>
</file>