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b/>
          <w:spacing w:val="-2"/>
          <w:szCs w:val="21"/>
        </w:rPr>
      </w:pPr>
      <w:bookmarkStart w:id="0" w:name="_GoBack"/>
      <w:bookmarkEnd w:id="0"/>
      <w:r>
        <w:rPr>
          <w:rFonts w:ascii="宋体" w:hAnsi="宋体"/>
          <w:b/>
          <w:spacing w:val="-2"/>
          <w:szCs w:val="21"/>
        </w:rPr>
        <w:t>委托检</w:t>
      </w:r>
      <w:r>
        <w:rPr>
          <w:rFonts w:hint="eastAsia" w:ascii="宋体" w:hAnsi="宋体"/>
          <w:b/>
          <w:spacing w:val="-2"/>
          <w:szCs w:val="21"/>
        </w:rPr>
        <w:t>测</w:t>
      </w:r>
      <w:r>
        <w:rPr>
          <w:rFonts w:ascii="宋体" w:hAnsi="宋体"/>
          <w:b/>
          <w:spacing w:val="-2"/>
          <w:szCs w:val="21"/>
        </w:rPr>
        <w:t>项目明细</w:t>
      </w:r>
      <w:r>
        <w:rPr>
          <w:rFonts w:hint="eastAsia" w:ascii="宋体" w:hAnsi="宋体"/>
          <w:b/>
          <w:spacing w:val="-2"/>
          <w:szCs w:val="21"/>
        </w:rPr>
        <w:t>：</w:t>
      </w:r>
    </w:p>
    <w:tbl>
      <w:tblPr>
        <w:tblStyle w:val="4"/>
        <w:tblW w:w="14580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56"/>
        <w:gridCol w:w="719"/>
        <w:gridCol w:w="1176"/>
        <w:gridCol w:w="2856"/>
        <w:gridCol w:w="830"/>
        <w:gridCol w:w="614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项目价格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收费编码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收费小项目名称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小项目价格</w:t>
            </w:r>
          </w:p>
        </w:tc>
        <w:tc>
          <w:tcPr>
            <w:tcW w:w="9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4" w:hRule="atLeast"/>
        </w:trPr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结核分枝杆菌 rpoB 基因和突变检测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CLFB9000</w:t>
            </w:r>
          </w:p>
        </w:tc>
        <w:tc>
          <w:tcPr>
            <w:tcW w:w="1312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结核 分 枝 杆 菌 rpoB 基因 和 突 变检测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9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1、采用六色实时巢式荧光PCR技术，样本的核酸提取、扩增和荧光检测在一个独立封闭的试剂盒内完成；1 份标本，1 次检测，即可获得结核分枝杆菌及其利福平耐药 2 项结果；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2、高灵敏度、高特异性：检测涂阳标本的灵敏度为&gt;95%，检测涂阴标本的灵敏度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70%，特异性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98%；以表型药敏为参考标准，Xpert 检测利福平耐药的灵敏度与特异性分别为97.6%和 98.1% 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3、高准确度：内部质控，真正实现对每个样本检测过程的监控，确保检测的高准确度；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4、每周一到周日医院检验科取样开始到出具检验报告的时间≤24小时，意外情况需提前告知医院检验科；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5、样本类型：肺结核样本包括痰、肺泡灌洗液、胸膜活检组织/胸水等；肺外结核样本包括脑脊液、骨关节脓液、胃液、尿液、淋巴结穿刺组织、其他病变组织等；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6、样本转运时间≤2小时；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病原微生物宏基因组检测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TXYL0015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病原微生物宏基因组检测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3500</w:t>
            </w:r>
          </w:p>
        </w:tc>
        <w:tc>
          <w:tcPr>
            <w:tcW w:w="9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优化破壁技术：针对每一份样本采用三维扭矩破壁技术，提升样本破壁效率；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2、采用一步法酶切，可实现微量建库，每个样本建库起始量≤10ng；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3、单个样本测序数据量不少于35M，且测序读长≥50bp；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4、适用于国产高通量测序平台，扩增方式：采用芯片表面在线扩增，且在测序平台上可滚动运行两种芯片；中通量芯片单次运行生成不低于250M reads；高通量芯片单次运行生成不低于500M reads；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5、SE50测序模式下的测序质量：Q30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80%；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6、每一批次上机测序的样本中，除临床样本外必须添加至少1个对照样本，有效进行样本防污染监测；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7、从检验科取样开始到解读结果报告发出的时间≤24小时，意外情况及周六日≤48小时，意外情况需提前告知医院检验科；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8、涵盖≥20000种病原微生物，包括病毒、细菌、真菌、寄生虫、分枝杆菌、支原体/衣原体等；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9、结果报告部分，内容包含：检测重点结果汇总信息、高度关注病原列表、高度关注病原的介绍、耐药基因和毒力因子的筛查结果；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10、可根据院端需求定制化报告模板，例如对报告模块内容进行增加或删除等；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11、在进行样本的核酸提取操作之前，每个样本中添加内参，实现对样本全流程的监测；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12、核酸提取试剂及测序试剂具有国产医疗器械注册证认证；                                          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13、样本转运时间≤2小时；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呼吸道病毒核酸六重联检</w:t>
            </w:r>
          </w:p>
        </w:tc>
        <w:tc>
          <w:tcPr>
            <w:tcW w:w="7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4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CLBL8000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腺病毒脱氧核糖核酸扩增定性检测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9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1、呼吸道病毒核酸六重联检，采用实时荧光PCR探针法检测甲型流感病毒、呼吸道合胞病毒、腺病毒、乙型流感病毒、副流感I型、副流感Ⅲ型；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2、通过分子生物学手段尤其是PCR反应检测呼吸道分泌物中的病毒特异性基因片段，具有很高的敏感性,特异性强,有早期诊断价值。多重PCR可同时检测多种病毒；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3、每周一到周日医院检验科取样开始到出具检验报告的时间≤24小时，意外情况需提前告知医院检验科；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4、样本类型：鼻/咽拭子等，采集方便快捷；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5、样本转运时间≤2小时；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CLAE8000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病原体核糖核酸扩增定性检测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9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CLAE8000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病原体核糖核酸扩增定性检测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9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CLAE8000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病原体核糖核酸扩增定性检测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9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CLAE8000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病原体核糖核酸扩增定性检测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9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11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CLAE8000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病原体核糖核酸扩增定性检测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9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新型隐球菌荚膜抗原检测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CGPY8000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新型隐球菌荚膜抗原测定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9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1、新型隐球菌荚膜抗原检测采用免疫层析法检测患者脑脊液、血清样本中的隐球菌荚膜多糖；可用于隐球菌性脑膜炎的辅助诊断；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2、荚膜多糖抗原检测为肺隐球菌病首选诊断筛查手段；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3、高敏感度，高特异性，敏感度为100%，特异性&gt;90%；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4、每周一到周日医院检验科取样开始到出具检验报告的时间≤24小时，意外情况需提前告知医院检验科；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5、样本类型：鼻/咽拭子等，采集方便快捷；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6、样本转运时间≤2小时；</w:t>
            </w:r>
          </w:p>
        </w:tc>
      </w:tr>
    </w:tbl>
    <w:p>
      <w:pPr>
        <w:spacing w:line="360" w:lineRule="auto"/>
        <w:rPr>
          <w:rFonts w:ascii="宋体" w:hAnsi="宋体"/>
          <w:b/>
          <w:spacing w:val="-2"/>
          <w:szCs w:val="21"/>
        </w:rPr>
      </w:pPr>
    </w:p>
    <w:p/>
    <w:sectPr>
      <w:headerReference r:id="rId5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567" w:right="1440" w:bottom="567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2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0457069"/>
    <w:multiLevelType w:val="singleLevel"/>
    <w:tmpl w:val="9045706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ZhOTA1ODU3NzUyNTExODZjYTA1YmQwNzg4Y2NkMWUifQ=="/>
  </w:docVars>
  <w:rsids>
    <w:rsidRoot w:val="6F7C559B"/>
    <w:rsid w:val="6D4A46AC"/>
    <w:rsid w:val="6F7C5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1460</Words>
  <Characters>1624</Characters>
  <Lines>0</Lines>
  <Paragraphs>0</Paragraphs>
  <TotalTime>0</TotalTime>
  <ScaleCrop>false</ScaleCrop>
  <LinksUpToDate>false</LinksUpToDate>
  <CharactersWithSpaces>1687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2023-06-07T00:45:00Z</dcterms:created>
  <dc:creator>41848</dc:creator>
  <cp:lastModifiedBy>41848</cp:lastModifiedBy>
  <dcterms:modified xsi:type="dcterms:W3CDTF">2023-06-14T05:46:01Z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EAC0EA25AA5743E999F3CE4231C8D875_11</vt:lpwstr>
  </property>
</Properties>
</file>