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/>
        </w:rPr>
        <w:t>附件1：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内蒙古建筑职业技术学院图书馆中文图书加工要求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/>
        <w:rPr>
          <w:rFonts w:hint="eastAsia" w:ascii="宋体" w:hAnsi="宋体" w:eastAsia="宋体" w:cs="宋体"/>
          <w:b/>
          <w:color w:val="00000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70" w:firstLineChars="196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图书的加工将由中标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负责，提供全加工服务。其编目数据加工标准及加工流程必须符合本馆要求及本细则，误差不超过0.1%，如有违反，按合同约定处理。具体要求如下：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一、磁条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规格：每册书不论薄厚都粘贴2根16CM钴基复合磁条（不得更换其它类型的磁条）。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粘贴要求：粘贴位置要求靠里不外露，最好将磁条贴到图书的后半部分靠最里面的地方。对夹贴磁条后的图书要进行复查，确保无遗漏。没有按规定夹磁条的图书一律退回。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二、馆藏章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规格：长： 5cm，宽：3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.5</w:t>
      </w:r>
      <w:r>
        <w:rPr>
          <w:rFonts w:hint="eastAsia" w:ascii="宋体" w:hAnsi="宋体" w:eastAsia="宋体" w:cs="宋体"/>
          <w:sz w:val="24"/>
          <w:szCs w:val="24"/>
        </w:rPr>
        <w:t>cm。馆藏章印有蒙、汉两种文字，汉文刻“内蒙古建筑职业技术学院图书馆藏书”字样。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要求：每本书馆藏章盖2枚，红色。第一个章盖于书名页，要求章的下边缘在出版社名上方3厘米居中的位置（如书名页无法盖章可选择半书名页等清晰处）。第二个盖于图书书口中央。馆藏章要求清晰、美观、端正，位置适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734310" cy="3778250"/>
            <wp:effectExtent l="0" t="0" r="12700" b="8890"/>
            <wp:docPr id="1" name="图片 1" descr="微信图片_2022070408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04084617"/>
                    <pic:cNvPicPr>
                      <a:picLocks noChangeAspect="1"/>
                    </pic:cNvPicPr>
                  </pic:nvPicPr>
                  <pic:blipFill>
                    <a:blip r:embed="rId4"/>
                    <a:srcRect l="19454"/>
                    <a:stretch>
                      <a:fillRect/>
                    </a:stretch>
                  </pic:blipFill>
                  <pic:spPr>
                    <a:xfrm rot="-5400000" flipH="1" flipV="1">
                      <a:off x="0" y="0"/>
                      <a:ext cx="273431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2" w:firstLineChars="25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三、条形码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规格：要求粘贴覆膜条形码，条形码为长方形，宽：5cm，高：1.5cm，每条条形码号为9位数，条形码号前印有“内建职院图”字样。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粘贴要求：（1）每本图书贴同号条码2张：第1张贴于书名页右上角，且距离右、上两边缘各0.5CM处贴牢；第2张贴于末页（不是封底页）左上角，且距离左、上两边缘各0.5CM处贴牢。条形码要粘贴整齐、端正，便于扫描。（2）从最小号码开始连续使用，同一种图书的条码要连续，若号段不够用，请联系我馆，不要擅自延续条码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562225" cy="8286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2" w:firstLineChars="25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四、编目工作质量要求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0" w:firstLineChars="2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严格依据标准calis编目数据进行准确编目，我馆将对数据的完整性做重点检查，字段要求按MARC编目模板规范录入。如发现不符合我馆编目要求要及时进行修改，待我馆审核合格后方可继续加工。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1．编目前需认真核对书目信息，以确保与图书信息一致。若有缺少的字段需添加完整。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2．编目日期请按当前日期给定，请勿使用历史时间。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3．092订购信息字段请删除。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4．3XX的字段有则必备的请将其准确完整录入。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5．606字段，进行后组标引。应多链接主题词606字段，方便读者用主题词检索。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6．690字段，如果在编文献有多种分类，则链接多个690字段，把其中需要分配书次号的690字段放在所有连接的690字段的最前面。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7．“801记录来源字段”改为我馆馆藏信息，即“＄b机构名称代码”为我学院图书馆名称拼音首字母缩写，应为“＄</w:t>
      </w:r>
      <w:r>
        <w:rPr>
          <w:rFonts w:hint="eastAsia" w:ascii="宋体" w:hAnsi="宋体" w:eastAsia="宋体" w:cs="宋体"/>
          <w:sz w:val="24"/>
          <w:szCs w:val="24"/>
        </w:rPr>
        <w:softHyphen/>
      </w:r>
      <w:r>
        <w:rPr>
          <w:rFonts w:hint="eastAsia" w:ascii="宋体" w:hAnsi="宋体" w:eastAsia="宋体" w:cs="宋体"/>
          <w:sz w:val="24"/>
          <w:szCs w:val="24"/>
        </w:rPr>
        <w:t>aCN</w:t>
      </w:r>
      <w:r>
        <w:rPr>
          <w:rFonts w:hint="eastAsia" w:ascii="宋体" w:hAnsi="宋体" w:eastAsia="宋体" w:cs="宋体"/>
          <w:sz w:val="24"/>
          <w:szCs w:val="24"/>
        </w:rPr>
        <w:softHyphen/>
      </w:r>
      <w:r>
        <w:rPr>
          <w:rFonts w:hint="eastAsia" w:ascii="宋体" w:hAnsi="宋体" w:eastAsia="宋体" w:cs="宋体"/>
          <w:sz w:val="24"/>
          <w:szCs w:val="24"/>
        </w:rPr>
        <w:t>＄bJYTSG＄</w:t>
      </w:r>
      <w:r>
        <w:rPr>
          <w:rFonts w:hint="eastAsia" w:ascii="宋体" w:hAnsi="宋体" w:eastAsia="宋体" w:cs="宋体"/>
          <w:sz w:val="24"/>
          <w:szCs w:val="24"/>
        </w:rPr>
        <w:softHyphen/>
      </w:r>
      <w:r>
        <w:rPr>
          <w:rFonts w:hint="eastAsia" w:ascii="宋体" w:hAnsi="宋体" w:eastAsia="宋体" w:cs="宋体"/>
          <w:sz w:val="24"/>
          <w:szCs w:val="24"/>
        </w:rPr>
        <w:t>c########”。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8．905字段，添加种次号时，请选择已经使用最大号的下一个号。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9. 906字段添加副本。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10.标准、图集、规范此类图书分配索书号时，需在书次号后加上年代，年代依据094字段确定（见例1），年代用括号括住，括号在英文、半角状态下输入（见例2）。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例1：</w: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INCLUDEPICTURE "C:\\Users\\Administrator\\AppData\\Roaming\\Tencent\\Users\\459628807\\QQ\\WinTemp\\RichOle\\CLLZ~F5KP]_9(Q{5ZX(]CEV.png" \* MERGEFORMATINET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3695065" cy="227965"/>
            <wp:effectExtent l="0" t="0" r="635" b="635"/>
            <wp:docPr id="3" name="图片 3" descr="CLLZ~F5KP]_9(Q{5ZX(]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LLZ~F5KP]_9(Q{5ZX(]CE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例2：</w: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kern w:val="0"/>
          <w:sz w:val="24"/>
          <w:szCs w:val="24"/>
        </w:rPr>
        <w:instrText xml:space="preserve"> INCLUDEPICTURE "C:\\Users\\Administrator\\AppData\\Roaming\\Tencent\\Users\\459628807\\QQ\\WinTemp\\RichOle\\%1_({]T[5`UTYA(5`]Y@V39.png" \* MERGEFORMATINET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3906520" cy="189230"/>
            <wp:effectExtent l="0" t="0" r="17780" b="1270"/>
            <wp:docPr id="4" name="图片 4" descr="%1_({]T[5`UTYA(5`]Y@V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%1_({]T[5`UTYA(5`]Y@V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11. 子字段中需要加拼音时，用＄A，不用＄9。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12.按照《中图法》（第五版）分类、参照图书版权页、Calis、国家图书馆等信息加工。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如图书分为上、下册，请在905$e种次号后面加  “/上”“/下”；例如A24/5/上（注：书标上显示的“上”是在书次号下另起一行）。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如图书分为1、2、....卷册，请在905$e种次号后面加  “.1” “.2”.例如K20/2.1，K20/2.2。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13.套书价格录入时，请将价格分录，例如套书价格120元（全三册），即每套3册，在单册登录时须按每册单价40元进行录入。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14.财产号与条码号一致，可按相同录入。图书条码号要连续，不许有漏号书。若为一套书，上、下册的复本条码号分别应是连续的。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15. 馆藏地设置</w:t>
      </w:r>
    </w:p>
    <w:tbl>
      <w:tblPr>
        <w:tblStyle w:val="5"/>
        <w:tblW w:w="8221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3402"/>
        <w:gridCol w:w="411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221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3600" w:firstLineChars="1500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馆藏地分配表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1080" w:firstLineChars="4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馆藏地</w:t>
            </w:r>
          </w:p>
        </w:tc>
        <w:tc>
          <w:tcPr>
            <w:tcW w:w="4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C0C0C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类目分配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240" w:firstLineChars="10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分馆借阅处</w:t>
            </w:r>
          </w:p>
        </w:tc>
        <w:tc>
          <w:tcPr>
            <w:tcW w:w="4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480" w:firstLineChars="200"/>
              <w:jc w:val="center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根据专业匹配进行类目分配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240" w:firstLineChars="10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科技图书借阅处（代码00010）</w:t>
            </w:r>
          </w:p>
        </w:tc>
        <w:tc>
          <w:tcPr>
            <w:tcW w:w="4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P、T、U、X  共4类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240" w:firstLineChars="10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社科图书借阅处（代码00009）</w:t>
            </w:r>
          </w:p>
        </w:tc>
        <w:tc>
          <w:tcPr>
            <w:tcW w:w="41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spacing w:line="360" w:lineRule="auto"/>
              <w:ind w:left="0" w:leftChars="0" w:firstLine="480" w:firstLineChars="20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A、B、C、D、E、F、G、H、I、J、K、N、O、Q、R、S、V、Z  共18类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.中文图书编目模板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360" w:firstLineChars="1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3074670"/>
            <wp:effectExtent l="0" t="0" r="1206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2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五、书标及书标模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规格：书标大小及颜色：长4cm，高3cm，白底、红色边。书标模要宽于书标2厘米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要求：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每本书贴书标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张：一张贴于书脊上，距底部4厘米处，并加书标膜覆盖；第2张贴于图书书名页左上角，且距离左、上两边缘0.5厘米处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书标打印内容：书标共三栏，第一栏分类号；第二栏书次号,第三栏财产号,居中打印。如有光盘第一栏分类号；第二栏书次号,第三栏CD,第四栏财产号。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需将图书的类目名称靠书脊最左处粘贴，不得将类目名称贴到书脊的前面或后面。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120" w:leftChars="0" w:hanging="120" w:hangingChars="5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begin"/>
      </w:r>
      <w:r>
        <w:instrText xml:space="preserve"> INCLUDEPICTURE "../Documents/WeChat Files/wxid_cqe1looiqehv11/FileStorage/File/Documents/WeChat Files/wxid_cqe1looiqehv11/FileStorage/File/Documents/Tencent%20Files/459628807/Image/C2C/C65C075CB37A3AE0BC8C6FB30C2B0169.png" \* MERGEFORMAT </w:instrText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624455" cy="2406015"/>
            <wp:effectExtent l="0" t="0" r="4445" b="13335"/>
            <wp:docPr id="6" name="图片 6" descr="C65C075CB37A3AE0BC8C6FB30C2B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5C075CB37A3AE0BC8C6FB30C2B01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525395" cy="96774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360" w:firstLineChars="15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sz w:val="24"/>
          <w:szCs w:val="24"/>
        </w:rPr>
        <w:t>六、随书光盘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0" w:firstLineChars="2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1、每张光盘贴一个索书号，随书光盘的索书号和图书索书号相同。将图书末页的书标改贴在CD上即可，书标不可贴在光盘袋上。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0" w:firstLineChars="2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2．在光盘上贴书标时，不要盖住题名、ISBN、出版社等重要信息，选择的顺序为：一下、二上、三左、四右。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0" w:firstLineChars="25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3．Marc加工时，须在010字段下面继续增加一个010字段；例如光盘标识字段010：$a7-81012-471-4$b光盘，215$e光盘1片，并在系统分配索书号对话框中附件栏标明附光盘X片。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0" w:firstLineChars="2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4．打印含CD的书标时，“CD”要另起一行，例如：K265.06/4/CD。</w:t>
      </w:r>
    </w:p>
    <w:p>
      <w:pPr>
        <w:keepNext w:val="0"/>
        <w:keepLines w:val="0"/>
        <w:pageBreakBefore w:val="0"/>
        <w:tabs>
          <w:tab w:val="left" w:pos="2170"/>
          <w:tab w:val="left" w:pos="2410"/>
          <w:tab w:val="left" w:pos="2835"/>
          <w:tab w:val="left" w:pos="2977"/>
          <w:tab w:val="left" w:pos="3969"/>
        </w:tabs>
        <w:kinsoku/>
        <w:wordWrap/>
        <w:overflowPunct/>
        <w:topLinePunct w:val="0"/>
        <w:bidi w:val="0"/>
        <w:spacing w:line="360" w:lineRule="auto"/>
        <w:ind w:left="0" w:leftChars="0" w:firstLine="482" w:firstLineChars="20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七、图书包装和运输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严格按标准包（每包20KG以下）进行包装，</w:t>
      </w:r>
      <w:r>
        <w:rPr>
          <w:rFonts w:hint="eastAsia" w:ascii="宋体" w:hAnsi="宋体" w:eastAsia="宋体" w:cs="宋体"/>
          <w:kern w:val="0"/>
          <w:sz w:val="24"/>
          <w:szCs w:val="24"/>
        </w:rPr>
        <w:t>使用防水牛皮纸</w:t>
      </w:r>
      <w:r>
        <w:rPr>
          <w:rFonts w:hint="eastAsia" w:ascii="宋体" w:hAnsi="宋体" w:eastAsia="宋体" w:cs="宋体"/>
          <w:sz w:val="24"/>
          <w:szCs w:val="24"/>
        </w:rPr>
        <w:t>。分类打包图书，同种书放入一包中。系列图书、丛书、成套图书应放在同一批数据中加工，打在同一包中。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图书总清单一式二份，随书打包，清单加盖公章，应包含有</w:t>
      </w:r>
      <w:r>
        <w:rPr>
          <w:rFonts w:hint="eastAsia" w:ascii="宋体" w:hAnsi="宋体" w:eastAsia="宋体" w:cs="宋体"/>
          <w:kern w:val="0"/>
          <w:sz w:val="24"/>
          <w:szCs w:val="24"/>
        </w:rPr>
        <w:t>发货清单批次号、</w:t>
      </w:r>
      <w:r>
        <w:rPr>
          <w:rFonts w:hint="eastAsia" w:ascii="宋体" w:hAnsi="宋体" w:eastAsia="宋体" w:cs="宋体"/>
          <w:sz w:val="24"/>
          <w:szCs w:val="24"/>
        </w:rPr>
        <w:t>书号、书名、条码号（升序排列）、</w:t>
      </w:r>
      <w:r>
        <w:rPr>
          <w:rFonts w:hint="eastAsia" w:ascii="宋体" w:hAnsi="宋体" w:eastAsia="宋体" w:cs="宋体"/>
          <w:kern w:val="0"/>
          <w:sz w:val="24"/>
          <w:szCs w:val="24"/>
        </w:rPr>
        <w:t>著者、</w:t>
      </w:r>
      <w:r>
        <w:rPr>
          <w:rFonts w:hint="eastAsia" w:ascii="宋体" w:hAnsi="宋体" w:eastAsia="宋体" w:cs="宋体"/>
          <w:sz w:val="24"/>
          <w:szCs w:val="24"/>
        </w:rPr>
        <w:t>出版社、</w:t>
      </w:r>
      <w:r>
        <w:rPr>
          <w:rFonts w:hint="eastAsia" w:ascii="宋体" w:hAnsi="宋体" w:eastAsia="宋体" w:cs="宋体"/>
          <w:kern w:val="0"/>
          <w:sz w:val="24"/>
          <w:szCs w:val="24"/>
        </w:rPr>
        <w:t>种(册)数</w:t>
      </w:r>
      <w:r>
        <w:rPr>
          <w:rFonts w:hint="eastAsia" w:ascii="宋体" w:hAnsi="宋体" w:eastAsia="宋体" w:cs="宋体"/>
          <w:sz w:val="24"/>
          <w:szCs w:val="24"/>
        </w:rPr>
        <w:t>、单价以及总价。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每包附带该包的图书验收明细单一份。明细内容包括包号、书号、书名、条码号、单价、册数、每包的小计等。包装显著位置标明馆名、包号。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每批图书提供图书财产帐一份，应包含有书号、书名、条码号（升序排列）、出版社、单价、册数、码洋。左边距为 2.2cm以上以备装订；边框设置为40%灰度，字体设置为9磅宋体，行距适当调整。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sz w:val="24"/>
          <w:szCs w:val="24"/>
        </w:rPr>
        <w:t>乙方在图书发运前一天以电话或其他方式通知甲方，按要求将图书送达指定地点。交由甲方验收前所产生的如包装费、搬运费等一切费用或损失，甲方不予承担。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602" w:firstLineChars="25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八、质量保证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 xml:space="preserve">须对图书进行检查，发现残破、污损、倒装、缺页、漏白等印刷质量问题及时更换。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单本超过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00元以上高码洋中文图书，应及时与图书馆联系确认后，方可配送。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所采图书复本为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册，复本有出入的图书供应商要与采购单位再次核对，否则图书到货后无论加工与否，图书全部退货，由此造成的损失及费用由图书供应商承担。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配书过程中发现不适合高职院校的图书，如教材、中小学少儿图书等类的图书无条件剔除该书。</w:t>
      </w:r>
    </w:p>
    <w:p>
      <w:pPr>
        <w:keepNext w:val="0"/>
        <w:keepLines w:val="0"/>
        <w:pageBreakBefore w:val="0"/>
        <w:tabs>
          <w:tab w:val="left" w:pos="2170"/>
          <w:tab w:val="left" w:pos="2410"/>
          <w:tab w:val="left" w:pos="2835"/>
          <w:tab w:val="left" w:pos="2977"/>
          <w:tab w:val="left" w:pos="3969"/>
        </w:tabs>
        <w:kinsoku/>
        <w:wordWrap/>
        <w:overflowPunct/>
        <w:topLinePunct w:val="0"/>
        <w:bidi w:val="0"/>
        <w:spacing w:line="360" w:lineRule="auto"/>
        <w:ind w:left="0" w:leftChars="0" w:firstLine="482" w:firstLineChars="200"/>
        <w:jc w:val="left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九</w:t>
      </w:r>
      <w:r>
        <w:rPr>
          <w:rFonts w:hint="eastAsia" w:ascii="宋体" w:hAnsi="宋体" w:eastAsia="宋体" w:cs="宋体"/>
          <w:b/>
          <w:sz w:val="24"/>
          <w:szCs w:val="24"/>
        </w:rPr>
        <w:t>、加工时间</w:t>
      </w:r>
    </w:p>
    <w:p>
      <w:pPr>
        <w:keepNext w:val="0"/>
        <w:keepLines w:val="0"/>
        <w:pageBreakBefore w:val="0"/>
        <w:tabs>
          <w:tab w:val="left" w:pos="2170"/>
          <w:tab w:val="left" w:pos="2410"/>
          <w:tab w:val="left" w:pos="2835"/>
          <w:tab w:val="left" w:pos="2977"/>
          <w:tab w:val="left" w:pos="3969"/>
        </w:tabs>
        <w:kinsoku/>
        <w:wordWrap/>
        <w:overflowPunct/>
        <w:topLinePunct w:val="0"/>
        <w:bidi w:val="0"/>
        <w:spacing w:line="360" w:lineRule="auto"/>
        <w:ind w:left="0" w:leftChars="0"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加工完成并发书到馆需在规定时间内完成（详见合同）。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lYjU5NzczYTcxZjdjMTM0NDRiY2QzYmI3NTVjNDAifQ=="/>
  </w:docVars>
  <w:rsids>
    <w:rsidRoot w:val="737C7BED"/>
    <w:rsid w:val="50643504"/>
    <w:rsid w:val="737C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99"/>
    <w:pPr>
      <w:ind w:firstLine="420"/>
    </w:pPr>
    <w:rPr>
      <w:szCs w:val="20"/>
    </w:rPr>
  </w:style>
  <w:style w:type="paragraph" w:styleId="3">
    <w:name w:val="Body Text"/>
    <w:basedOn w:val="1"/>
    <w:next w:val="4"/>
    <w:qFormat/>
    <w:uiPriority w:val="0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4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2500</Words>
  <Characters>2715</Characters>
  <Lines>0</Lines>
  <Paragraphs>0</Paragraphs>
  <TotalTime>0</TotalTime>
  <ScaleCrop>false</ScaleCrop>
  <LinksUpToDate>false</LinksUpToDate>
  <CharactersWithSpaces>2736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2023-07-03T08:31:00Z</dcterms:created>
  <dc:creator>DJ</dc:creator>
  <cp:lastModifiedBy>DJ</cp:lastModifiedBy>
  <dcterms:modified xsi:type="dcterms:W3CDTF">2023-07-14T01:29:22Z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470078E5E1A54F9FA019F2F2F89827F2_13</vt:lpwstr>
  </property>
</Properties>
</file>