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keepLines/>
        <w:numPr>
          <w:ilvl w:val="0"/>
          <w:numId w:val="1"/>
        </w:numPr>
        <w:spacing w:before="340" w:after="330" w:line="480" w:lineRule="auto"/>
        <w:ind w:firstLine="1044"/>
        <w:outlineLvl w:val="0"/>
        <w:rPr>
          <w:rFonts w:ascii="Times New Roman" w:hAnsi="Times New Roman" w:eastAsia="宋体" w:cs="Times New Roman"/>
          <w:b/>
          <w:kern w:val="44"/>
          <w:sz w:val="44"/>
        </w:rPr>
      </w:pPr>
      <w:bookmarkStart w:id="0" w:name="_Toc16470"/>
      <w:bookmarkStart w:id="1" w:name="_Toc20118"/>
      <w:bookmarkStart w:id="2" w:name="_Toc21730"/>
      <w:bookmarkStart w:id="3" w:name="_Toc16291"/>
      <w:r>
        <w:rPr>
          <w:rFonts w:hint="eastAsia" w:ascii="Times New Roman" w:hAnsi="Times New Roman" w:eastAsia="宋体" w:cs="Times New Roman"/>
          <w:b/>
          <w:kern w:val="44"/>
          <w:sz w:val="44"/>
        </w:rPr>
        <w:t>本期项目设计方案</w:t>
      </w:r>
      <w:bookmarkEnd w:id="0"/>
      <w:bookmarkEnd w:id="1"/>
    </w:p>
    <w:p>
      <w:pPr>
        <w:keepNext/>
        <w:keepLines/>
        <w:numPr>
          <w:ilvl w:val="1"/>
          <w:numId w:val="1"/>
        </w:numPr>
        <w:spacing w:before="260" w:after="260" w:line="413" w:lineRule="auto"/>
        <w:ind w:firstLine="1044"/>
        <w:outlineLvl w:val="1"/>
        <w:rPr>
          <w:rFonts w:ascii="Arial" w:hAnsi="Arial" w:eastAsia="黑体" w:cs="Times New Roman"/>
          <w:b/>
        </w:rPr>
      </w:pPr>
      <w:bookmarkStart w:id="4" w:name="_Toc11047"/>
      <w:bookmarkStart w:id="5" w:name="_Toc27842"/>
      <w:bookmarkStart w:id="6" w:name="_Toc23885"/>
      <w:r>
        <w:rPr>
          <w:rFonts w:hint="eastAsia" w:ascii="Arial" w:hAnsi="Arial" w:eastAsia="黑体" w:cs="Times New Roman"/>
          <w:b/>
        </w:rPr>
        <w:t>建设目标、规模与内容</w:t>
      </w:r>
      <w:bookmarkEnd w:id="4"/>
      <w:bookmarkEnd w:id="5"/>
      <w:bookmarkEnd w:id="6"/>
    </w:p>
    <w:p>
      <w:pPr>
        <w:keepNext/>
        <w:keepLines/>
        <w:numPr>
          <w:ilvl w:val="2"/>
          <w:numId w:val="1"/>
        </w:numPr>
        <w:spacing w:line="413" w:lineRule="auto"/>
        <w:ind w:firstLine="1044"/>
        <w:outlineLvl w:val="2"/>
        <w:rPr>
          <w:rFonts w:ascii="Times New Roman" w:hAnsi="Times New Roman" w:eastAsia="宋体" w:cs="Times New Roman"/>
          <w:b/>
        </w:rPr>
      </w:pPr>
      <w:bookmarkStart w:id="7" w:name="_Toc100128589"/>
      <w:bookmarkStart w:id="8" w:name="_Toc25602"/>
      <w:bookmarkStart w:id="9" w:name="_Toc14891"/>
      <w:r>
        <w:rPr>
          <w:rFonts w:hint="eastAsia" w:ascii="Times New Roman" w:hAnsi="Times New Roman" w:eastAsia="宋体" w:cs="Times New Roman"/>
          <w:b/>
        </w:rPr>
        <w:t>建设目标</w:t>
      </w:r>
      <w:bookmarkEnd w:id="7"/>
      <w:bookmarkEnd w:id="8"/>
      <w:bookmarkEnd w:id="9"/>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为贯彻落实国家“十四五”统计信息化发展规划，内蒙古自治区近年来紧跟时代潮流，积极推动大数据等现代信息技术在统计调查中的应用，在推进过程中坚持问题导向和需求导向，切中统计实际工作中的一些堵点、痛点，将地理信息技术与统计数据相结合，组织开展了“一张图”数字化平台建设工作并积极将“一张图”数字化平台融入统计工作，在实现数据融合运用的基础上，打破了专业之间的数据壁垒，推动了统计数据的灵活运用、分类展示和数据共享，使统计数据更加地可视化、便捷化和智能化，切实提升了统计工作信息化和现代化水平。</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下一步要在现有工作基础上，深入拓展统计信息化建设的广度、深度和高度，拓宽数据来源和渠道，引入外部数据资源，充分拓展数据使用边界。要继续延伸数据链条，在数据发布、分析以及资料编辑等方面有效实践，重点在现有数据挖掘运用、外部数据拓展以及微观数据应用、宏观经济监测等方面继续开展深入研究，全面提升统计信息化工作和服务水平。本项目旨在前期工作建设的基础上，通过建设统计业务支撑平台、统计数字化应用平台等，以建立数字化指标与应用体系。通过建设指标管理系统和报表分析系统，实现统计指标体系数字化管理和统计报表智能化分析应用，筑牢统计工作基础，便于统计工作人员便捷地收集报表。建设统计智能应用系统、统计移动应用系统，构建数据查询展示、在线演示、执法检查、园区专题应用等功能模块以及移动应用APP，实现从方便快捷的数据浏览查询到智能化的统计数据分析应用的业务闭环，为统计局专业业务工作精细化、便捷化、智能可视化提供更可靠的技术支撑，提升统计局各专业处室的工作效率。</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同时为深入贯彻习近平总书记关于统计工作重要讲话重要指示批示精神，抓紧抓实统计督察整改，持续巩固提高数据质量，提升统计数据公信力，严格履行防范和惩治统计造假、弄虚作假主体责任，同时加强督查考核力度，本项目将以督查事项为核心打造全流程监管的督查督办业务系统和线上考核评价系统，全面提升办公效率，实现协同办公管理，为统一各级统计部门的数据报送渠道及统计指标口径提供支撑。通过统计数字化平台建设和督考一体化平台建设，业务办公两手抓，共同推进“互联网+数字政府”进程，为内蒙古统计局电子政务建设奠定基础。</w:t>
      </w:r>
    </w:p>
    <w:p>
      <w:pPr>
        <w:spacing w:after="12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此外，本项目以建立现代化统计数据分析监测体系为目标，利用现代信息技术成果，推进信息技术与统计业务工作深度融合，为提升政府统计能力，推进统计数据分析监测现代化体系建设提供技术支撑。建立统计信息化和统计数据分析监测相互适应的现代化管理模式，推进统计业务流程的优化与再造。</w:t>
      </w:r>
    </w:p>
    <w:p>
      <w:pPr>
        <w:keepNext/>
        <w:keepLines/>
        <w:numPr>
          <w:ilvl w:val="2"/>
          <w:numId w:val="1"/>
        </w:numPr>
        <w:spacing w:line="413" w:lineRule="auto"/>
        <w:ind w:firstLine="1044"/>
        <w:outlineLvl w:val="2"/>
        <w:rPr>
          <w:rFonts w:ascii="Times New Roman" w:hAnsi="Times New Roman" w:eastAsia="宋体" w:cs="Times New Roman"/>
          <w:b/>
        </w:rPr>
      </w:pPr>
      <w:bookmarkStart w:id="10" w:name="_Toc19452"/>
      <w:bookmarkStart w:id="11" w:name="_Toc22681"/>
      <w:bookmarkStart w:id="12" w:name="_Toc100128590"/>
      <w:r>
        <w:rPr>
          <w:rFonts w:hint="eastAsia" w:ascii="Times New Roman" w:hAnsi="Times New Roman" w:eastAsia="宋体" w:cs="Times New Roman"/>
          <w:b/>
        </w:rPr>
        <w:t>建设规模</w:t>
      </w:r>
      <w:bookmarkEnd w:id="10"/>
      <w:bookmarkEnd w:id="11"/>
      <w:bookmarkEnd w:id="12"/>
    </w:p>
    <w:p>
      <w:pPr>
        <w:spacing w:line="360" w:lineRule="auto"/>
        <w:ind w:firstLine="480" w:firstLineChars="200"/>
        <w:rPr>
          <w:rFonts w:ascii="Times New Roman" w:hAnsi="Times New Roman" w:eastAsia="宋体" w:cs="Times New Roman"/>
          <w:sz w:val="24"/>
          <w:szCs w:val="28"/>
          <w:lang w:val="zh-CN"/>
        </w:rPr>
      </w:pPr>
      <w:r>
        <w:rPr>
          <w:rFonts w:ascii="Times New Roman" w:hAnsi="Times New Roman" w:eastAsia="宋体" w:cs="Times New Roman"/>
          <w:sz w:val="24"/>
          <w:szCs w:val="28"/>
          <w:lang w:val="zh-CN"/>
        </w:rPr>
        <w:t>本项目建成后，主要使用人员为</w:t>
      </w:r>
      <w:r>
        <w:rPr>
          <w:rFonts w:hint="eastAsia" w:ascii="Times New Roman" w:hAnsi="Times New Roman" w:eastAsia="宋体" w:cs="Times New Roman"/>
          <w:sz w:val="24"/>
          <w:szCs w:val="28"/>
          <w:lang w:val="zh-CN"/>
        </w:rPr>
        <w:t>自治区、盟市统计部门相</w:t>
      </w:r>
      <w:r>
        <w:rPr>
          <w:rFonts w:ascii="Times New Roman" w:hAnsi="Times New Roman" w:eastAsia="宋体" w:cs="Times New Roman"/>
          <w:sz w:val="24"/>
          <w:szCs w:val="28"/>
          <w:lang w:val="zh-CN"/>
        </w:rPr>
        <w:t>关人员，总投资规模为</w:t>
      </w:r>
      <w:r>
        <w:rPr>
          <w:rFonts w:ascii="Times New Roman" w:hAnsi="Times New Roman" w:eastAsia="宋体" w:cs="Times New Roman"/>
          <w:sz w:val="24"/>
          <w:szCs w:val="28"/>
        </w:rPr>
        <w:t>5</w:t>
      </w:r>
      <w:r>
        <w:rPr>
          <w:rFonts w:hint="eastAsia" w:ascii="Times New Roman" w:hAnsi="Times New Roman" w:eastAsia="宋体" w:cs="Times New Roman"/>
          <w:sz w:val="24"/>
          <w:szCs w:val="28"/>
          <w:lang w:val="en-US" w:eastAsia="zh-CN"/>
        </w:rPr>
        <w:t>29</w:t>
      </w:r>
      <w:r>
        <w:rPr>
          <w:rFonts w:ascii="Times New Roman" w:hAnsi="Times New Roman" w:eastAsia="宋体" w:cs="Times New Roman"/>
          <w:sz w:val="24"/>
          <w:szCs w:val="28"/>
          <w:lang w:val="zh-CN"/>
        </w:rPr>
        <w:t>万元。</w:t>
      </w:r>
      <w:bookmarkStart w:id="121" w:name="_GoBack"/>
      <w:bookmarkEnd w:id="121"/>
    </w:p>
    <w:p>
      <w:pPr>
        <w:keepNext/>
        <w:keepLines/>
        <w:numPr>
          <w:ilvl w:val="2"/>
          <w:numId w:val="1"/>
        </w:numPr>
        <w:spacing w:line="413" w:lineRule="auto"/>
        <w:ind w:firstLine="1044"/>
        <w:outlineLvl w:val="2"/>
        <w:rPr>
          <w:rFonts w:ascii="Times New Roman" w:hAnsi="Times New Roman" w:eastAsia="宋体" w:cs="Times New Roman"/>
          <w:b/>
        </w:rPr>
      </w:pPr>
      <w:bookmarkStart w:id="13" w:name="_Toc100128591"/>
      <w:bookmarkStart w:id="14" w:name="_Toc11777"/>
      <w:bookmarkStart w:id="15" w:name="_Toc8481"/>
      <w:r>
        <w:rPr>
          <w:rFonts w:hint="eastAsia" w:ascii="Times New Roman" w:hAnsi="Times New Roman" w:eastAsia="宋体" w:cs="Times New Roman"/>
          <w:b/>
        </w:rPr>
        <w:t>建设内容</w:t>
      </w:r>
      <w:bookmarkEnd w:id="13"/>
      <w:bookmarkEnd w:id="14"/>
      <w:bookmarkEnd w:id="15"/>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本项目主要建设任务和内容如下：</w:t>
      </w:r>
    </w:p>
    <w:p>
      <w:pPr>
        <w:numPr>
          <w:ilvl w:val="0"/>
          <w:numId w:val="2"/>
        </w:num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信息资源与数据库建设</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围绕统计数字化和督考一体化业务需求，打造基础数据库、业务数据库和管理数据库，实现数据资源的规范管理和长效应用，支撑统计数字化业务体系以及综合管理应用。</w:t>
      </w:r>
    </w:p>
    <w:p>
      <w:pPr>
        <w:numPr>
          <w:ilvl w:val="0"/>
          <w:numId w:val="2"/>
        </w:num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统计业务支撑平台建设</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为更好地服务于局内各业务处室，保障对各类基础报表、月度报表、年度报表的顺利绘制，打造数字化统计指标体系，构建指标管理系统和报表分析系统，降低系统的操作难度，从通用性，实现智能化的统计报表应用以及统计报表与数字化统计指标体系的贯通，全面实现各专业计算和数据分析需求。</w:t>
      </w:r>
    </w:p>
    <w:p>
      <w:pPr>
        <w:numPr>
          <w:ilvl w:val="0"/>
          <w:numId w:val="2"/>
        </w:num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统计数字化应用平台建设</w:t>
      </w:r>
    </w:p>
    <w:p>
      <w:pPr>
        <w:spacing w:line="360" w:lineRule="auto"/>
        <w:ind w:firstLine="480"/>
        <w:rPr>
          <w:rFonts w:ascii="Times New Roman" w:hAnsi="Times New Roman" w:eastAsia="宋体" w:cs="Times New Roman"/>
          <w:sz w:val="24"/>
          <w:szCs w:val="20"/>
        </w:rPr>
      </w:pPr>
      <w:r>
        <w:rPr>
          <w:rFonts w:hint="eastAsia" w:ascii="Times New Roman" w:hAnsi="Times New Roman" w:eastAsia="宋体" w:cs="Times New Roman"/>
          <w:sz w:val="24"/>
          <w:szCs w:val="20"/>
        </w:rPr>
        <w:t>包括统计智能应用系统、统计移动应用系统，同时推动应用系统在盟市推广和应用。</w:t>
      </w:r>
    </w:p>
    <w:p>
      <w:pPr>
        <w:spacing w:line="360" w:lineRule="auto"/>
        <w:ind w:firstLine="480"/>
        <w:rPr>
          <w:rFonts w:ascii="Times New Roman" w:hAnsi="Times New Roman" w:eastAsia="宋体" w:cs="Times New Roman"/>
          <w:sz w:val="24"/>
          <w:szCs w:val="20"/>
        </w:rPr>
      </w:pPr>
      <w:r>
        <w:rPr>
          <w:rFonts w:hint="eastAsia" w:ascii="Times New Roman" w:hAnsi="Times New Roman" w:eastAsia="宋体" w:cs="Times New Roman"/>
          <w:sz w:val="24"/>
          <w:szCs w:val="20"/>
        </w:rPr>
        <w:t>统计智能应用系统：包括但不限于数据的查询展示，数据与图表的在线演示、园区专题应用，以及执法检查等内容。数据查询展示提供多样化的数据查询与可视化途径，为用户提供方便快捷的信息获取渠道；在线演示功能支持将生成的统计图表导入在线演示模块中提升用户单位汇报工作效率；执法监查</w:t>
      </w:r>
      <w:r>
        <w:rPr>
          <w:rFonts w:ascii="Times New Roman" w:hAnsi="Times New Roman" w:eastAsia="宋体" w:cs="Times New Roman"/>
          <w:sz w:val="24"/>
          <w:szCs w:val="20"/>
        </w:rPr>
        <w:t>实现统计执法全流程信息化，检查方案制定，检查任务生成、现场检查、整改处罚、执法人员管理、资料管理等一系列功能</w:t>
      </w:r>
      <w:r>
        <w:rPr>
          <w:rFonts w:hint="eastAsia" w:ascii="Times New Roman" w:hAnsi="Times New Roman" w:eastAsia="宋体" w:cs="Times New Roman"/>
          <w:sz w:val="24"/>
          <w:szCs w:val="20"/>
        </w:rPr>
        <w:t>；园区专题应用以园区统计数据为基础结合GIS可视化分析能力构建产业布局分析、产业空间分析、趋势分析、对比分析等专题分析应用。</w:t>
      </w:r>
    </w:p>
    <w:p>
      <w:pPr>
        <w:spacing w:line="360" w:lineRule="auto"/>
        <w:ind w:firstLine="480"/>
        <w:rPr>
          <w:rFonts w:ascii="Times New Roman" w:hAnsi="Times New Roman" w:eastAsia="宋体" w:cs="Times New Roman"/>
          <w:sz w:val="24"/>
          <w:szCs w:val="20"/>
        </w:rPr>
      </w:pPr>
      <w:r>
        <w:rPr>
          <w:rFonts w:hint="eastAsia" w:ascii="Times New Roman" w:hAnsi="Times New Roman" w:eastAsia="宋体" w:cs="Times New Roman"/>
          <w:sz w:val="24"/>
          <w:szCs w:val="20"/>
        </w:rPr>
        <w:t>统计移动应用系统：面向不同专业、不同行业的领导及专业人员，构建统计数字化平台移动端，以丰富的图表可视化形式，提供对各类原始表格数据及专题数据的查询、展示、分析及智能推送，使相关领导及工作人员能随时随地清晰直观地掌握相应数据情况。</w:t>
      </w:r>
    </w:p>
    <w:p>
      <w:pPr>
        <w:spacing w:line="360" w:lineRule="auto"/>
        <w:ind w:firstLine="480"/>
        <w:rPr>
          <w:rFonts w:ascii="Times New Roman" w:hAnsi="Times New Roman" w:eastAsia="宋体" w:cs="Times New Roman"/>
          <w:sz w:val="24"/>
          <w:szCs w:val="20"/>
        </w:rPr>
      </w:pPr>
      <w:r>
        <w:rPr>
          <w:rFonts w:hint="eastAsia" w:ascii="Times New Roman" w:hAnsi="Times New Roman" w:eastAsia="宋体" w:cs="Times New Roman"/>
          <w:sz w:val="24"/>
          <w:szCs w:val="20"/>
        </w:rPr>
        <w:t>盟市推广应用：开放各盟市账号访问内蒙古自治区统计局系统，可以通过指标进行权限管理，建设报表发送与反馈审核机制，提升系统并发能力，将统计数字化平台推广至各盟市进行使用，实现工作流程统一、上传下达清晰明了的效果。</w:t>
      </w:r>
    </w:p>
    <w:p>
      <w:pPr>
        <w:numPr>
          <w:ilvl w:val="0"/>
          <w:numId w:val="2"/>
        </w:num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督考一体化平台建设</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根据督查及考核工作需求功能进行建设，定制开发适用于内蒙古自治区统计局的独立系统。通过与钉钉工作台的数据对接，抓取人员架构等有效信息进行体系构建。系统整体分为督查督办、考核评价、督查事项统计可视化、考核评价统计可视化等四板块内容。同时开发手机端并进行数据同步，建设“依法、公开、公平、公正、高效”的一体化办公平台。</w:t>
      </w:r>
    </w:p>
    <w:p>
      <w:pPr>
        <w:numPr>
          <w:ilvl w:val="0"/>
          <w:numId w:val="2"/>
        </w:num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统计“一张图”业务应用建设</w:t>
      </w:r>
    </w:p>
    <w:p>
      <w:pPr>
        <w:spacing w:line="360" w:lineRule="auto"/>
        <w:ind w:firstLine="480" w:firstLineChars="200"/>
        <w:rPr>
          <w:rFonts w:ascii="宋体" w:hAnsi="宋体" w:eastAsia="宋体" w:cs="宋体"/>
          <w:sz w:val="24"/>
          <w:szCs w:val="21"/>
        </w:rPr>
      </w:pPr>
      <w:r>
        <w:rPr>
          <w:rFonts w:hint="eastAsia" w:ascii="Times New Roman" w:hAnsi="Times New Roman" w:eastAsia="宋体" w:cs="Times New Roman"/>
          <w:sz w:val="24"/>
          <w:szCs w:val="20"/>
        </w:rPr>
        <w:t>为更好地服务于各业务处室以及盟市统计局基层工作人员，对统计“一张图”部分功能模块优化升级，并新增相关功能模块。主要实现统计“一张图”的权限精细化控制，能对功能权限和数据权限分别进行控制；</w:t>
      </w:r>
      <w:r>
        <w:rPr>
          <w:rFonts w:hint="eastAsia" w:ascii="宋体" w:hAnsi="宋体" w:eastAsia="宋体" w:cs="Times New Roman"/>
          <w:sz w:val="24"/>
          <w:szCs w:val="20"/>
        </w:rPr>
        <w:t>对“</w:t>
      </w:r>
      <w:r>
        <w:rPr>
          <w:rFonts w:ascii="宋体" w:hAnsi="宋体" w:eastAsia="宋体" w:cs="Times New Roman"/>
          <w:sz w:val="24"/>
          <w:szCs w:val="20"/>
        </w:rPr>
        <w:t>一乡镇一台账</w:t>
      </w:r>
      <w:r>
        <w:rPr>
          <w:rFonts w:hint="eastAsia" w:ascii="宋体" w:hAnsi="宋体" w:eastAsia="宋体" w:cs="Times New Roman"/>
          <w:sz w:val="24"/>
          <w:szCs w:val="20"/>
        </w:rPr>
        <w:t>”模块</w:t>
      </w:r>
      <w:r>
        <w:rPr>
          <w:rFonts w:ascii="宋体" w:hAnsi="宋体" w:eastAsia="宋体" w:cs="Times New Roman"/>
          <w:sz w:val="24"/>
          <w:szCs w:val="20"/>
        </w:rPr>
        <w:t>升级、优化</w:t>
      </w:r>
      <w:r>
        <w:rPr>
          <w:rFonts w:hint="eastAsia" w:ascii="宋体" w:hAnsi="宋体" w:eastAsia="宋体" w:cs="Times New Roman"/>
          <w:sz w:val="24"/>
          <w:szCs w:val="20"/>
        </w:rPr>
        <w:t>，实现</w:t>
      </w:r>
      <w:r>
        <w:rPr>
          <w:rFonts w:hint="eastAsia" w:ascii="宋体" w:hAnsi="宋体" w:eastAsia="宋体" w:cs="宋体"/>
          <w:sz w:val="24"/>
          <w:szCs w:val="21"/>
        </w:rPr>
        <w:t>乡镇街道基本情况展示，对苏木/乡镇街道、嘎查/村社区调研检查情况进行管理及展示；实现村级报表电子化栏目等功能。</w:t>
      </w:r>
    </w:p>
    <w:p>
      <w:pPr>
        <w:keepNext/>
        <w:keepLines/>
        <w:numPr>
          <w:ilvl w:val="1"/>
          <w:numId w:val="1"/>
        </w:numPr>
        <w:spacing w:before="260" w:after="260" w:line="413" w:lineRule="auto"/>
        <w:ind w:left="575" w:hanging="575"/>
        <w:outlineLvl w:val="1"/>
        <w:rPr>
          <w:rFonts w:ascii="Arial" w:hAnsi="Arial" w:eastAsia="黑体" w:cs="Times New Roman"/>
          <w:b/>
        </w:rPr>
      </w:pPr>
      <w:bookmarkStart w:id="16" w:name="_Toc3487"/>
      <w:bookmarkStart w:id="17" w:name="_Toc27751"/>
      <w:r>
        <w:rPr>
          <w:rFonts w:hint="eastAsia" w:ascii="Arial" w:hAnsi="Arial" w:eastAsia="黑体" w:cs="Times New Roman"/>
          <w:b/>
        </w:rPr>
        <w:t>采用的行业标准规范</w:t>
      </w:r>
      <w:bookmarkEnd w:id="16"/>
      <w:bookmarkEnd w:id="17"/>
    </w:p>
    <w:p>
      <w:pPr>
        <w:spacing w:line="360" w:lineRule="auto"/>
        <w:ind w:firstLine="480" w:firstLineChars="200"/>
        <w:rPr>
          <w:rFonts w:ascii="Times New Roman" w:hAnsi="Times New Roman" w:eastAsia="宋体" w:cs="Times New Roman"/>
          <w:sz w:val="24"/>
          <w:szCs w:val="20"/>
        </w:rPr>
      </w:pPr>
      <w:bookmarkStart w:id="18" w:name="_Toc27920"/>
      <w:r>
        <w:rPr>
          <w:rFonts w:hint="eastAsia" w:ascii="Times New Roman" w:hAnsi="Times New Roman" w:eastAsia="宋体" w:cs="Times New Roman"/>
          <w:sz w:val="24"/>
          <w:szCs w:val="20"/>
        </w:rPr>
        <w:t>本项目采用的行业标准规范包含国家、自治区统计局已有标准规范体系内容，本次不再进行标准规范的建设。</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国家和自治区主要行业标准规范如下：</w:t>
      </w:r>
    </w:p>
    <w:p>
      <w:pPr>
        <w:numPr>
          <w:ilvl w:val="0"/>
          <w:numId w:val="3"/>
        </w:numPr>
        <w:spacing w:line="360" w:lineRule="auto"/>
        <w:rPr>
          <w:rFonts w:ascii="宋体" w:hAnsi="宋体" w:eastAsia="宋体" w:cs="Times New Roman"/>
          <w:sz w:val="24"/>
          <w:szCs w:val="21"/>
        </w:rPr>
      </w:pPr>
      <w:r>
        <w:rPr>
          <w:rFonts w:ascii="宋体" w:hAnsi="宋体" w:eastAsia="宋体" w:cs="Times New Roman"/>
          <w:sz w:val="24"/>
          <w:szCs w:val="21"/>
        </w:rPr>
        <w:t>《农业及相关产业统计分类（2020）》（国家统计局令第32号）</w:t>
      </w:r>
    </w:p>
    <w:p>
      <w:pPr>
        <w:numPr>
          <w:ilvl w:val="0"/>
          <w:numId w:val="3"/>
        </w:numPr>
        <w:spacing w:line="360" w:lineRule="auto"/>
        <w:rPr>
          <w:rFonts w:ascii="宋体" w:hAnsi="宋体" w:eastAsia="宋体" w:cs="Times New Roman"/>
          <w:sz w:val="24"/>
          <w:szCs w:val="21"/>
        </w:rPr>
      </w:pPr>
      <w:r>
        <w:rPr>
          <w:rFonts w:ascii="宋体" w:hAnsi="宋体" w:eastAsia="宋体" w:cs="Times New Roman"/>
          <w:sz w:val="24"/>
          <w:szCs w:val="21"/>
        </w:rPr>
        <w:t>《教育培训及相关产业统计分类（2020）》（国家统计局令第31号）</w:t>
      </w:r>
    </w:p>
    <w:p>
      <w:pPr>
        <w:numPr>
          <w:ilvl w:val="0"/>
          <w:numId w:val="3"/>
        </w:numPr>
        <w:spacing w:line="360" w:lineRule="auto"/>
        <w:rPr>
          <w:rFonts w:ascii="宋体" w:hAnsi="宋体" w:eastAsia="宋体" w:cs="Times New Roman"/>
          <w:sz w:val="24"/>
          <w:szCs w:val="21"/>
        </w:rPr>
      </w:pPr>
      <w:r>
        <w:rPr>
          <w:rFonts w:ascii="宋体" w:hAnsi="宋体" w:eastAsia="宋体" w:cs="Times New Roman"/>
          <w:sz w:val="24"/>
          <w:szCs w:val="21"/>
        </w:rPr>
        <w:t>《养老产业统计分类（2020）》（国家统计局令第30号）</w:t>
      </w:r>
    </w:p>
    <w:p>
      <w:pPr>
        <w:numPr>
          <w:ilvl w:val="0"/>
          <w:numId w:val="3"/>
        </w:numPr>
        <w:spacing w:line="360" w:lineRule="auto"/>
        <w:rPr>
          <w:rFonts w:ascii="宋体" w:hAnsi="宋体" w:eastAsia="宋体" w:cs="Times New Roman"/>
          <w:sz w:val="24"/>
          <w:szCs w:val="21"/>
        </w:rPr>
      </w:pPr>
      <w:r>
        <w:rPr>
          <w:rFonts w:ascii="宋体" w:hAnsi="宋体" w:eastAsia="宋体" w:cs="Times New Roman"/>
          <w:sz w:val="24"/>
          <w:szCs w:val="21"/>
        </w:rPr>
        <w:t>《2017国民经济行业分类注释》（按第1号修改单修订）</w:t>
      </w:r>
    </w:p>
    <w:p>
      <w:pPr>
        <w:numPr>
          <w:ilvl w:val="0"/>
          <w:numId w:val="3"/>
        </w:numPr>
        <w:spacing w:line="360" w:lineRule="auto"/>
        <w:rPr>
          <w:rFonts w:ascii="宋体" w:hAnsi="宋体" w:eastAsia="宋体" w:cs="Times New Roman"/>
          <w:sz w:val="24"/>
          <w:szCs w:val="21"/>
        </w:rPr>
      </w:pPr>
      <w:r>
        <w:rPr>
          <w:rFonts w:ascii="宋体" w:hAnsi="宋体" w:eastAsia="宋体" w:cs="Times New Roman"/>
          <w:sz w:val="24"/>
          <w:szCs w:val="21"/>
        </w:rPr>
        <w:t>《研究与试验发展（R&amp;D）投入统计规范（试行）》</w:t>
      </w:r>
    </w:p>
    <w:p>
      <w:pPr>
        <w:numPr>
          <w:ilvl w:val="0"/>
          <w:numId w:val="3"/>
        </w:numPr>
        <w:spacing w:line="360" w:lineRule="auto"/>
        <w:rPr>
          <w:rFonts w:ascii="宋体" w:hAnsi="宋体" w:eastAsia="宋体" w:cs="Times New Roman"/>
          <w:sz w:val="24"/>
          <w:szCs w:val="21"/>
        </w:rPr>
      </w:pPr>
      <w:r>
        <w:rPr>
          <w:rFonts w:ascii="宋体" w:hAnsi="宋体" w:eastAsia="宋体" w:cs="Times New Roman"/>
          <w:sz w:val="24"/>
          <w:szCs w:val="21"/>
        </w:rPr>
        <w:t>《生活性服务业统计分类（2019）》</w:t>
      </w:r>
    </w:p>
    <w:p>
      <w:pPr>
        <w:numPr>
          <w:ilvl w:val="0"/>
          <w:numId w:val="3"/>
        </w:numPr>
        <w:spacing w:line="360" w:lineRule="auto"/>
        <w:rPr>
          <w:rFonts w:ascii="宋体" w:hAnsi="宋体" w:eastAsia="宋体" w:cs="Times New Roman"/>
          <w:sz w:val="24"/>
          <w:szCs w:val="21"/>
        </w:rPr>
      </w:pPr>
      <w:r>
        <w:rPr>
          <w:rFonts w:ascii="宋体" w:hAnsi="宋体" w:eastAsia="宋体" w:cs="Times New Roman"/>
          <w:sz w:val="24"/>
          <w:szCs w:val="21"/>
        </w:rPr>
        <w:t>《生产性服务业统计分类（2019）》</w:t>
      </w:r>
    </w:p>
    <w:p>
      <w:pPr>
        <w:numPr>
          <w:ilvl w:val="0"/>
          <w:numId w:val="3"/>
        </w:numPr>
        <w:spacing w:line="360" w:lineRule="auto"/>
        <w:rPr>
          <w:rFonts w:ascii="宋体" w:hAnsi="宋体" w:eastAsia="宋体" w:cs="Times New Roman"/>
          <w:sz w:val="24"/>
          <w:szCs w:val="21"/>
        </w:rPr>
      </w:pPr>
      <w:r>
        <w:rPr>
          <w:rFonts w:ascii="宋体" w:hAnsi="宋体" w:eastAsia="宋体" w:cs="Times New Roman"/>
          <w:sz w:val="24"/>
          <w:szCs w:val="21"/>
        </w:rPr>
        <w:t>《健康产业统计分类（2019）》（国家统计局令第27号）</w:t>
      </w:r>
    </w:p>
    <w:p>
      <w:pPr>
        <w:numPr>
          <w:ilvl w:val="0"/>
          <w:numId w:val="3"/>
        </w:numPr>
        <w:spacing w:line="360" w:lineRule="auto"/>
        <w:rPr>
          <w:rFonts w:ascii="宋体" w:hAnsi="宋体" w:eastAsia="宋体" w:cs="Times New Roman"/>
          <w:sz w:val="24"/>
          <w:szCs w:val="21"/>
        </w:rPr>
      </w:pPr>
      <w:r>
        <w:rPr>
          <w:rFonts w:ascii="宋体" w:hAnsi="宋体" w:eastAsia="宋体" w:cs="Times New Roman"/>
          <w:sz w:val="24"/>
          <w:szCs w:val="21"/>
        </w:rPr>
        <w:t>《体育产业统计分类（2019）》（国家统计局令第26号）</w:t>
      </w:r>
    </w:p>
    <w:p>
      <w:pPr>
        <w:numPr>
          <w:ilvl w:val="0"/>
          <w:numId w:val="3"/>
        </w:numPr>
        <w:spacing w:line="360" w:lineRule="auto"/>
        <w:rPr>
          <w:rFonts w:ascii="宋体" w:hAnsi="宋体" w:eastAsia="宋体" w:cs="Times New Roman"/>
          <w:sz w:val="24"/>
          <w:szCs w:val="21"/>
        </w:rPr>
      </w:pPr>
      <w:r>
        <w:rPr>
          <w:rFonts w:ascii="宋体" w:hAnsi="宋体" w:eastAsia="宋体" w:cs="Times New Roman"/>
          <w:sz w:val="24"/>
          <w:szCs w:val="21"/>
        </w:rPr>
        <w:t>《知识产权（专利）密集型产业统计分类（2019）》（国家统计局令第25号</w:t>
      </w:r>
      <w:r>
        <w:rPr>
          <w:rFonts w:hint="eastAsia" w:ascii="宋体" w:hAnsi="宋体" w:eastAsia="宋体" w:cs="Times New Roman"/>
          <w:sz w:val="24"/>
          <w:szCs w:val="21"/>
        </w:rPr>
        <w:t>）</w:t>
      </w:r>
    </w:p>
    <w:p>
      <w:pPr>
        <w:numPr>
          <w:ilvl w:val="0"/>
          <w:numId w:val="3"/>
        </w:numPr>
        <w:spacing w:line="360" w:lineRule="auto"/>
        <w:rPr>
          <w:rFonts w:ascii="宋体" w:hAnsi="宋体" w:eastAsia="宋体" w:cs="Times New Roman"/>
          <w:sz w:val="24"/>
          <w:szCs w:val="21"/>
        </w:rPr>
      </w:pPr>
      <w:r>
        <w:rPr>
          <w:rFonts w:ascii="宋体" w:hAnsi="宋体" w:eastAsia="宋体" w:cs="Times New Roman"/>
          <w:sz w:val="24"/>
          <w:szCs w:val="21"/>
        </w:rPr>
        <w:t>高技术产业（制造业）分类（2017）</w:t>
      </w:r>
    </w:p>
    <w:p>
      <w:pPr>
        <w:numPr>
          <w:ilvl w:val="0"/>
          <w:numId w:val="3"/>
        </w:numPr>
        <w:spacing w:line="360" w:lineRule="auto"/>
        <w:rPr>
          <w:rFonts w:ascii="宋体" w:hAnsi="宋体" w:eastAsia="宋体" w:cs="Times New Roman"/>
          <w:sz w:val="24"/>
          <w:szCs w:val="21"/>
        </w:rPr>
      </w:pPr>
      <w:r>
        <w:rPr>
          <w:rFonts w:ascii="宋体" w:hAnsi="宋体" w:eastAsia="宋体" w:cs="Times New Roman"/>
          <w:sz w:val="24"/>
          <w:szCs w:val="21"/>
        </w:rPr>
        <w:t>《国家科技服务业统计分类（2018）》</w:t>
      </w:r>
    </w:p>
    <w:p>
      <w:pPr>
        <w:numPr>
          <w:ilvl w:val="0"/>
          <w:numId w:val="3"/>
        </w:numPr>
        <w:spacing w:line="360" w:lineRule="auto"/>
        <w:rPr>
          <w:rFonts w:ascii="宋体" w:hAnsi="宋体" w:eastAsia="宋体" w:cs="Times New Roman"/>
          <w:sz w:val="24"/>
          <w:szCs w:val="21"/>
        </w:rPr>
      </w:pPr>
      <w:r>
        <w:rPr>
          <w:rFonts w:ascii="宋体" w:hAnsi="宋体" w:eastAsia="宋体" w:cs="Times New Roman"/>
          <w:sz w:val="24"/>
          <w:szCs w:val="21"/>
        </w:rPr>
        <w:t>《战略性新兴产业分类（2018）》（国家统计局令第23号）</w:t>
      </w:r>
    </w:p>
    <w:p>
      <w:pPr>
        <w:numPr>
          <w:ilvl w:val="0"/>
          <w:numId w:val="3"/>
        </w:numPr>
        <w:spacing w:line="360" w:lineRule="auto"/>
        <w:rPr>
          <w:rFonts w:ascii="宋体" w:hAnsi="宋体" w:eastAsia="宋体" w:cs="Times New Roman"/>
          <w:sz w:val="24"/>
          <w:szCs w:val="21"/>
        </w:rPr>
      </w:pPr>
      <w:r>
        <w:rPr>
          <w:rFonts w:ascii="宋体" w:hAnsi="宋体" w:eastAsia="宋体" w:cs="Times New Roman"/>
          <w:sz w:val="24"/>
          <w:szCs w:val="21"/>
        </w:rPr>
        <w:t>《新产业新业态新商业模式统计分类（2018）》</w:t>
      </w:r>
    </w:p>
    <w:p>
      <w:pPr>
        <w:numPr>
          <w:ilvl w:val="0"/>
          <w:numId w:val="3"/>
        </w:numPr>
        <w:spacing w:line="360" w:lineRule="auto"/>
        <w:rPr>
          <w:rFonts w:ascii="宋体" w:hAnsi="宋体" w:eastAsia="宋体" w:cs="Times New Roman"/>
          <w:sz w:val="24"/>
          <w:szCs w:val="21"/>
        </w:rPr>
      </w:pPr>
      <w:r>
        <w:rPr>
          <w:rFonts w:ascii="宋体" w:hAnsi="宋体" w:eastAsia="宋体" w:cs="Times New Roman"/>
          <w:sz w:val="24"/>
          <w:szCs w:val="21"/>
        </w:rPr>
        <w:t>国家旅游及相关产业统计分类（2018）</w:t>
      </w:r>
    </w:p>
    <w:p>
      <w:pPr>
        <w:numPr>
          <w:ilvl w:val="0"/>
          <w:numId w:val="3"/>
        </w:numPr>
        <w:spacing w:line="360" w:lineRule="auto"/>
        <w:rPr>
          <w:rFonts w:ascii="宋体" w:hAnsi="宋体" w:eastAsia="宋体" w:cs="Times New Roman"/>
          <w:sz w:val="24"/>
          <w:szCs w:val="21"/>
        </w:rPr>
      </w:pPr>
      <w:r>
        <w:rPr>
          <w:rFonts w:ascii="宋体" w:hAnsi="宋体" w:eastAsia="宋体" w:cs="Times New Roman"/>
          <w:sz w:val="24"/>
          <w:szCs w:val="21"/>
        </w:rPr>
        <w:t>高技术产业（服务业）分类（2018）</w:t>
      </w:r>
    </w:p>
    <w:p>
      <w:pPr>
        <w:numPr>
          <w:ilvl w:val="0"/>
          <w:numId w:val="3"/>
        </w:numPr>
        <w:spacing w:line="360" w:lineRule="auto"/>
        <w:rPr>
          <w:rFonts w:ascii="宋体" w:hAnsi="宋体" w:eastAsia="宋体" w:cs="Times New Roman"/>
          <w:sz w:val="24"/>
          <w:szCs w:val="21"/>
        </w:rPr>
      </w:pPr>
      <w:r>
        <w:rPr>
          <w:rFonts w:ascii="宋体" w:hAnsi="宋体" w:eastAsia="宋体" w:cs="Times New Roman"/>
          <w:sz w:val="24"/>
          <w:szCs w:val="21"/>
        </w:rPr>
        <w:t>文化及相关产业分类（2018）</w:t>
      </w:r>
    </w:p>
    <w:p>
      <w:pPr>
        <w:numPr>
          <w:ilvl w:val="0"/>
          <w:numId w:val="3"/>
        </w:numPr>
        <w:spacing w:line="360" w:lineRule="auto"/>
        <w:rPr>
          <w:rFonts w:ascii="宋体" w:hAnsi="宋体" w:eastAsia="宋体" w:cs="Times New Roman"/>
          <w:sz w:val="24"/>
          <w:szCs w:val="21"/>
        </w:rPr>
      </w:pPr>
      <w:r>
        <w:rPr>
          <w:rFonts w:ascii="宋体" w:hAnsi="宋体" w:eastAsia="宋体" w:cs="Times New Roman"/>
          <w:sz w:val="24"/>
          <w:szCs w:val="21"/>
        </w:rPr>
        <w:t>《三次产业划分规定（2012）》</w:t>
      </w:r>
    </w:p>
    <w:p>
      <w:pPr>
        <w:numPr>
          <w:ilvl w:val="0"/>
          <w:numId w:val="3"/>
        </w:numPr>
        <w:spacing w:line="360" w:lineRule="auto"/>
        <w:rPr>
          <w:rFonts w:ascii="宋体" w:hAnsi="宋体" w:eastAsia="宋体" w:cs="Times New Roman"/>
          <w:sz w:val="24"/>
          <w:szCs w:val="21"/>
        </w:rPr>
      </w:pPr>
      <w:r>
        <w:rPr>
          <w:rFonts w:ascii="宋体" w:hAnsi="宋体" w:eastAsia="宋体" w:cs="Times New Roman"/>
          <w:sz w:val="24"/>
          <w:szCs w:val="21"/>
        </w:rPr>
        <w:t>统计上大中小微型企业划分办法</w:t>
      </w:r>
      <w:r>
        <w:rPr>
          <w:rFonts w:hint="eastAsia" w:ascii="宋体" w:hAnsi="宋体" w:eastAsia="宋体" w:cs="Times New Roman"/>
          <w:sz w:val="24"/>
          <w:szCs w:val="21"/>
        </w:rPr>
        <w:t>（</w:t>
      </w:r>
      <w:r>
        <w:rPr>
          <w:rFonts w:ascii="宋体" w:hAnsi="宋体" w:eastAsia="宋体" w:cs="Times New Roman"/>
          <w:sz w:val="24"/>
          <w:szCs w:val="21"/>
        </w:rPr>
        <w:t>2017)</w:t>
      </w:r>
    </w:p>
    <w:p>
      <w:pPr>
        <w:numPr>
          <w:ilvl w:val="0"/>
          <w:numId w:val="3"/>
        </w:numPr>
        <w:spacing w:line="360" w:lineRule="auto"/>
        <w:rPr>
          <w:rFonts w:ascii="宋体" w:hAnsi="宋体" w:eastAsia="宋体" w:cs="Times New Roman"/>
          <w:sz w:val="24"/>
          <w:szCs w:val="21"/>
        </w:rPr>
      </w:pPr>
      <w:r>
        <w:rPr>
          <w:rFonts w:ascii="宋体" w:hAnsi="宋体" w:eastAsia="宋体" w:cs="Times New Roman"/>
          <w:sz w:val="24"/>
          <w:szCs w:val="21"/>
        </w:rPr>
        <w:t>2017年国民经济行业分类（GB/T 4754—2017）</w:t>
      </w:r>
    </w:p>
    <w:p>
      <w:pPr>
        <w:numPr>
          <w:ilvl w:val="0"/>
          <w:numId w:val="3"/>
        </w:numPr>
        <w:spacing w:line="360" w:lineRule="auto"/>
        <w:rPr>
          <w:rFonts w:ascii="宋体" w:hAnsi="宋体" w:eastAsia="宋体" w:cs="Times New Roman"/>
          <w:sz w:val="24"/>
          <w:szCs w:val="21"/>
        </w:rPr>
      </w:pPr>
      <w:r>
        <w:rPr>
          <w:rFonts w:ascii="宋体" w:hAnsi="宋体" w:eastAsia="宋体" w:cs="Times New Roman"/>
          <w:sz w:val="24"/>
          <w:szCs w:val="21"/>
        </w:rPr>
        <w:t>金融业企业划型标准规定</w:t>
      </w:r>
    </w:p>
    <w:p>
      <w:pPr>
        <w:numPr>
          <w:ilvl w:val="0"/>
          <w:numId w:val="3"/>
        </w:numPr>
        <w:spacing w:line="360" w:lineRule="auto"/>
        <w:rPr>
          <w:rFonts w:ascii="宋体" w:hAnsi="宋体" w:eastAsia="宋体" w:cs="Times New Roman"/>
          <w:sz w:val="24"/>
          <w:szCs w:val="21"/>
        </w:rPr>
      </w:pPr>
      <w:r>
        <w:rPr>
          <w:rFonts w:ascii="宋体" w:hAnsi="宋体" w:eastAsia="宋体" w:cs="Times New Roman"/>
          <w:sz w:val="24"/>
          <w:szCs w:val="21"/>
        </w:rPr>
        <w:t>国家体育产业统计分类</w:t>
      </w:r>
    </w:p>
    <w:p>
      <w:pPr>
        <w:numPr>
          <w:ilvl w:val="0"/>
          <w:numId w:val="3"/>
        </w:numPr>
        <w:spacing w:line="360" w:lineRule="auto"/>
        <w:rPr>
          <w:rFonts w:ascii="宋体" w:hAnsi="宋体" w:eastAsia="宋体" w:cs="Times New Roman"/>
          <w:sz w:val="24"/>
          <w:szCs w:val="21"/>
        </w:rPr>
      </w:pPr>
      <w:r>
        <w:rPr>
          <w:rFonts w:ascii="宋体" w:hAnsi="宋体" w:eastAsia="宋体" w:cs="Times New Roman"/>
          <w:sz w:val="24"/>
          <w:szCs w:val="21"/>
        </w:rPr>
        <w:t>国家旅游及相关产业统计分类（2015）</w:t>
      </w:r>
    </w:p>
    <w:p>
      <w:pPr>
        <w:numPr>
          <w:ilvl w:val="0"/>
          <w:numId w:val="3"/>
        </w:numPr>
        <w:spacing w:line="360" w:lineRule="auto"/>
        <w:rPr>
          <w:rFonts w:ascii="宋体" w:hAnsi="宋体" w:eastAsia="宋体" w:cs="Times New Roman"/>
          <w:sz w:val="24"/>
          <w:szCs w:val="21"/>
        </w:rPr>
      </w:pPr>
      <w:r>
        <w:rPr>
          <w:rFonts w:ascii="宋体" w:hAnsi="宋体" w:eastAsia="宋体" w:cs="Times New Roman"/>
          <w:sz w:val="24"/>
          <w:szCs w:val="21"/>
        </w:rPr>
        <w:t>生产性服务业分类（2015）</w:t>
      </w:r>
    </w:p>
    <w:p>
      <w:pPr>
        <w:numPr>
          <w:ilvl w:val="0"/>
          <w:numId w:val="3"/>
        </w:numPr>
        <w:spacing w:line="360" w:lineRule="auto"/>
        <w:rPr>
          <w:rFonts w:ascii="宋体" w:hAnsi="宋体" w:eastAsia="宋体" w:cs="Times New Roman"/>
          <w:sz w:val="24"/>
          <w:szCs w:val="21"/>
        </w:rPr>
      </w:pPr>
      <w:r>
        <w:rPr>
          <w:rFonts w:ascii="宋体" w:hAnsi="宋体" w:eastAsia="宋体" w:cs="Times New Roman"/>
          <w:sz w:val="24"/>
          <w:szCs w:val="21"/>
        </w:rPr>
        <w:t>国家科技服务业统计分类（2015）</w:t>
      </w:r>
    </w:p>
    <w:p>
      <w:pPr>
        <w:numPr>
          <w:ilvl w:val="0"/>
          <w:numId w:val="3"/>
        </w:numPr>
        <w:spacing w:line="360" w:lineRule="auto"/>
        <w:rPr>
          <w:rFonts w:ascii="宋体" w:hAnsi="宋体" w:eastAsia="宋体" w:cs="Times New Roman"/>
          <w:sz w:val="24"/>
          <w:szCs w:val="21"/>
        </w:rPr>
      </w:pPr>
      <w:r>
        <w:rPr>
          <w:rFonts w:ascii="宋体" w:hAnsi="宋体" w:eastAsia="宋体" w:cs="Times New Roman"/>
          <w:sz w:val="24"/>
          <w:szCs w:val="21"/>
        </w:rPr>
        <w:t>国民经济行业分类</w:t>
      </w:r>
      <w:r>
        <w:rPr>
          <w:rFonts w:hint="eastAsia" w:ascii="宋体" w:hAnsi="宋体" w:eastAsia="宋体" w:cs="Times New Roman"/>
          <w:sz w:val="24"/>
          <w:szCs w:val="21"/>
        </w:rPr>
        <w:t>（</w:t>
      </w:r>
      <w:r>
        <w:rPr>
          <w:rFonts w:ascii="宋体" w:hAnsi="宋体" w:eastAsia="宋体" w:cs="Times New Roman"/>
          <w:sz w:val="24"/>
          <w:szCs w:val="21"/>
        </w:rPr>
        <w:t>GB/T 4754-2011)</w:t>
      </w:r>
    </w:p>
    <w:p>
      <w:pPr>
        <w:numPr>
          <w:ilvl w:val="0"/>
          <w:numId w:val="3"/>
        </w:numPr>
        <w:spacing w:line="360" w:lineRule="auto"/>
        <w:rPr>
          <w:rFonts w:ascii="宋体" w:hAnsi="宋体" w:eastAsia="宋体" w:cs="Times New Roman"/>
          <w:sz w:val="24"/>
          <w:szCs w:val="21"/>
        </w:rPr>
      </w:pPr>
      <w:r>
        <w:rPr>
          <w:rFonts w:ascii="宋体" w:hAnsi="宋体" w:eastAsia="宋体" w:cs="Times New Roman"/>
          <w:sz w:val="24"/>
          <w:szCs w:val="21"/>
        </w:rPr>
        <w:t>统计用区划和城乡划分代码</w:t>
      </w:r>
    </w:p>
    <w:p>
      <w:pPr>
        <w:numPr>
          <w:ilvl w:val="0"/>
          <w:numId w:val="3"/>
        </w:numPr>
        <w:spacing w:line="360" w:lineRule="auto"/>
        <w:rPr>
          <w:rFonts w:ascii="宋体" w:hAnsi="宋体" w:eastAsia="宋体" w:cs="Times New Roman"/>
          <w:sz w:val="24"/>
          <w:szCs w:val="21"/>
        </w:rPr>
      </w:pPr>
      <w:r>
        <w:rPr>
          <w:rFonts w:ascii="宋体" w:hAnsi="宋体" w:eastAsia="宋体" w:cs="Times New Roman"/>
          <w:sz w:val="24"/>
          <w:szCs w:val="21"/>
        </w:rPr>
        <w:t>统计用产品分类目录</w:t>
      </w:r>
    </w:p>
    <w:p>
      <w:pPr>
        <w:numPr>
          <w:ilvl w:val="0"/>
          <w:numId w:val="3"/>
        </w:numPr>
        <w:spacing w:line="360" w:lineRule="auto"/>
        <w:rPr>
          <w:rFonts w:ascii="宋体" w:hAnsi="宋体" w:eastAsia="宋体" w:cs="Times New Roman"/>
          <w:sz w:val="24"/>
          <w:szCs w:val="21"/>
        </w:rPr>
      </w:pPr>
      <w:r>
        <w:rPr>
          <w:rFonts w:ascii="宋体" w:hAnsi="宋体" w:eastAsia="宋体" w:cs="Times New Roman"/>
          <w:sz w:val="24"/>
          <w:szCs w:val="21"/>
        </w:rPr>
        <w:t>健康服务业分类（试行）</w:t>
      </w:r>
    </w:p>
    <w:p>
      <w:pPr>
        <w:keepNext/>
        <w:keepLines/>
        <w:numPr>
          <w:ilvl w:val="1"/>
          <w:numId w:val="1"/>
        </w:numPr>
        <w:spacing w:before="260" w:after="260" w:line="413" w:lineRule="auto"/>
        <w:ind w:left="575" w:hanging="575"/>
        <w:outlineLvl w:val="1"/>
        <w:rPr>
          <w:rFonts w:ascii="Arial" w:hAnsi="Arial" w:eastAsia="黑体" w:cs="Times New Roman"/>
          <w:b/>
        </w:rPr>
      </w:pPr>
      <w:bookmarkStart w:id="19" w:name="_Toc14710"/>
      <w:bookmarkStart w:id="20" w:name="_Toc5285"/>
      <w:r>
        <w:rPr>
          <w:rFonts w:hint="eastAsia" w:ascii="Arial" w:hAnsi="Arial" w:eastAsia="黑体" w:cs="Times New Roman"/>
          <w:b/>
        </w:rPr>
        <w:t>信息资源规划和数据库设计</w:t>
      </w:r>
      <w:bookmarkEnd w:id="18"/>
      <w:bookmarkEnd w:id="19"/>
      <w:bookmarkEnd w:id="20"/>
    </w:p>
    <w:p>
      <w:pPr>
        <w:keepNext/>
        <w:keepLines/>
        <w:numPr>
          <w:ilvl w:val="2"/>
          <w:numId w:val="1"/>
        </w:numPr>
        <w:spacing w:line="413" w:lineRule="auto"/>
        <w:ind w:firstLine="1044"/>
        <w:outlineLvl w:val="2"/>
        <w:rPr>
          <w:rFonts w:ascii="Times New Roman" w:hAnsi="Times New Roman" w:eastAsia="宋体" w:cs="Times New Roman"/>
          <w:b/>
        </w:rPr>
      </w:pPr>
      <w:bookmarkStart w:id="21" w:name="_Toc32552"/>
      <w:bookmarkStart w:id="22" w:name="_Toc22350"/>
      <w:bookmarkStart w:id="23" w:name="_Toc7942"/>
      <w:r>
        <w:rPr>
          <w:rFonts w:hint="eastAsia" w:ascii="Times New Roman" w:hAnsi="Times New Roman" w:eastAsia="宋体" w:cs="Times New Roman"/>
          <w:b/>
        </w:rPr>
        <w:t>信息资源规划</w:t>
      </w:r>
      <w:bookmarkEnd w:id="21"/>
      <w:bookmarkEnd w:id="22"/>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本项目数据资源可以分为三种类型：</w:t>
      </w:r>
    </w:p>
    <w:p>
      <w:pPr>
        <w:numPr>
          <w:ilvl w:val="0"/>
          <w:numId w:val="4"/>
        </w:num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基础数据：指各类统计基础数据，包括一套表数据、四经普数据、名录库数据等，此类数据是开展统计业务的基础，是系统进行浏览查看的对象，是统计报表的数据来源。</w:t>
      </w:r>
    </w:p>
    <w:p>
      <w:pPr>
        <w:numPr>
          <w:ilvl w:val="0"/>
          <w:numId w:val="4"/>
        </w:num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业务数据：指用于支撑统计业务运行的数据，包括统计指标、统计维度、统计制度、统计公式、专业报表等。</w:t>
      </w:r>
    </w:p>
    <w:p>
      <w:pPr>
        <w:numPr>
          <w:ilvl w:val="0"/>
          <w:numId w:val="4"/>
        </w:num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管理数据：指用于支撑督查考核业务应用的数据内容，包括项目督查督办事项数据、考核评价数据等。</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为了实现数据资源的规范管理和长效应用，支撑统计数字化业务体系以及综合管理应用，上述数据资源将分类进行组织管理。</w:t>
      </w:r>
    </w:p>
    <w:p>
      <w:pPr>
        <w:spacing w:line="360" w:lineRule="auto"/>
        <w:rPr>
          <w:rFonts w:ascii="Times New Roman" w:hAnsi="Times New Roman" w:eastAsia="宋体" w:cs="Times New Roman"/>
          <w:sz w:val="24"/>
          <w:szCs w:val="20"/>
        </w:rPr>
      </w:pPr>
    </w:p>
    <w:p>
      <w:pPr>
        <w:keepNext/>
        <w:keepLines/>
        <w:numPr>
          <w:ilvl w:val="2"/>
          <w:numId w:val="1"/>
        </w:numPr>
        <w:spacing w:line="413" w:lineRule="auto"/>
        <w:ind w:firstLine="1044"/>
        <w:outlineLvl w:val="2"/>
        <w:rPr>
          <w:rFonts w:ascii="Times New Roman" w:hAnsi="Times New Roman" w:eastAsia="宋体" w:cs="Times New Roman"/>
          <w:b/>
        </w:rPr>
      </w:pPr>
      <w:bookmarkStart w:id="24" w:name="_Toc20893"/>
      <w:bookmarkStart w:id="25" w:name="_Toc21860"/>
      <w:r>
        <w:rPr>
          <w:rFonts w:hint="eastAsia" w:ascii="Times New Roman" w:hAnsi="Times New Roman" w:eastAsia="宋体" w:cs="Times New Roman"/>
          <w:b/>
        </w:rPr>
        <w:t>数据库结构设计</w:t>
      </w:r>
      <w:bookmarkEnd w:id="24"/>
      <w:bookmarkEnd w:id="25"/>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数据库结构一般包含有：概念设计、逻辑设计、物理设计。</w:t>
      </w:r>
    </w:p>
    <w:p>
      <w:pPr>
        <w:keepNext/>
        <w:keepLines/>
        <w:numPr>
          <w:ilvl w:val="3"/>
          <w:numId w:val="1"/>
        </w:numPr>
        <w:tabs>
          <w:tab w:val="left" w:pos="420"/>
        </w:tabs>
        <w:spacing w:before="120" w:after="120" w:line="372" w:lineRule="auto"/>
        <w:ind w:firstLine="1044"/>
        <w:outlineLvl w:val="3"/>
        <w:rPr>
          <w:rFonts w:ascii="Arial" w:hAnsi="Arial" w:eastAsia="黑体" w:cs="Times New Roman"/>
          <w:b/>
          <w:sz w:val="28"/>
        </w:rPr>
      </w:pPr>
      <w:r>
        <w:rPr>
          <w:rFonts w:hint="eastAsia" w:ascii="Arial" w:hAnsi="Arial" w:eastAsia="黑体" w:cs="Times New Roman"/>
          <w:b/>
          <w:sz w:val="28"/>
        </w:rPr>
        <w:t>概念设计</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以需求分析的结果如需求说明书，DFD图为依据。概念设计的结果是概念设计说明书，E—R图。</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E—R模型组成：</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实体：客观存在，可以相互区分的物体叫实体。</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属性：实体具有的不同特性，可以用若干属性来表示。</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码（键）：实体集中唯一标识实体的属性或属性组合。</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主码（键）：用于区别实体集中的不同实体的属性或属性组合。</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联系：描述实体间的相互关系。</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实体与实体间的联系： 一对一联系（1：1），一对多联系（1：n），多对多联系（m：n）。</w:t>
      </w:r>
    </w:p>
    <w:p>
      <w:pPr>
        <w:keepNext/>
        <w:keepLines/>
        <w:numPr>
          <w:ilvl w:val="3"/>
          <w:numId w:val="1"/>
        </w:numPr>
        <w:tabs>
          <w:tab w:val="left" w:pos="420"/>
        </w:tabs>
        <w:spacing w:before="120" w:after="120" w:line="372" w:lineRule="auto"/>
        <w:ind w:firstLine="1044"/>
        <w:outlineLvl w:val="3"/>
        <w:rPr>
          <w:rFonts w:ascii="Arial" w:hAnsi="Arial" w:eastAsia="黑体" w:cs="Times New Roman"/>
          <w:b/>
          <w:sz w:val="28"/>
        </w:rPr>
      </w:pPr>
      <w:r>
        <w:rPr>
          <w:rFonts w:hint="eastAsia" w:ascii="Arial" w:hAnsi="Arial" w:eastAsia="黑体" w:cs="Times New Roman"/>
          <w:b/>
          <w:sz w:val="28"/>
        </w:rPr>
        <w:t>逻辑设计</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以概念设计的结果E-R图以及概念说明书为基础，将E-R图转化为关系模型。用二维表的形式表示实体与实体间关系的数据模型称为关系模型。关系数据库模式是对关系数据库结构的描述，或者说是对关系数据库框架的描述。一个关系通常对应一张表。</w:t>
      </w:r>
    </w:p>
    <w:p>
      <w:pPr>
        <w:keepNext/>
        <w:keepLines/>
        <w:numPr>
          <w:ilvl w:val="3"/>
          <w:numId w:val="1"/>
        </w:numPr>
        <w:tabs>
          <w:tab w:val="left" w:pos="420"/>
        </w:tabs>
        <w:spacing w:before="120" w:after="120" w:line="372" w:lineRule="auto"/>
        <w:ind w:firstLine="1044"/>
        <w:outlineLvl w:val="3"/>
        <w:rPr>
          <w:rFonts w:ascii="Arial" w:hAnsi="Arial" w:eastAsia="黑体" w:cs="Times New Roman"/>
          <w:b/>
          <w:sz w:val="28"/>
        </w:rPr>
      </w:pPr>
      <w:r>
        <w:rPr>
          <w:rFonts w:hint="eastAsia" w:ascii="Arial" w:hAnsi="Arial" w:eastAsia="黑体" w:cs="Times New Roman"/>
          <w:b/>
          <w:sz w:val="28"/>
        </w:rPr>
        <w:t>物理设计</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物理数据库设计是设计数据库的存储结构和物理实现方法。目的是将数据的逻辑描述转换为实现技术规范，设计数据存储方案，以便提供足够好的性能并确保数据库数据的完整性、安全性、可靠性。</w:t>
      </w:r>
    </w:p>
    <w:p>
      <w:pPr>
        <w:keepNext/>
        <w:keepLines/>
        <w:numPr>
          <w:ilvl w:val="2"/>
          <w:numId w:val="1"/>
        </w:numPr>
        <w:spacing w:line="413" w:lineRule="auto"/>
        <w:ind w:firstLine="1044"/>
        <w:outlineLvl w:val="2"/>
        <w:rPr>
          <w:rFonts w:ascii="Times New Roman" w:hAnsi="Times New Roman" w:eastAsia="宋体" w:cs="Times New Roman"/>
          <w:b/>
        </w:rPr>
      </w:pPr>
      <w:bookmarkStart w:id="26" w:name="_Toc12594"/>
      <w:bookmarkStart w:id="27" w:name="_Toc24885"/>
      <w:r>
        <w:rPr>
          <w:rFonts w:hint="eastAsia" w:ascii="Times New Roman" w:hAnsi="Times New Roman" w:eastAsia="宋体" w:cs="Times New Roman"/>
          <w:b/>
        </w:rPr>
        <w:t>数据库建设</w:t>
      </w:r>
      <w:bookmarkEnd w:id="26"/>
      <w:bookmarkEnd w:id="27"/>
    </w:p>
    <w:p>
      <w:pPr>
        <w:keepNext/>
        <w:keepLines/>
        <w:numPr>
          <w:ilvl w:val="3"/>
          <w:numId w:val="1"/>
        </w:numPr>
        <w:tabs>
          <w:tab w:val="left" w:pos="420"/>
        </w:tabs>
        <w:spacing w:before="120" w:after="120" w:line="372" w:lineRule="auto"/>
        <w:ind w:firstLine="1044"/>
        <w:outlineLvl w:val="3"/>
        <w:rPr>
          <w:rFonts w:ascii="Arial" w:hAnsi="Arial" w:eastAsia="黑体" w:cs="Times New Roman"/>
          <w:b/>
          <w:sz w:val="28"/>
        </w:rPr>
      </w:pPr>
      <w:r>
        <w:rPr>
          <w:rFonts w:hint="eastAsia" w:ascii="Arial" w:hAnsi="Arial" w:eastAsia="黑体" w:cs="Times New Roman"/>
          <w:b/>
          <w:sz w:val="28"/>
        </w:rPr>
        <w:t>基础数据库</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本项目将整合内蒙古统计局已有的数据库成果，包括“一套表”数据、名录库、人口普查库、统计一张图数据库等，以及新收集的统计数据文件，建设一套统计基础数据库，为统计数字化应用提供数据来源。</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已有数据对接</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经过多年信息化建设，内蒙古统计局已经形成了一套数字化统计数据成果，如“一套表”数据、名录库、人口普查库、统计一张图数据库等，对应数据成果在统计专网内进行存储管理和应用。</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根据自治区政务信息化建设工作要求，本项目拟部署于政务云平台，与统计专网存在网络隔离问题。因此本项目需要通过安全网闸或其他技术实现数据交换，从已有数据库中获取需要的数据资源，在政务云环境下进行数据存储，满足统计数字化平台的数据需求。</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部门数据库</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根据实际业务需要，将政务数据交换获取到的工商、税务、发改、编办、民政、社保、电力、住建、能源等十七个部门数据进行梳理，建立部门数据库，统一数据入口和出口，定时对部门数据同步更新。同时针对部门数据使用进行开发，实现部门数据与统计数据的比对、查询、审核、计算等一系列功能。</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数据来源</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部门数据来源于通过政务数据交换获取的数据和通过商业平台获取的数据。目前已经获取了工商、税务、发改、编办、民政等十七个部门数据和京东平台的企业交易数据，当前数据格式为表格格式，后期根据实际情况亦可通过数据库表形式同步相关数据。</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数据库创建</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通过对获取的数据进行梳理，以覆盖所有部门数据的属性为目标梳理有效字段信息，整理成一套属性字段表，以此为基础创建部门数据库、对数据库表信息进行设计。</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数据导入</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建立不同部门数据节点，在部门数据节点下导入数据资源。上传和导入数据时，支持非固定模板的数据导入，可依据上传数据字段名称与部门数据表结构内字段名称进行手动选择匹配项或自动匹配项等。导入数据时，支持增量补充、全量替换等导入方式。</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数据比对整合</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数据导入之后可对不同部门信息进行比对，生成长表，并自动标注指标来源；比对过程中可自由选择所要比对的部门及部门内的指标。比对时主键如有异常（比如设置主键为单位名称和统一社会信用代码，当两个主键有一个一致，另一个不一致），生成异常单位表单，经过对异常单位判定后，将判定值设置为默认值，如后续再重复出现该单位比对时，直接选取默认值。可依据所需生产各类表单，如新增单位、待核实单位、消亡单位等。</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数据审核</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针对数据比对整合结果，系统提供审核功能，审核通过的数据方可导入到部门数据库中。审核不通过的数据根据需要删除或是进行再比对环节。</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数据更新</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建立数据同步机制，开发数据同步功能，对可以自动同步的数据定时同步入库，对无法进行自动同步的数据则辅助提供手动形式同步入库。支持两种同步模式：增量更新和版本更新。</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数据权限管理</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部门数据大多涉及保密，因此需要开发专门的权限管理机制对数据进行管理，在使用时按照规定进行申请经批准之后方可使用。</w:t>
      </w:r>
    </w:p>
    <w:p>
      <w:pPr>
        <w:keepNext/>
        <w:keepLines/>
        <w:numPr>
          <w:ilvl w:val="3"/>
          <w:numId w:val="1"/>
        </w:numPr>
        <w:tabs>
          <w:tab w:val="left" w:pos="420"/>
        </w:tabs>
        <w:spacing w:before="120" w:after="120" w:line="372" w:lineRule="auto"/>
        <w:ind w:firstLine="1044"/>
        <w:outlineLvl w:val="3"/>
        <w:rPr>
          <w:rFonts w:ascii="Arial" w:hAnsi="Arial" w:eastAsia="黑体" w:cs="Times New Roman"/>
          <w:b/>
          <w:sz w:val="28"/>
        </w:rPr>
      </w:pPr>
      <w:r>
        <w:rPr>
          <w:rFonts w:hint="eastAsia" w:ascii="Arial" w:hAnsi="Arial" w:eastAsia="黑体" w:cs="Times New Roman"/>
          <w:b/>
          <w:sz w:val="28"/>
        </w:rPr>
        <w:t>业务数据库</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本项目拟建设依托全覆盖、多层次的数字化统计指标体系的业务应用，为了支撑业务运行，系统将构建统计业务数据库，实现指标信息及统计业务数据的一体化管理。根据统计指标体系的类别、内容以及统计业务类型，本项目将建设包括但不限于基础指标数据库、专业指标数据库、综合指标数据库、制度数据库、公式数据库、基础报表数据库、汇总报表数据库的一体化统计业务数据库。</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指标库</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指标库包含基础指标、通用指标、计算指标和汇总指标。</w:t>
      </w:r>
    </w:p>
    <w:p>
      <w:pPr>
        <w:spacing w:line="360" w:lineRule="auto"/>
        <w:ind w:firstLine="480" w:firstLineChars="200"/>
        <w:rPr>
          <w:rFonts w:ascii="Times New Roman" w:hAnsi="Times New Roman" w:eastAsia="宋体" w:cs="Times New Roman"/>
          <w:color w:val="333333"/>
          <w:sz w:val="24"/>
          <w:szCs w:val="20"/>
          <w:shd w:val="clear" w:color="auto" w:fill="FFFFFF"/>
        </w:rPr>
      </w:pPr>
      <w:r>
        <w:rPr>
          <w:rFonts w:hint="eastAsia" w:ascii="Times New Roman" w:hAnsi="Times New Roman" w:eastAsia="宋体" w:cs="Times New Roman"/>
          <w:sz w:val="24"/>
          <w:szCs w:val="20"/>
        </w:rPr>
        <w:t>基础指标是指按专业分类的描述统计对象的最小粒度的某一个维度的描述。基础指标</w:t>
      </w:r>
      <w:r>
        <w:rPr>
          <w:rFonts w:hint="eastAsia" w:ascii="Times New Roman" w:hAnsi="Times New Roman" w:eastAsia="宋体" w:cs="Times New Roman"/>
          <w:color w:val="333333"/>
          <w:sz w:val="24"/>
          <w:szCs w:val="20"/>
          <w:shd w:val="clear" w:color="auto" w:fill="FFFFFF"/>
        </w:rPr>
        <w:t>将从统计数据中直接抽取，统一存储于基础指标库。</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通用指标是指不区分专业领域的最小统计单元，通用指标数据将从统计数据中直接抽取，存储御通用指标库。</w:t>
      </w:r>
    </w:p>
    <w:p>
      <w:pPr>
        <w:spacing w:after="12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计算指标是指通过用基础指标加计算公式计算得来的指标，计算指标支持自定义（如贸易专业需要的逐月累加数据）。</w:t>
      </w:r>
    </w:p>
    <w:p>
      <w:pPr>
        <w:spacing w:after="12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汇总指标通过用基础指标、计算指标汇总之后再计算得到的指标值，汇总指标支持自定义（如工业处的工业增加值增速）。</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指标库的建设要点主要有以下两个方面：</w:t>
      </w:r>
    </w:p>
    <w:p>
      <w:pPr>
        <w:numPr>
          <w:ilvl w:val="0"/>
          <w:numId w:val="5"/>
        </w:numPr>
        <w:spacing w:after="120" w:line="360" w:lineRule="auto"/>
        <w:ind w:left="640" w:leftChars="200" w:firstLine="480" w:firstLineChars="200"/>
        <w:rPr>
          <w:rFonts w:ascii="Times New Roman" w:hAnsi="Times New Roman" w:eastAsia="宋体" w:cs="Times New Roman"/>
          <w:sz w:val="24"/>
        </w:rPr>
      </w:pPr>
      <w:r>
        <w:rPr>
          <w:rFonts w:hint="eastAsia" w:ascii="Times New Roman" w:hAnsi="Times New Roman" w:eastAsia="宋体" w:cs="Times New Roman"/>
          <w:sz w:val="24"/>
        </w:rPr>
        <w:t>数据抽取整合。即从原始报表数据中抽取指标数据并整合成一个统一的指标数据库。</w:t>
      </w:r>
    </w:p>
    <w:p>
      <w:pPr>
        <w:numPr>
          <w:ilvl w:val="0"/>
          <w:numId w:val="5"/>
        </w:numPr>
        <w:spacing w:after="120" w:line="360" w:lineRule="auto"/>
        <w:ind w:left="640" w:leftChars="200" w:firstLine="480" w:firstLineChars="200"/>
        <w:rPr>
          <w:rFonts w:ascii="Times New Roman" w:hAnsi="Times New Roman" w:eastAsia="宋体" w:cs="Times New Roman"/>
          <w:sz w:val="24"/>
        </w:rPr>
      </w:pPr>
      <w:r>
        <w:rPr>
          <w:rFonts w:hint="eastAsia" w:ascii="Times New Roman" w:hAnsi="Times New Roman" w:eastAsia="宋体" w:cs="Times New Roman"/>
          <w:sz w:val="24"/>
        </w:rPr>
        <w:t>时间上的连续性。即将同一指标在不同报告期的数据统一成一个在时间上连续的数据集合。</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维度库</w:t>
      </w:r>
    </w:p>
    <w:p>
      <w:pPr>
        <w:spacing w:line="360" w:lineRule="auto"/>
        <w:ind w:firstLine="480" w:firstLineChars="200"/>
        <w:rPr>
          <w:rFonts w:ascii="Times New Roman" w:hAnsi="Times New Roman" w:eastAsia="宋体" w:cs="Times New Roman"/>
          <w:color w:val="333333"/>
          <w:sz w:val="24"/>
          <w:szCs w:val="20"/>
          <w:shd w:val="clear" w:color="auto" w:fill="FFFFFF"/>
        </w:rPr>
      </w:pPr>
      <w:r>
        <w:rPr>
          <w:rFonts w:hint="eastAsia" w:ascii="Times New Roman" w:hAnsi="Times New Roman" w:eastAsia="宋体" w:cs="Times New Roman"/>
          <w:sz w:val="24"/>
          <w:szCs w:val="20"/>
        </w:rPr>
        <w:t>维度只是用于统计分类的最小单位，比如按盟市分为呼和浩特、包头等。按单位规模分为大型、小型、中型等。</w:t>
      </w:r>
      <w:r>
        <w:rPr>
          <w:rFonts w:hint="eastAsia" w:ascii="Times New Roman" w:hAnsi="Times New Roman" w:eastAsia="宋体" w:cs="Times New Roman"/>
          <w:color w:val="333333"/>
          <w:sz w:val="24"/>
          <w:szCs w:val="20"/>
          <w:shd w:val="clear" w:color="auto" w:fill="FFFFFF"/>
        </w:rPr>
        <w:t>以《基本单位统计报表制度》部分内容为例，如下图所示：</w:t>
      </w:r>
    </w:p>
    <w:p>
      <w:pPr>
        <w:spacing w:line="360" w:lineRule="auto"/>
        <w:jc w:val="center"/>
        <w:rPr>
          <w:rFonts w:ascii="Times New Roman" w:hAnsi="Times New Roman" w:eastAsia="宋体" w:cs="Times New Roman"/>
          <w:color w:val="333333"/>
          <w:sz w:val="24"/>
          <w:szCs w:val="20"/>
          <w:shd w:val="clear" w:color="auto" w:fill="FFFFFF"/>
        </w:rPr>
      </w:pPr>
      <w:r>
        <w:rPr>
          <w:rFonts w:ascii="Times New Roman" w:hAnsi="Times New Roman" w:eastAsia="宋体" w:cs="Times New Roman"/>
          <w:sz w:val="24"/>
          <w:szCs w:val="20"/>
        </w:rPr>
        <w:drawing>
          <wp:inline distT="0" distB="0" distL="0" distR="0">
            <wp:extent cx="5274310" cy="3343910"/>
            <wp:effectExtent l="0" t="0" r="2540" b="889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
                    <a:stretch>
                      <a:fillRect/>
                    </a:stretch>
                  </pic:blipFill>
                  <pic:spPr>
                    <a:xfrm>
                      <a:off x="0" y="0"/>
                      <a:ext cx="5274310" cy="3343910"/>
                    </a:xfrm>
                    <a:prstGeom prst="rect">
                      <a:avLst/>
                    </a:prstGeom>
                  </pic:spPr>
                </pic:pic>
              </a:graphicData>
            </a:graphic>
          </wp:inline>
        </w:drawing>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图中描述了两个维度，分别是“国民经济行业分类”和“登记注册类型”，“国有企业”“集体企业”“股份合作企业”“联营企业”则是“登记注册类型”的维度值。</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制度库</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制度数据库即用于存储各类统计制度的数据库，每一项统计制度按统一制定的统计表式、填报范围、实施办法，以及统计标准、统计指标解释、计算方法，并有原始记录作依据，开展搜集整理汇总统计资料和进行综合分析工作的行动准则。在制度库中，每一项制度都被赋予唯一I</w:t>
      </w:r>
      <w:r>
        <w:rPr>
          <w:rFonts w:ascii="Times New Roman" w:hAnsi="Times New Roman" w:eastAsia="宋体" w:cs="Times New Roman"/>
          <w:sz w:val="24"/>
          <w:szCs w:val="20"/>
        </w:rPr>
        <w:t>D</w:t>
      </w:r>
      <w:r>
        <w:rPr>
          <w:rFonts w:hint="eastAsia" w:ascii="Times New Roman" w:hAnsi="Times New Roman" w:eastAsia="宋体" w:cs="Times New Roman"/>
          <w:sz w:val="24"/>
          <w:szCs w:val="20"/>
        </w:rPr>
        <w:t>。</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公式库</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公式数据库即用于存储各类统计公式的数据库，在公式库中，每一个公式都被赋予唯一I</w:t>
      </w:r>
      <w:r>
        <w:rPr>
          <w:rFonts w:ascii="Times New Roman" w:hAnsi="Times New Roman" w:eastAsia="宋体" w:cs="Times New Roman"/>
          <w:sz w:val="24"/>
          <w:szCs w:val="20"/>
        </w:rPr>
        <w:t>D</w:t>
      </w:r>
      <w:r>
        <w:rPr>
          <w:rFonts w:hint="eastAsia" w:ascii="Times New Roman" w:hAnsi="Times New Roman" w:eastAsia="宋体" w:cs="Times New Roman"/>
          <w:sz w:val="24"/>
          <w:szCs w:val="20"/>
        </w:rPr>
        <w:t>。上层应用系统通过引用公式库，可以实现对复杂统计指标计算过程的定义。</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专业报表库</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专业报表库是针对各专业导出或者生成报表时使用，数据可以根据模板直接从外部导入各专业已有的专业报表，同时用户可以根据实际情况调整报表格式和内容。定稿后专业库中的数据也可以同步到综合库，供综合处使用。</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综合数据库</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对于跨专业的数据生成报表，数据来源将通过从专业报表库同步到综合数据库。用户只需要在综合数据库页面选择自己需要的主栏和宾栏以及数据的时间即可生成报表，支持按模板生成，支持灵活调整。</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表结构设计</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对业务数据库的主要数据表进行表结构设计，具体如下。</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1、指标表</w:t>
      </w:r>
    </w:p>
    <w:tbl>
      <w:tblPr>
        <w:tblStyle w:val="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8"/>
        <w:gridCol w:w="1672"/>
        <w:gridCol w:w="1639"/>
        <w:gridCol w:w="1278"/>
        <w:gridCol w:w="2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8"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字段名</w:t>
            </w:r>
          </w:p>
        </w:tc>
        <w:tc>
          <w:tcPr>
            <w:tcW w:w="1672"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字段说明</w:t>
            </w:r>
          </w:p>
        </w:tc>
        <w:tc>
          <w:tcPr>
            <w:tcW w:w="1639"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类型</w:t>
            </w:r>
          </w:p>
        </w:tc>
        <w:tc>
          <w:tcPr>
            <w:tcW w:w="1278"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是否为空</w:t>
            </w:r>
          </w:p>
        </w:tc>
        <w:tc>
          <w:tcPr>
            <w:tcW w:w="2055"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8" w:type="dxa"/>
          </w:tcPr>
          <w:p>
            <w:pPr>
              <w:spacing w:line="360" w:lineRule="auto"/>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id</w:t>
            </w:r>
          </w:p>
        </w:tc>
        <w:tc>
          <w:tcPr>
            <w:tcW w:w="167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主键</w:t>
            </w:r>
          </w:p>
        </w:tc>
        <w:tc>
          <w:tcPr>
            <w:tcW w:w="163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integer</w:t>
            </w:r>
          </w:p>
        </w:tc>
        <w:tc>
          <w:tcPr>
            <w:tcW w:w="1278"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2055"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8" w:type="dxa"/>
          </w:tcPr>
          <w:p>
            <w:pPr>
              <w:spacing w:line="360" w:lineRule="auto"/>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zbname</w:t>
            </w:r>
          </w:p>
        </w:tc>
        <w:tc>
          <w:tcPr>
            <w:tcW w:w="167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指标名称</w:t>
            </w:r>
          </w:p>
        </w:tc>
        <w:tc>
          <w:tcPr>
            <w:tcW w:w="163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varchar(255)</w:t>
            </w:r>
          </w:p>
        </w:tc>
        <w:tc>
          <w:tcPr>
            <w:tcW w:w="1278" w:type="dxa"/>
          </w:tcPr>
          <w:p>
            <w:pPr>
              <w:spacing w:line="360" w:lineRule="auto"/>
              <w:jc w:val="center"/>
              <w:rPr>
                <w:rFonts w:ascii="Times New Roman" w:hAnsi="Times New Roman" w:eastAsia="宋体" w:cs="Times New Roman"/>
                <w:sz w:val="24"/>
                <w:szCs w:val="20"/>
              </w:rPr>
            </w:pPr>
          </w:p>
        </w:tc>
        <w:tc>
          <w:tcPr>
            <w:tcW w:w="2055"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8" w:type="dxa"/>
          </w:tcPr>
          <w:p>
            <w:pPr>
              <w:spacing w:line="360" w:lineRule="auto"/>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zbcode</w:t>
            </w:r>
          </w:p>
        </w:tc>
        <w:tc>
          <w:tcPr>
            <w:tcW w:w="167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指标代码</w:t>
            </w:r>
          </w:p>
        </w:tc>
        <w:tc>
          <w:tcPr>
            <w:tcW w:w="163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varchar(255)</w:t>
            </w:r>
          </w:p>
        </w:tc>
        <w:tc>
          <w:tcPr>
            <w:tcW w:w="1278" w:type="dxa"/>
          </w:tcPr>
          <w:p>
            <w:pPr>
              <w:spacing w:line="360" w:lineRule="auto"/>
              <w:jc w:val="center"/>
              <w:rPr>
                <w:rFonts w:ascii="Times New Roman" w:hAnsi="Times New Roman" w:eastAsia="宋体" w:cs="Times New Roman"/>
                <w:sz w:val="24"/>
                <w:szCs w:val="20"/>
              </w:rPr>
            </w:pPr>
          </w:p>
        </w:tc>
        <w:tc>
          <w:tcPr>
            <w:tcW w:w="2055"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8" w:type="dxa"/>
          </w:tcPr>
          <w:p>
            <w:pPr>
              <w:spacing w:line="360" w:lineRule="auto"/>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zbunit</w:t>
            </w:r>
          </w:p>
        </w:tc>
        <w:tc>
          <w:tcPr>
            <w:tcW w:w="167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计量单位</w:t>
            </w:r>
          </w:p>
        </w:tc>
        <w:tc>
          <w:tcPr>
            <w:tcW w:w="163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varchar(255)</w:t>
            </w:r>
          </w:p>
        </w:tc>
        <w:tc>
          <w:tcPr>
            <w:tcW w:w="1278" w:type="dxa"/>
          </w:tcPr>
          <w:p>
            <w:pPr>
              <w:spacing w:line="360" w:lineRule="auto"/>
              <w:jc w:val="center"/>
              <w:rPr>
                <w:rFonts w:ascii="Times New Roman" w:hAnsi="Times New Roman" w:eastAsia="宋体" w:cs="Times New Roman"/>
                <w:sz w:val="24"/>
                <w:szCs w:val="20"/>
              </w:rPr>
            </w:pPr>
          </w:p>
        </w:tc>
        <w:tc>
          <w:tcPr>
            <w:tcW w:w="2055"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8" w:type="dxa"/>
          </w:tcPr>
          <w:p>
            <w:pPr>
              <w:spacing w:line="360" w:lineRule="auto"/>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zbtype</w:t>
            </w:r>
          </w:p>
        </w:tc>
        <w:tc>
          <w:tcPr>
            <w:tcW w:w="167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指标分类</w:t>
            </w:r>
          </w:p>
        </w:tc>
        <w:tc>
          <w:tcPr>
            <w:tcW w:w="163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integer</w:t>
            </w:r>
          </w:p>
        </w:tc>
        <w:tc>
          <w:tcPr>
            <w:tcW w:w="1278" w:type="dxa"/>
          </w:tcPr>
          <w:p>
            <w:pPr>
              <w:spacing w:line="360" w:lineRule="auto"/>
              <w:jc w:val="center"/>
              <w:rPr>
                <w:rFonts w:ascii="Times New Roman" w:hAnsi="Times New Roman" w:eastAsia="宋体" w:cs="Times New Roman"/>
                <w:sz w:val="24"/>
                <w:szCs w:val="20"/>
              </w:rPr>
            </w:pPr>
          </w:p>
        </w:tc>
        <w:tc>
          <w:tcPr>
            <w:tcW w:w="2055" w:type="dxa"/>
          </w:tcPr>
          <w:p>
            <w:pPr>
              <w:spacing w:line="360" w:lineRule="auto"/>
              <w:rPr>
                <w:rFonts w:ascii="Times New Roman" w:hAnsi="Times New Roman" w:eastAsia="宋体" w:cs="Times New Roman"/>
                <w:sz w:val="24"/>
              </w:rPr>
            </w:pPr>
            <w:r>
              <w:rPr>
                <w:rFonts w:hint="eastAsia" w:ascii="Times New Roman" w:hAnsi="Times New Roman" w:eastAsia="宋体" w:cs="Times New Roman"/>
                <w:sz w:val="24"/>
              </w:rPr>
              <w:t>1：基础指标 2：计算指标 3：汇总指标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8" w:type="dxa"/>
          </w:tcPr>
          <w:p>
            <w:pPr>
              <w:spacing w:line="360" w:lineRule="auto"/>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item_count</w:t>
            </w:r>
          </w:p>
        </w:tc>
        <w:tc>
          <w:tcPr>
            <w:tcW w:w="167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数据项数</w:t>
            </w:r>
          </w:p>
        </w:tc>
        <w:tc>
          <w:tcPr>
            <w:tcW w:w="163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integer</w:t>
            </w:r>
          </w:p>
        </w:tc>
        <w:tc>
          <w:tcPr>
            <w:tcW w:w="1278" w:type="dxa"/>
          </w:tcPr>
          <w:p>
            <w:pPr>
              <w:spacing w:line="360" w:lineRule="auto"/>
              <w:jc w:val="center"/>
              <w:rPr>
                <w:rFonts w:ascii="Times New Roman" w:hAnsi="Times New Roman" w:eastAsia="宋体" w:cs="Times New Roman"/>
                <w:sz w:val="24"/>
                <w:szCs w:val="20"/>
              </w:rPr>
            </w:pPr>
          </w:p>
        </w:tc>
        <w:tc>
          <w:tcPr>
            <w:tcW w:w="2055"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8" w:type="dxa"/>
          </w:tcPr>
          <w:p>
            <w:pPr>
              <w:spacing w:line="360" w:lineRule="auto"/>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data_type</w:t>
            </w:r>
          </w:p>
        </w:tc>
        <w:tc>
          <w:tcPr>
            <w:tcW w:w="167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数据类型</w:t>
            </w:r>
          </w:p>
        </w:tc>
        <w:tc>
          <w:tcPr>
            <w:tcW w:w="163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integer</w:t>
            </w:r>
          </w:p>
        </w:tc>
        <w:tc>
          <w:tcPr>
            <w:tcW w:w="1278" w:type="dxa"/>
          </w:tcPr>
          <w:p>
            <w:pPr>
              <w:spacing w:line="360" w:lineRule="auto"/>
              <w:jc w:val="center"/>
              <w:rPr>
                <w:rFonts w:ascii="Times New Roman" w:hAnsi="Times New Roman" w:eastAsia="宋体" w:cs="Times New Roman"/>
                <w:sz w:val="24"/>
                <w:szCs w:val="20"/>
              </w:rPr>
            </w:pPr>
          </w:p>
        </w:tc>
        <w:tc>
          <w:tcPr>
            <w:tcW w:w="2055" w:type="dxa"/>
          </w:tcPr>
          <w:p>
            <w:pPr>
              <w:spacing w:line="360" w:lineRule="auto"/>
              <w:rPr>
                <w:rFonts w:ascii="Times New Roman" w:hAnsi="Times New Roman" w:eastAsia="宋体" w:cs="Times New Roman"/>
                <w:sz w:val="24"/>
              </w:rPr>
            </w:pPr>
            <w:r>
              <w:rPr>
                <w:rFonts w:hint="eastAsia" w:ascii="Times New Roman" w:hAnsi="Times New Roman" w:eastAsia="宋体" w:cs="Times New Roman"/>
                <w:sz w:val="24"/>
              </w:rPr>
              <w:t>1：整型 2：浮点型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8" w:type="dxa"/>
          </w:tcPr>
          <w:p>
            <w:pPr>
              <w:spacing w:line="360" w:lineRule="auto"/>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is_exit</w:t>
            </w:r>
          </w:p>
        </w:tc>
        <w:tc>
          <w:tcPr>
            <w:tcW w:w="167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是否带有属性扩展</w:t>
            </w:r>
          </w:p>
        </w:tc>
        <w:tc>
          <w:tcPr>
            <w:tcW w:w="163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integer</w:t>
            </w:r>
          </w:p>
        </w:tc>
        <w:tc>
          <w:tcPr>
            <w:tcW w:w="1278" w:type="dxa"/>
          </w:tcPr>
          <w:p>
            <w:pPr>
              <w:spacing w:line="360" w:lineRule="auto"/>
              <w:jc w:val="center"/>
              <w:rPr>
                <w:rFonts w:ascii="Times New Roman" w:hAnsi="Times New Roman" w:eastAsia="宋体" w:cs="Times New Roman"/>
                <w:sz w:val="24"/>
                <w:szCs w:val="20"/>
              </w:rPr>
            </w:pPr>
          </w:p>
        </w:tc>
        <w:tc>
          <w:tcPr>
            <w:tcW w:w="2055"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8" w:type="dxa"/>
          </w:tcPr>
          <w:p>
            <w:pPr>
              <w:spacing w:line="360" w:lineRule="auto"/>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category</w:t>
            </w:r>
          </w:p>
        </w:tc>
        <w:tc>
          <w:tcPr>
            <w:tcW w:w="167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 xml:space="preserve">指标分类代码 </w:t>
            </w:r>
          </w:p>
        </w:tc>
        <w:tc>
          <w:tcPr>
            <w:tcW w:w="163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varchar(255)</w:t>
            </w:r>
          </w:p>
        </w:tc>
        <w:tc>
          <w:tcPr>
            <w:tcW w:w="1278" w:type="dxa"/>
          </w:tcPr>
          <w:p>
            <w:pPr>
              <w:spacing w:line="360" w:lineRule="auto"/>
              <w:jc w:val="center"/>
              <w:rPr>
                <w:rFonts w:ascii="Times New Roman" w:hAnsi="Times New Roman" w:eastAsia="宋体" w:cs="Times New Roman"/>
                <w:sz w:val="24"/>
                <w:szCs w:val="20"/>
              </w:rPr>
            </w:pPr>
          </w:p>
        </w:tc>
        <w:tc>
          <w:tcPr>
            <w:tcW w:w="2055" w:type="dxa"/>
          </w:tcPr>
          <w:p>
            <w:pPr>
              <w:spacing w:line="360" w:lineRule="auto"/>
              <w:rPr>
                <w:rFonts w:ascii="Times New Roman" w:hAnsi="Times New Roman" w:eastAsia="宋体" w:cs="Times New Roman"/>
                <w:sz w:val="24"/>
              </w:rPr>
            </w:pPr>
            <w:r>
              <w:rPr>
                <w:rFonts w:hint="eastAsia" w:ascii="Times New Roman" w:hAnsi="Times New Roman" w:eastAsia="宋体" w:cs="Times New Roman"/>
                <w:sz w:val="24"/>
              </w:rPr>
              <w:t>如工业类、财务类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8" w:type="dxa"/>
          </w:tcPr>
          <w:p>
            <w:pPr>
              <w:spacing w:line="360" w:lineRule="auto"/>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table_name</w:t>
            </w:r>
          </w:p>
        </w:tc>
        <w:tc>
          <w:tcPr>
            <w:tcW w:w="167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表名</w:t>
            </w:r>
          </w:p>
        </w:tc>
        <w:tc>
          <w:tcPr>
            <w:tcW w:w="163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varchar(255)</w:t>
            </w:r>
          </w:p>
        </w:tc>
        <w:tc>
          <w:tcPr>
            <w:tcW w:w="1278" w:type="dxa"/>
          </w:tcPr>
          <w:p>
            <w:pPr>
              <w:spacing w:line="360" w:lineRule="auto"/>
              <w:jc w:val="center"/>
              <w:rPr>
                <w:rFonts w:ascii="Times New Roman" w:hAnsi="Times New Roman" w:eastAsia="宋体" w:cs="Times New Roman"/>
                <w:sz w:val="24"/>
                <w:szCs w:val="20"/>
              </w:rPr>
            </w:pPr>
          </w:p>
        </w:tc>
        <w:tc>
          <w:tcPr>
            <w:tcW w:w="2055"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8" w:type="dxa"/>
          </w:tcPr>
          <w:p>
            <w:pPr>
              <w:spacing w:line="360" w:lineRule="auto"/>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field_name</w:t>
            </w:r>
          </w:p>
        </w:tc>
        <w:tc>
          <w:tcPr>
            <w:tcW w:w="167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字段名</w:t>
            </w:r>
          </w:p>
        </w:tc>
        <w:tc>
          <w:tcPr>
            <w:tcW w:w="163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varchar(255)</w:t>
            </w:r>
          </w:p>
        </w:tc>
        <w:tc>
          <w:tcPr>
            <w:tcW w:w="1278" w:type="dxa"/>
          </w:tcPr>
          <w:p>
            <w:pPr>
              <w:spacing w:line="360" w:lineRule="auto"/>
              <w:jc w:val="center"/>
              <w:rPr>
                <w:rFonts w:ascii="Times New Roman" w:hAnsi="Times New Roman" w:eastAsia="宋体" w:cs="Times New Roman"/>
                <w:sz w:val="24"/>
                <w:szCs w:val="20"/>
              </w:rPr>
            </w:pPr>
          </w:p>
        </w:tc>
        <w:tc>
          <w:tcPr>
            <w:tcW w:w="2055" w:type="dxa"/>
          </w:tcPr>
          <w:p>
            <w:pPr>
              <w:spacing w:line="360" w:lineRule="auto"/>
              <w:rPr>
                <w:rFonts w:ascii="Times New Roman" w:hAnsi="Times New Roman" w:eastAsia="宋体" w:cs="Times New Roman"/>
                <w:sz w:val="24"/>
              </w:rPr>
            </w:pPr>
          </w:p>
        </w:tc>
      </w:tr>
    </w:tbl>
    <w:p>
      <w:pPr>
        <w:spacing w:line="360" w:lineRule="auto"/>
        <w:rPr>
          <w:rFonts w:ascii="Times New Roman" w:hAnsi="Times New Roman" w:eastAsia="宋体" w:cs="Times New Roman"/>
          <w:sz w:val="24"/>
          <w:szCs w:val="20"/>
        </w:rPr>
      </w:pP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2、维度表</w:t>
      </w:r>
    </w:p>
    <w:tbl>
      <w:tblPr>
        <w:tblStyle w:val="3"/>
        <w:tblW w:w="85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6"/>
        <w:gridCol w:w="2113"/>
        <w:gridCol w:w="1592"/>
        <w:gridCol w:w="1189"/>
        <w:gridCol w:w="1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6"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字段名</w:t>
            </w:r>
          </w:p>
        </w:tc>
        <w:tc>
          <w:tcPr>
            <w:tcW w:w="2113"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字段说明</w:t>
            </w:r>
          </w:p>
        </w:tc>
        <w:tc>
          <w:tcPr>
            <w:tcW w:w="1592"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类型</w:t>
            </w:r>
          </w:p>
        </w:tc>
        <w:tc>
          <w:tcPr>
            <w:tcW w:w="1189"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是否为空</w:t>
            </w:r>
          </w:p>
        </w:tc>
        <w:tc>
          <w:tcPr>
            <w:tcW w:w="1805"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6"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id</w:t>
            </w:r>
          </w:p>
        </w:tc>
        <w:tc>
          <w:tcPr>
            <w:tcW w:w="211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主键</w:t>
            </w:r>
          </w:p>
        </w:tc>
        <w:tc>
          <w:tcPr>
            <w:tcW w:w="159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integer</w:t>
            </w:r>
          </w:p>
        </w:tc>
        <w:tc>
          <w:tcPr>
            <w:tcW w:w="1189"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1805"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6"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wdname</w:t>
            </w:r>
          </w:p>
        </w:tc>
        <w:tc>
          <w:tcPr>
            <w:tcW w:w="211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维度名称</w:t>
            </w:r>
          </w:p>
        </w:tc>
        <w:tc>
          <w:tcPr>
            <w:tcW w:w="159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varchar(255)</w:t>
            </w:r>
          </w:p>
        </w:tc>
        <w:tc>
          <w:tcPr>
            <w:tcW w:w="1189" w:type="dxa"/>
          </w:tcPr>
          <w:p>
            <w:pPr>
              <w:spacing w:line="360" w:lineRule="auto"/>
              <w:jc w:val="center"/>
              <w:rPr>
                <w:rFonts w:ascii="Times New Roman" w:hAnsi="Times New Roman" w:eastAsia="宋体" w:cs="Times New Roman"/>
                <w:sz w:val="24"/>
                <w:szCs w:val="20"/>
              </w:rPr>
            </w:pPr>
          </w:p>
        </w:tc>
        <w:tc>
          <w:tcPr>
            <w:tcW w:w="1805"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6"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wdtype</w:t>
            </w:r>
          </w:p>
        </w:tc>
        <w:tc>
          <w:tcPr>
            <w:tcW w:w="211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维度类型</w:t>
            </w:r>
          </w:p>
        </w:tc>
        <w:tc>
          <w:tcPr>
            <w:tcW w:w="159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integer</w:t>
            </w:r>
          </w:p>
        </w:tc>
        <w:tc>
          <w:tcPr>
            <w:tcW w:w="1189" w:type="dxa"/>
          </w:tcPr>
          <w:p>
            <w:pPr>
              <w:spacing w:line="360" w:lineRule="auto"/>
              <w:jc w:val="center"/>
              <w:rPr>
                <w:rFonts w:ascii="Times New Roman" w:hAnsi="Times New Roman" w:eastAsia="宋体" w:cs="Times New Roman"/>
                <w:sz w:val="24"/>
                <w:szCs w:val="20"/>
              </w:rPr>
            </w:pPr>
          </w:p>
        </w:tc>
        <w:tc>
          <w:tcPr>
            <w:tcW w:w="1805" w:type="dxa"/>
          </w:tcPr>
          <w:p>
            <w:pPr>
              <w:spacing w:line="360" w:lineRule="auto"/>
              <w:rPr>
                <w:rFonts w:ascii="Times New Roman" w:hAnsi="Times New Roman" w:eastAsia="宋体" w:cs="Times New Roman"/>
                <w:sz w:val="24"/>
              </w:rPr>
            </w:pPr>
            <w:r>
              <w:rPr>
                <w:rFonts w:hint="eastAsia" w:ascii="Times New Roman" w:hAnsi="Times New Roman" w:eastAsia="宋体" w:cs="Times New Roman"/>
                <w:sz w:val="24"/>
              </w:rPr>
              <w:t xml:space="preserve">1：基础维度 </w:t>
            </w:r>
          </w:p>
          <w:p>
            <w:pPr>
              <w:spacing w:line="360" w:lineRule="auto"/>
              <w:rPr>
                <w:rFonts w:ascii="Times New Roman" w:hAnsi="Times New Roman" w:eastAsia="宋体" w:cs="Times New Roman"/>
                <w:sz w:val="24"/>
              </w:rPr>
            </w:pPr>
            <w:r>
              <w:rPr>
                <w:rFonts w:hint="eastAsia" w:ascii="Times New Roman" w:hAnsi="Times New Roman" w:eastAsia="宋体" w:cs="Times New Roman"/>
                <w:sz w:val="24"/>
              </w:rPr>
              <w:t>2：计算维度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6"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jg_type</w:t>
            </w:r>
          </w:p>
        </w:tc>
        <w:tc>
          <w:tcPr>
            <w:tcW w:w="211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结构类型</w:t>
            </w:r>
          </w:p>
        </w:tc>
        <w:tc>
          <w:tcPr>
            <w:tcW w:w="159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integer</w:t>
            </w:r>
          </w:p>
        </w:tc>
        <w:tc>
          <w:tcPr>
            <w:tcW w:w="1189" w:type="dxa"/>
          </w:tcPr>
          <w:p>
            <w:pPr>
              <w:spacing w:line="360" w:lineRule="auto"/>
              <w:jc w:val="center"/>
              <w:rPr>
                <w:rFonts w:ascii="Times New Roman" w:hAnsi="Times New Roman" w:eastAsia="宋体" w:cs="Times New Roman"/>
                <w:sz w:val="24"/>
                <w:szCs w:val="20"/>
              </w:rPr>
            </w:pPr>
          </w:p>
        </w:tc>
        <w:tc>
          <w:tcPr>
            <w:tcW w:w="1805" w:type="dxa"/>
          </w:tcPr>
          <w:p>
            <w:pPr>
              <w:spacing w:line="360" w:lineRule="auto"/>
              <w:rPr>
                <w:rFonts w:ascii="Times New Roman" w:hAnsi="Times New Roman" w:eastAsia="宋体" w:cs="Times New Roman"/>
                <w:sz w:val="24"/>
              </w:rPr>
            </w:pPr>
            <w:r>
              <w:rPr>
                <w:rFonts w:hint="eastAsia" w:ascii="Times New Roman" w:hAnsi="Times New Roman" w:eastAsia="宋体" w:cs="Times New Roman"/>
                <w:sz w:val="24"/>
              </w:rPr>
              <w:t>1：列表 2：树型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6"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item_type</w:t>
            </w:r>
          </w:p>
        </w:tc>
        <w:tc>
          <w:tcPr>
            <w:tcW w:w="211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 xml:space="preserve">数据项类型 </w:t>
            </w:r>
          </w:p>
        </w:tc>
        <w:tc>
          <w:tcPr>
            <w:tcW w:w="159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integer</w:t>
            </w:r>
          </w:p>
        </w:tc>
        <w:tc>
          <w:tcPr>
            <w:tcW w:w="1189" w:type="dxa"/>
          </w:tcPr>
          <w:p>
            <w:pPr>
              <w:spacing w:line="360" w:lineRule="auto"/>
              <w:jc w:val="center"/>
              <w:rPr>
                <w:rFonts w:ascii="Times New Roman" w:hAnsi="Times New Roman" w:eastAsia="宋体" w:cs="Times New Roman"/>
                <w:sz w:val="24"/>
                <w:szCs w:val="20"/>
              </w:rPr>
            </w:pPr>
          </w:p>
        </w:tc>
        <w:tc>
          <w:tcPr>
            <w:tcW w:w="1805" w:type="dxa"/>
          </w:tcPr>
          <w:p>
            <w:pPr>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1：单列 2:key_value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6"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is_dynamic_item</w:t>
            </w:r>
          </w:p>
        </w:tc>
        <w:tc>
          <w:tcPr>
            <w:tcW w:w="211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 xml:space="preserve">是否动态维度项 </w:t>
            </w:r>
          </w:p>
        </w:tc>
        <w:tc>
          <w:tcPr>
            <w:tcW w:w="159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integer</w:t>
            </w:r>
          </w:p>
        </w:tc>
        <w:tc>
          <w:tcPr>
            <w:tcW w:w="1189" w:type="dxa"/>
          </w:tcPr>
          <w:p>
            <w:pPr>
              <w:spacing w:line="360" w:lineRule="auto"/>
              <w:jc w:val="center"/>
              <w:rPr>
                <w:rFonts w:ascii="Times New Roman" w:hAnsi="Times New Roman" w:eastAsia="宋体" w:cs="Times New Roman"/>
                <w:sz w:val="24"/>
                <w:szCs w:val="20"/>
              </w:rPr>
            </w:pPr>
          </w:p>
        </w:tc>
        <w:tc>
          <w:tcPr>
            <w:tcW w:w="1805" w:type="dxa"/>
          </w:tcPr>
          <w:p>
            <w:pPr>
              <w:spacing w:line="360" w:lineRule="auto"/>
              <w:rPr>
                <w:rFonts w:ascii="Times New Roman" w:hAnsi="Times New Roman" w:eastAsia="宋体" w:cs="Times New Roman"/>
                <w:sz w:val="24"/>
              </w:rPr>
            </w:pPr>
            <w:r>
              <w:rPr>
                <w:rFonts w:hint="eastAsia" w:ascii="Times New Roman" w:hAnsi="Times New Roman" w:eastAsia="宋体" w:cs="Times New Roman"/>
                <w:sz w:val="24"/>
              </w:rPr>
              <w:t>1：是 2：否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6"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has_unit</w:t>
            </w:r>
          </w:p>
        </w:tc>
        <w:tc>
          <w:tcPr>
            <w:tcW w:w="211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是否有单位</w:t>
            </w:r>
          </w:p>
        </w:tc>
        <w:tc>
          <w:tcPr>
            <w:tcW w:w="159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integer</w:t>
            </w:r>
          </w:p>
        </w:tc>
        <w:tc>
          <w:tcPr>
            <w:tcW w:w="1189" w:type="dxa"/>
          </w:tcPr>
          <w:p>
            <w:pPr>
              <w:spacing w:line="360" w:lineRule="auto"/>
              <w:jc w:val="center"/>
              <w:rPr>
                <w:rFonts w:ascii="Times New Roman" w:hAnsi="Times New Roman" w:eastAsia="宋体" w:cs="Times New Roman"/>
                <w:sz w:val="24"/>
                <w:szCs w:val="20"/>
              </w:rPr>
            </w:pPr>
          </w:p>
        </w:tc>
        <w:tc>
          <w:tcPr>
            <w:tcW w:w="1805"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6"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express_id</w:t>
            </w:r>
          </w:p>
        </w:tc>
        <w:tc>
          <w:tcPr>
            <w:tcW w:w="211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计算维度所用表达式id</w:t>
            </w:r>
          </w:p>
        </w:tc>
        <w:tc>
          <w:tcPr>
            <w:tcW w:w="159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integer</w:t>
            </w:r>
          </w:p>
        </w:tc>
        <w:tc>
          <w:tcPr>
            <w:tcW w:w="1189" w:type="dxa"/>
          </w:tcPr>
          <w:p>
            <w:pPr>
              <w:spacing w:line="360" w:lineRule="auto"/>
              <w:jc w:val="center"/>
              <w:rPr>
                <w:rFonts w:ascii="Times New Roman" w:hAnsi="Times New Roman" w:eastAsia="宋体" w:cs="Times New Roman"/>
                <w:sz w:val="24"/>
                <w:szCs w:val="20"/>
              </w:rPr>
            </w:pPr>
          </w:p>
        </w:tc>
        <w:tc>
          <w:tcPr>
            <w:tcW w:w="1805" w:type="dxa"/>
          </w:tcPr>
          <w:p>
            <w:pPr>
              <w:spacing w:line="360" w:lineRule="auto"/>
              <w:rPr>
                <w:rFonts w:ascii="Times New Roman" w:hAnsi="Times New Roman" w:eastAsia="宋体" w:cs="Times New Roman"/>
                <w:sz w:val="24"/>
              </w:rPr>
            </w:pPr>
          </w:p>
        </w:tc>
      </w:tr>
    </w:tbl>
    <w:p>
      <w:pPr>
        <w:spacing w:after="120" w:line="360" w:lineRule="auto"/>
        <w:ind w:left="420" w:firstLine="480" w:firstLineChars="200"/>
        <w:rPr>
          <w:rFonts w:ascii="Times New Roman" w:hAnsi="Times New Roman" w:eastAsia="宋体" w:cs="Times New Roman"/>
          <w:sz w:val="24"/>
        </w:rPr>
      </w:pP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3、表达式表</w:t>
      </w:r>
    </w:p>
    <w:tbl>
      <w:tblPr>
        <w:tblStyle w:val="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3"/>
        <w:gridCol w:w="2156"/>
        <w:gridCol w:w="1592"/>
        <w:gridCol w:w="1189"/>
        <w:gridCol w:w="1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33"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字段名</w:t>
            </w:r>
          </w:p>
        </w:tc>
        <w:tc>
          <w:tcPr>
            <w:tcW w:w="2156"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字段说明</w:t>
            </w:r>
          </w:p>
        </w:tc>
        <w:tc>
          <w:tcPr>
            <w:tcW w:w="1592"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类型</w:t>
            </w:r>
          </w:p>
        </w:tc>
        <w:tc>
          <w:tcPr>
            <w:tcW w:w="1189"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是否为空</w:t>
            </w:r>
          </w:p>
        </w:tc>
        <w:tc>
          <w:tcPr>
            <w:tcW w:w="1752"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3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id</w:t>
            </w:r>
          </w:p>
        </w:tc>
        <w:tc>
          <w:tcPr>
            <w:tcW w:w="2156"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主键</w:t>
            </w:r>
          </w:p>
        </w:tc>
        <w:tc>
          <w:tcPr>
            <w:tcW w:w="159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integer</w:t>
            </w:r>
          </w:p>
        </w:tc>
        <w:tc>
          <w:tcPr>
            <w:tcW w:w="1189"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1752"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3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name</w:t>
            </w:r>
          </w:p>
        </w:tc>
        <w:tc>
          <w:tcPr>
            <w:tcW w:w="2156"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名称</w:t>
            </w:r>
          </w:p>
        </w:tc>
        <w:tc>
          <w:tcPr>
            <w:tcW w:w="159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varchar(64)</w:t>
            </w:r>
          </w:p>
        </w:tc>
        <w:tc>
          <w:tcPr>
            <w:tcW w:w="1189" w:type="dxa"/>
          </w:tcPr>
          <w:p>
            <w:pPr>
              <w:spacing w:line="360" w:lineRule="auto"/>
              <w:jc w:val="center"/>
              <w:rPr>
                <w:rFonts w:ascii="Times New Roman" w:hAnsi="Times New Roman" w:eastAsia="宋体" w:cs="Times New Roman"/>
                <w:sz w:val="24"/>
                <w:szCs w:val="20"/>
              </w:rPr>
            </w:pPr>
          </w:p>
        </w:tc>
        <w:tc>
          <w:tcPr>
            <w:tcW w:w="1752"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3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express</w:t>
            </w:r>
          </w:p>
        </w:tc>
        <w:tc>
          <w:tcPr>
            <w:tcW w:w="2156"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表达式</w:t>
            </w:r>
          </w:p>
        </w:tc>
        <w:tc>
          <w:tcPr>
            <w:tcW w:w="159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text</w:t>
            </w:r>
          </w:p>
        </w:tc>
        <w:tc>
          <w:tcPr>
            <w:tcW w:w="1189" w:type="dxa"/>
          </w:tcPr>
          <w:p>
            <w:pPr>
              <w:spacing w:line="360" w:lineRule="auto"/>
              <w:jc w:val="center"/>
              <w:rPr>
                <w:rFonts w:ascii="Times New Roman" w:hAnsi="Times New Roman" w:eastAsia="宋体" w:cs="Times New Roman"/>
                <w:sz w:val="24"/>
                <w:szCs w:val="20"/>
              </w:rPr>
            </w:pPr>
          </w:p>
        </w:tc>
        <w:tc>
          <w:tcPr>
            <w:tcW w:w="1752"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3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ret_type</w:t>
            </w:r>
          </w:p>
        </w:tc>
        <w:tc>
          <w:tcPr>
            <w:tcW w:w="2156"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 xml:space="preserve">返回数据类型 </w:t>
            </w:r>
          </w:p>
        </w:tc>
        <w:tc>
          <w:tcPr>
            <w:tcW w:w="159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integer</w:t>
            </w:r>
          </w:p>
        </w:tc>
        <w:tc>
          <w:tcPr>
            <w:tcW w:w="1189" w:type="dxa"/>
          </w:tcPr>
          <w:p>
            <w:pPr>
              <w:spacing w:line="360" w:lineRule="auto"/>
              <w:jc w:val="center"/>
              <w:rPr>
                <w:rFonts w:ascii="Times New Roman" w:hAnsi="Times New Roman" w:eastAsia="宋体" w:cs="Times New Roman"/>
                <w:sz w:val="24"/>
                <w:szCs w:val="20"/>
              </w:rPr>
            </w:pPr>
          </w:p>
        </w:tc>
        <w:tc>
          <w:tcPr>
            <w:tcW w:w="1752" w:type="dxa"/>
          </w:tcPr>
          <w:p>
            <w:pPr>
              <w:spacing w:line="360" w:lineRule="auto"/>
              <w:rPr>
                <w:rFonts w:ascii="Times New Roman" w:hAnsi="Times New Roman" w:eastAsia="宋体" w:cs="Times New Roman"/>
                <w:sz w:val="24"/>
              </w:rPr>
            </w:pPr>
            <w:r>
              <w:rPr>
                <w:rFonts w:hint="eastAsia" w:ascii="Times New Roman" w:hAnsi="Times New Roman" w:eastAsia="宋体" w:cs="Times New Roman"/>
                <w:sz w:val="24"/>
              </w:rPr>
              <w:t>1：整型 2：浮点型 3：字符串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3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descript</w:t>
            </w:r>
          </w:p>
        </w:tc>
        <w:tc>
          <w:tcPr>
            <w:tcW w:w="2156"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描述</w:t>
            </w:r>
          </w:p>
        </w:tc>
        <w:tc>
          <w:tcPr>
            <w:tcW w:w="159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varchar(500)</w:t>
            </w:r>
          </w:p>
        </w:tc>
        <w:tc>
          <w:tcPr>
            <w:tcW w:w="1189" w:type="dxa"/>
          </w:tcPr>
          <w:p>
            <w:pPr>
              <w:spacing w:line="360" w:lineRule="auto"/>
              <w:jc w:val="center"/>
              <w:rPr>
                <w:rFonts w:ascii="Times New Roman" w:hAnsi="Times New Roman" w:eastAsia="宋体" w:cs="Times New Roman"/>
                <w:sz w:val="24"/>
                <w:szCs w:val="20"/>
              </w:rPr>
            </w:pPr>
          </w:p>
        </w:tc>
        <w:tc>
          <w:tcPr>
            <w:tcW w:w="1752" w:type="dxa"/>
          </w:tcPr>
          <w:p>
            <w:pPr>
              <w:spacing w:line="360" w:lineRule="auto"/>
              <w:rPr>
                <w:rFonts w:ascii="Times New Roman" w:hAnsi="Times New Roman" w:eastAsia="宋体" w:cs="Times New Roman"/>
                <w:sz w:val="24"/>
              </w:rPr>
            </w:pPr>
          </w:p>
        </w:tc>
      </w:tr>
    </w:tbl>
    <w:p>
      <w:pPr>
        <w:spacing w:after="120" w:line="360" w:lineRule="auto"/>
        <w:ind w:left="420" w:firstLine="480" w:firstLineChars="200"/>
        <w:rPr>
          <w:rFonts w:ascii="Times New Roman" w:hAnsi="Times New Roman" w:eastAsia="宋体" w:cs="Times New Roman"/>
          <w:sz w:val="24"/>
        </w:rPr>
      </w:pP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4、参数表</w:t>
      </w:r>
    </w:p>
    <w:tbl>
      <w:tblPr>
        <w:tblStyle w:val="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2146"/>
        <w:gridCol w:w="1592"/>
        <w:gridCol w:w="1189"/>
        <w:gridCol w:w="1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3"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字段名</w:t>
            </w:r>
          </w:p>
        </w:tc>
        <w:tc>
          <w:tcPr>
            <w:tcW w:w="2146"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字段说明</w:t>
            </w:r>
          </w:p>
        </w:tc>
        <w:tc>
          <w:tcPr>
            <w:tcW w:w="1592"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类型</w:t>
            </w:r>
          </w:p>
        </w:tc>
        <w:tc>
          <w:tcPr>
            <w:tcW w:w="1189"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是否为空</w:t>
            </w:r>
          </w:p>
        </w:tc>
        <w:tc>
          <w:tcPr>
            <w:tcW w:w="1752"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id</w:t>
            </w:r>
          </w:p>
        </w:tc>
        <w:tc>
          <w:tcPr>
            <w:tcW w:w="2146"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主键</w:t>
            </w:r>
          </w:p>
        </w:tc>
        <w:tc>
          <w:tcPr>
            <w:tcW w:w="159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integer</w:t>
            </w:r>
          </w:p>
        </w:tc>
        <w:tc>
          <w:tcPr>
            <w:tcW w:w="1189"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1752"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name</w:t>
            </w:r>
          </w:p>
        </w:tc>
        <w:tc>
          <w:tcPr>
            <w:tcW w:w="2146"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参数名称</w:t>
            </w:r>
          </w:p>
        </w:tc>
        <w:tc>
          <w:tcPr>
            <w:tcW w:w="159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varchar(64)</w:t>
            </w:r>
          </w:p>
        </w:tc>
        <w:tc>
          <w:tcPr>
            <w:tcW w:w="1189" w:type="dxa"/>
          </w:tcPr>
          <w:p>
            <w:pPr>
              <w:spacing w:line="360" w:lineRule="auto"/>
              <w:jc w:val="center"/>
              <w:rPr>
                <w:rFonts w:ascii="Times New Roman" w:hAnsi="Times New Roman" w:eastAsia="宋体" w:cs="Times New Roman"/>
                <w:sz w:val="24"/>
                <w:szCs w:val="20"/>
              </w:rPr>
            </w:pPr>
          </w:p>
        </w:tc>
        <w:tc>
          <w:tcPr>
            <w:tcW w:w="1752"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type</w:t>
            </w:r>
          </w:p>
        </w:tc>
        <w:tc>
          <w:tcPr>
            <w:tcW w:w="2146"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 xml:space="preserve">参数类型 </w:t>
            </w:r>
          </w:p>
        </w:tc>
        <w:tc>
          <w:tcPr>
            <w:tcW w:w="159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integer</w:t>
            </w:r>
          </w:p>
        </w:tc>
        <w:tc>
          <w:tcPr>
            <w:tcW w:w="1189" w:type="dxa"/>
          </w:tcPr>
          <w:p>
            <w:pPr>
              <w:spacing w:line="360" w:lineRule="auto"/>
              <w:jc w:val="center"/>
              <w:rPr>
                <w:rFonts w:ascii="Times New Roman" w:hAnsi="Times New Roman" w:eastAsia="宋体" w:cs="Times New Roman"/>
                <w:sz w:val="24"/>
                <w:szCs w:val="20"/>
              </w:rPr>
            </w:pPr>
          </w:p>
        </w:tc>
        <w:tc>
          <w:tcPr>
            <w:tcW w:w="1752" w:type="dxa"/>
          </w:tcPr>
          <w:p>
            <w:pPr>
              <w:spacing w:line="360" w:lineRule="auto"/>
              <w:rPr>
                <w:rFonts w:ascii="Times New Roman" w:hAnsi="Times New Roman" w:eastAsia="宋体" w:cs="Times New Roman"/>
                <w:sz w:val="24"/>
              </w:rPr>
            </w:pPr>
            <w:r>
              <w:rPr>
                <w:rFonts w:hint="eastAsia" w:ascii="Times New Roman" w:hAnsi="Times New Roman" w:eastAsia="宋体" w:cs="Times New Roman"/>
                <w:sz w:val="24"/>
              </w:rPr>
              <w:t>1：整型 2：浮点型 3：字符串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express_id</w:t>
            </w:r>
          </w:p>
        </w:tc>
        <w:tc>
          <w:tcPr>
            <w:tcW w:w="2146"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 xml:space="preserve">计算表达式标识 </w:t>
            </w:r>
          </w:p>
        </w:tc>
        <w:tc>
          <w:tcPr>
            <w:tcW w:w="159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integer</w:t>
            </w:r>
          </w:p>
        </w:tc>
        <w:tc>
          <w:tcPr>
            <w:tcW w:w="1189" w:type="dxa"/>
          </w:tcPr>
          <w:p>
            <w:pPr>
              <w:spacing w:line="360" w:lineRule="auto"/>
              <w:jc w:val="center"/>
              <w:rPr>
                <w:rFonts w:ascii="Times New Roman" w:hAnsi="Times New Roman" w:eastAsia="宋体" w:cs="Times New Roman"/>
                <w:sz w:val="24"/>
                <w:szCs w:val="20"/>
              </w:rPr>
            </w:pPr>
          </w:p>
        </w:tc>
        <w:tc>
          <w:tcPr>
            <w:tcW w:w="1752" w:type="dxa"/>
          </w:tcPr>
          <w:p>
            <w:pPr>
              <w:spacing w:line="360" w:lineRule="auto"/>
              <w:rPr>
                <w:rFonts w:ascii="Times New Roman" w:hAnsi="Times New Roman" w:eastAsia="宋体" w:cs="Times New Roman"/>
                <w:sz w:val="24"/>
              </w:rPr>
            </w:pPr>
            <w:r>
              <w:rPr>
                <w:rFonts w:hint="eastAsia" w:ascii="Times New Roman" w:hAnsi="Times New Roman" w:eastAsia="宋体" w:cs="Times New Roman"/>
                <w:sz w:val="24"/>
              </w:rPr>
              <w:t>外键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descript</w:t>
            </w:r>
          </w:p>
        </w:tc>
        <w:tc>
          <w:tcPr>
            <w:tcW w:w="2146"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描述</w:t>
            </w:r>
          </w:p>
        </w:tc>
        <w:tc>
          <w:tcPr>
            <w:tcW w:w="159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varchar(128)</w:t>
            </w:r>
          </w:p>
        </w:tc>
        <w:tc>
          <w:tcPr>
            <w:tcW w:w="1189" w:type="dxa"/>
          </w:tcPr>
          <w:p>
            <w:pPr>
              <w:spacing w:line="360" w:lineRule="auto"/>
              <w:jc w:val="center"/>
              <w:rPr>
                <w:rFonts w:ascii="Times New Roman" w:hAnsi="Times New Roman" w:eastAsia="宋体" w:cs="Times New Roman"/>
                <w:sz w:val="24"/>
                <w:szCs w:val="20"/>
              </w:rPr>
            </w:pPr>
          </w:p>
        </w:tc>
        <w:tc>
          <w:tcPr>
            <w:tcW w:w="1752" w:type="dxa"/>
          </w:tcPr>
          <w:p>
            <w:pPr>
              <w:spacing w:line="360" w:lineRule="auto"/>
              <w:rPr>
                <w:rFonts w:ascii="Times New Roman" w:hAnsi="Times New Roman" w:eastAsia="宋体" w:cs="Times New Roman"/>
                <w:sz w:val="24"/>
              </w:rPr>
            </w:pPr>
          </w:p>
        </w:tc>
      </w:tr>
    </w:tbl>
    <w:p>
      <w:pPr>
        <w:spacing w:line="360" w:lineRule="auto"/>
        <w:ind w:firstLine="480" w:firstLineChars="200"/>
        <w:rPr>
          <w:rFonts w:ascii="Times New Roman" w:hAnsi="Times New Roman" w:eastAsia="宋体" w:cs="Times New Roman"/>
          <w:sz w:val="24"/>
          <w:szCs w:val="20"/>
        </w:rPr>
      </w:pP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5、专报表</w:t>
      </w:r>
    </w:p>
    <w:tbl>
      <w:tblPr>
        <w:tblStyle w:val="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3"/>
        <w:gridCol w:w="2236"/>
        <w:gridCol w:w="1649"/>
        <w:gridCol w:w="1255"/>
        <w:gridCol w:w="1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53"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字段名</w:t>
            </w:r>
          </w:p>
        </w:tc>
        <w:tc>
          <w:tcPr>
            <w:tcW w:w="2236"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字段说明</w:t>
            </w:r>
          </w:p>
        </w:tc>
        <w:tc>
          <w:tcPr>
            <w:tcW w:w="1649"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类型</w:t>
            </w:r>
          </w:p>
        </w:tc>
        <w:tc>
          <w:tcPr>
            <w:tcW w:w="1255"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是否为空</w:t>
            </w:r>
          </w:p>
        </w:tc>
        <w:tc>
          <w:tcPr>
            <w:tcW w:w="1629"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5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id</w:t>
            </w:r>
          </w:p>
        </w:tc>
        <w:tc>
          <w:tcPr>
            <w:tcW w:w="2236"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主键</w:t>
            </w:r>
          </w:p>
        </w:tc>
        <w:tc>
          <w:tcPr>
            <w:tcW w:w="164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biginteger</w:t>
            </w:r>
          </w:p>
        </w:tc>
        <w:tc>
          <w:tcPr>
            <w:tcW w:w="1255"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162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5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name</w:t>
            </w:r>
          </w:p>
        </w:tc>
        <w:tc>
          <w:tcPr>
            <w:tcW w:w="2236"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名称</w:t>
            </w:r>
          </w:p>
        </w:tc>
        <w:tc>
          <w:tcPr>
            <w:tcW w:w="164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varchar(128)</w:t>
            </w:r>
          </w:p>
        </w:tc>
        <w:tc>
          <w:tcPr>
            <w:tcW w:w="1255" w:type="dxa"/>
          </w:tcPr>
          <w:p>
            <w:pPr>
              <w:spacing w:line="360" w:lineRule="auto"/>
              <w:jc w:val="center"/>
              <w:rPr>
                <w:rFonts w:ascii="Times New Roman" w:hAnsi="Times New Roman" w:eastAsia="宋体" w:cs="Times New Roman"/>
                <w:sz w:val="24"/>
                <w:szCs w:val="20"/>
              </w:rPr>
            </w:pPr>
          </w:p>
        </w:tc>
        <w:tc>
          <w:tcPr>
            <w:tcW w:w="162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5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dept_id</w:t>
            </w:r>
          </w:p>
        </w:tc>
        <w:tc>
          <w:tcPr>
            <w:tcW w:w="2236"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组织机构标识</w:t>
            </w:r>
          </w:p>
        </w:tc>
        <w:tc>
          <w:tcPr>
            <w:tcW w:w="164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biginteger</w:t>
            </w:r>
          </w:p>
        </w:tc>
        <w:tc>
          <w:tcPr>
            <w:tcW w:w="1255" w:type="dxa"/>
          </w:tcPr>
          <w:p>
            <w:pPr>
              <w:spacing w:line="360" w:lineRule="auto"/>
              <w:jc w:val="center"/>
              <w:rPr>
                <w:rFonts w:ascii="Times New Roman" w:hAnsi="Times New Roman" w:eastAsia="宋体" w:cs="Times New Roman"/>
                <w:sz w:val="24"/>
                <w:szCs w:val="20"/>
              </w:rPr>
            </w:pPr>
          </w:p>
        </w:tc>
        <w:tc>
          <w:tcPr>
            <w:tcW w:w="162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5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grid_key</w:t>
            </w:r>
          </w:p>
        </w:tc>
        <w:tc>
          <w:tcPr>
            <w:tcW w:w="2236"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交换存储数据标识</w:t>
            </w:r>
          </w:p>
        </w:tc>
        <w:tc>
          <w:tcPr>
            <w:tcW w:w="164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varchar(64)</w:t>
            </w:r>
          </w:p>
        </w:tc>
        <w:tc>
          <w:tcPr>
            <w:tcW w:w="1255" w:type="dxa"/>
          </w:tcPr>
          <w:p>
            <w:pPr>
              <w:spacing w:line="360" w:lineRule="auto"/>
              <w:jc w:val="center"/>
              <w:rPr>
                <w:rFonts w:ascii="Times New Roman" w:hAnsi="Times New Roman" w:eastAsia="宋体" w:cs="Times New Roman"/>
                <w:sz w:val="24"/>
                <w:szCs w:val="20"/>
              </w:rPr>
            </w:pPr>
          </w:p>
        </w:tc>
        <w:tc>
          <w:tcPr>
            <w:tcW w:w="162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5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achievement_id</w:t>
            </w:r>
          </w:p>
        </w:tc>
        <w:tc>
          <w:tcPr>
            <w:tcW w:w="2236"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成果存储数据标识</w:t>
            </w:r>
          </w:p>
        </w:tc>
        <w:tc>
          <w:tcPr>
            <w:tcW w:w="164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varchar(64)</w:t>
            </w:r>
          </w:p>
        </w:tc>
        <w:tc>
          <w:tcPr>
            <w:tcW w:w="1255" w:type="dxa"/>
          </w:tcPr>
          <w:p>
            <w:pPr>
              <w:spacing w:line="360" w:lineRule="auto"/>
              <w:jc w:val="center"/>
              <w:rPr>
                <w:rFonts w:ascii="Times New Roman" w:hAnsi="Times New Roman" w:eastAsia="宋体" w:cs="Times New Roman"/>
                <w:sz w:val="24"/>
                <w:szCs w:val="20"/>
              </w:rPr>
            </w:pPr>
          </w:p>
        </w:tc>
        <w:tc>
          <w:tcPr>
            <w:tcW w:w="162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5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del_flag</w:t>
            </w:r>
          </w:p>
        </w:tc>
        <w:tc>
          <w:tcPr>
            <w:tcW w:w="2236"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删除标记</w:t>
            </w:r>
          </w:p>
        </w:tc>
        <w:tc>
          <w:tcPr>
            <w:tcW w:w="164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varchar(1)</w:t>
            </w:r>
          </w:p>
        </w:tc>
        <w:tc>
          <w:tcPr>
            <w:tcW w:w="1255" w:type="dxa"/>
          </w:tcPr>
          <w:p>
            <w:pPr>
              <w:spacing w:line="360" w:lineRule="auto"/>
              <w:jc w:val="center"/>
              <w:rPr>
                <w:rFonts w:ascii="Times New Roman" w:hAnsi="Times New Roman" w:eastAsia="宋体" w:cs="Times New Roman"/>
                <w:sz w:val="24"/>
                <w:szCs w:val="20"/>
              </w:rPr>
            </w:pPr>
          </w:p>
        </w:tc>
        <w:tc>
          <w:tcPr>
            <w:tcW w:w="1629" w:type="dxa"/>
          </w:tcPr>
          <w:p>
            <w:pPr>
              <w:spacing w:line="360" w:lineRule="auto"/>
              <w:rPr>
                <w:rFonts w:ascii="Times New Roman" w:hAnsi="Times New Roman" w:eastAsia="宋体" w:cs="Times New Roman"/>
                <w:sz w:val="24"/>
              </w:rPr>
            </w:pPr>
            <w:r>
              <w:rPr>
                <w:rFonts w:hint="eastAsia" w:ascii="Times New Roman" w:hAnsi="Times New Roman" w:eastAsia="宋体" w:cs="Times New Roman"/>
                <w:sz w:val="24"/>
              </w:rPr>
              <w:t xml:space="preserve">0：正常 </w:t>
            </w:r>
          </w:p>
          <w:p>
            <w:pPr>
              <w:spacing w:line="360" w:lineRule="auto"/>
              <w:rPr>
                <w:rFonts w:ascii="Times New Roman" w:hAnsi="Times New Roman" w:eastAsia="宋体" w:cs="Times New Roman"/>
                <w:sz w:val="24"/>
              </w:rPr>
            </w:pPr>
            <w:r>
              <w:rPr>
                <w:rFonts w:hint="eastAsia" w:ascii="Times New Roman" w:hAnsi="Times New Roman" w:eastAsia="宋体" w:cs="Times New Roman"/>
                <w:sz w:val="24"/>
              </w:rPr>
              <w:t>1：已删除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5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year</w:t>
            </w:r>
          </w:p>
        </w:tc>
        <w:tc>
          <w:tcPr>
            <w:tcW w:w="2236"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年</w:t>
            </w:r>
          </w:p>
        </w:tc>
        <w:tc>
          <w:tcPr>
            <w:tcW w:w="164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varchar(8)</w:t>
            </w:r>
          </w:p>
        </w:tc>
        <w:tc>
          <w:tcPr>
            <w:tcW w:w="1255" w:type="dxa"/>
          </w:tcPr>
          <w:p>
            <w:pPr>
              <w:spacing w:line="360" w:lineRule="auto"/>
              <w:jc w:val="center"/>
              <w:rPr>
                <w:rFonts w:ascii="Times New Roman" w:hAnsi="Times New Roman" w:eastAsia="宋体" w:cs="Times New Roman"/>
                <w:sz w:val="24"/>
                <w:szCs w:val="20"/>
              </w:rPr>
            </w:pPr>
          </w:p>
        </w:tc>
        <w:tc>
          <w:tcPr>
            <w:tcW w:w="162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5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month</w:t>
            </w:r>
          </w:p>
        </w:tc>
        <w:tc>
          <w:tcPr>
            <w:tcW w:w="2236"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月</w:t>
            </w:r>
          </w:p>
        </w:tc>
        <w:tc>
          <w:tcPr>
            <w:tcW w:w="164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varchar(8)</w:t>
            </w:r>
          </w:p>
        </w:tc>
        <w:tc>
          <w:tcPr>
            <w:tcW w:w="1255" w:type="dxa"/>
          </w:tcPr>
          <w:p>
            <w:pPr>
              <w:spacing w:line="360" w:lineRule="auto"/>
              <w:jc w:val="center"/>
              <w:rPr>
                <w:rFonts w:ascii="Times New Roman" w:hAnsi="Times New Roman" w:eastAsia="宋体" w:cs="Times New Roman"/>
                <w:sz w:val="24"/>
                <w:szCs w:val="20"/>
              </w:rPr>
            </w:pPr>
          </w:p>
        </w:tc>
        <w:tc>
          <w:tcPr>
            <w:tcW w:w="162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5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creator</w:t>
            </w:r>
          </w:p>
        </w:tc>
        <w:tc>
          <w:tcPr>
            <w:tcW w:w="2236"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创建者</w:t>
            </w:r>
          </w:p>
        </w:tc>
        <w:tc>
          <w:tcPr>
            <w:tcW w:w="164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varchar(64)</w:t>
            </w:r>
          </w:p>
        </w:tc>
        <w:tc>
          <w:tcPr>
            <w:tcW w:w="1255" w:type="dxa"/>
          </w:tcPr>
          <w:p>
            <w:pPr>
              <w:spacing w:line="360" w:lineRule="auto"/>
              <w:jc w:val="center"/>
              <w:rPr>
                <w:rFonts w:ascii="Times New Roman" w:hAnsi="Times New Roman" w:eastAsia="宋体" w:cs="Times New Roman"/>
                <w:sz w:val="24"/>
                <w:szCs w:val="20"/>
              </w:rPr>
            </w:pPr>
          </w:p>
        </w:tc>
        <w:tc>
          <w:tcPr>
            <w:tcW w:w="162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5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create_time</w:t>
            </w:r>
          </w:p>
        </w:tc>
        <w:tc>
          <w:tcPr>
            <w:tcW w:w="2236"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创建时间</w:t>
            </w:r>
          </w:p>
        </w:tc>
        <w:tc>
          <w:tcPr>
            <w:tcW w:w="164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date</w:t>
            </w:r>
          </w:p>
        </w:tc>
        <w:tc>
          <w:tcPr>
            <w:tcW w:w="1255" w:type="dxa"/>
          </w:tcPr>
          <w:p>
            <w:pPr>
              <w:spacing w:line="360" w:lineRule="auto"/>
              <w:jc w:val="center"/>
              <w:rPr>
                <w:rFonts w:ascii="Times New Roman" w:hAnsi="Times New Roman" w:eastAsia="宋体" w:cs="Times New Roman"/>
                <w:sz w:val="24"/>
                <w:szCs w:val="20"/>
              </w:rPr>
            </w:pPr>
          </w:p>
        </w:tc>
        <w:tc>
          <w:tcPr>
            <w:tcW w:w="162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5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update_time</w:t>
            </w:r>
          </w:p>
        </w:tc>
        <w:tc>
          <w:tcPr>
            <w:tcW w:w="2236"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更新时间</w:t>
            </w:r>
          </w:p>
        </w:tc>
        <w:tc>
          <w:tcPr>
            <w:tcW w:w="164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date</w:t>
            </w:r>
          </w:p>
        </w:tc>
        <w:tc>
          <w:tcPr>
            <w:tcW w:w="1255" w:type="dxa"/>
          </w:tcPr>
          <w:p>
            <w:pPr>
              <w:spacing w:line="360" w:lineRule="auto"/>
              <w:jc w:val="center"/>
              <w:rPr>
                <w:rFonts w:ascii="Times New Roman" w:hAnsi="Times New Roman" w:eastAsia="宋体" w:cs="Times New Roman"/>
                <w:sz w:val="24"/>
                <w:szCs w:val="20"/>
              </w:rPr>
            </w:pPr>
          </w:p>
        </w:tc>
        <w:tc>
          <w:tcPr>
            <w:tcW w:w="162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5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visible_dept</w:t>
            </w:r>
          </w:p>
        </w:tc>
        <w:tc>
          <w:tcPr>
            <w:tcW w:w="2236"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可见部门</w:t>
            </w:r>
          </w:p>
        </w:tc>
        <w:tc>
          <w:tcPr>
            <w:tcW w:w="164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varchar(255)</w:t>
            </w:r>
          </w:p>
        </w:tc>
        <w:tc>
          <w:tcPr>
            <w:tcW w:w="1255" w:type="dxa"/>
          </w:tcPr>
          <w:p>
            <w:pPr>
              <w:spacing w:line="360" w:lineRule="auto"/>
              <w:jc w:val="center"/>
              <w:rPr>
                <w:rFonts w:ascii="Times New Roman" w:hAnsi="Times New Roman" w:eastAsia="宋体" w:cs="Times New Roman"/>
                <w:sz w:val="24"/>
                <w:szCs w:val="20"/>
              </w:rPr>
            </w:pPr>
          </w:p>
        </w:tc>
        <w:tc>
          <w:tcPr>
            <w:tcW w:w="1629" w:type="dxa"/>
          </w:tcPr>
          <w:p>
            <w:pPr>
              <w:spacing w:line="360" w:lineRule="auto"/>
              <w:rPr>
                <w:rFonts w:ascii="Times New Roman" w:hAnsi="Times New Roman" w:eastAsia="宋体" w:cs="Times New Roman"/>
                <w:sz w:val="24"/>
              </w:rPr>
            </w:pPr>
            <w:r>
              <w:rPr>
                <w:rFonts w:hint="eastAsia" w:ascii="Times New Roman" w:hAnsi="Times New Roman" w:eastAsia="宋体" w:cs="Times New Roman"/>
                <w:sz w:val="24"/>
              </w:rPr>
              <w:t>适配权限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5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dept_name</w:t>
            </w:r>
          </w:p>
        </w:tc>
        <w:tc>
          <w:tcPr>
            <w:tcW w:w="2236"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所属机构名称</w:t>
            </w:r>
          </w:p>
        </w:tc>
        <w:tc>
          <w:tcPr>
            <w:tcW w:w="164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varchar(64)</w:t>
            </w:r>
          </w:p>
        </w:tc>
        <w:tc>
          <w:tcPr>
            <w:tcW w:w="1255" w:type="dxa"/>
          </w:tcPr>
          <w:p>
            <w:pPr>
              <w:spacing w:line="360" w:lineRule="auto"/>
              <w:jc w:val="center"/>
              <w:rPr>
                <w:rFonts w:ascii="Times New Roman" w:hAnsi="Times New Roman" w:eastAsia="宋体" w:cs="Times New Roman"/>
                <w:sz w:val="24"/>
                <w:szCs w:val="20"/>
              </w:rPr>
            </w:pPr>
          </w:p>
        </w:tc>
        <w:tc>
          <w:tcPr>
            <w:tcW w:w="1629" w:type="dxa"/>
          </w:tcPr>
          <w:p>
            <w:pPr>
              <w:spacing w:line="360" w:lineRule="auto"/>
              <w:rPr>
                <w:rFonts w:ascii="Times New Roman" w:hAnsi="Times New Roman" w:eastAsia="宋体" w:cs="Times New Roman"/>
                <w:sz w:val="24"/>
              </w:rPr>
            </w:pPr>
          </w:p>
        </w:tc>
      </w:tr>
    </w:tbl>
    <w:p>
      <w:pPr>
        <w:spacing w:after="120" w:line="360" w:lineRule="auto"/>
        <w:rPr>
          <w:rFonts w:ascii="Times New Roman" w:hAnsi="Times New Roman" w:eastAsia="宋体" w:cs="Times New Roman"/>
          <w:sz w:val="24"/>
        </w:rPr>
      </w:pP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6、成果表</w:t>
      </w:r>
    </w:p>
    <w:tbl>
      <w:tblPr>
        <w:tblStyle w:val="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7"/>
        <w:gridCol w:w="1958"/>
        <w:gridCol w:w="1707"/>
        <w:gridCol w:w="1133"/>
        <w:gridCol w:w="2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7"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字段名</w:t>
            </w:r>
          </w:p>
        </w:tc>
        <w:tc>
          <w:tcPr>
            <w:tcW w:w="1958"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字段说明</w:t>
            </w:r>
          </w:p>
        </w:tc>
        <w:tc>
          <w:tcPr>
            <w:tcW w:w="1707"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类型</w:t>
            </w:r>
          </w:p>
        </w:tc>
        <w:tc>
          <w:tcPr>
            <w:tcW w:w="1133"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是否为空</w:t>
            </w:r>
          </w:p>
        </w:tc>
        <w:tc>
          <w:tcPr>
            <w:tcW w:w="2117"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7"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id</w:t>
            </w:r>
          </w:p>
        </w:tc>
        <w:tc>
          <w:tcPr>
            <w:tcW w:w="1958"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主键</w:t>
            </w:r>
          </w:p>
        </w:tc>
        <w:tc>
          <w:tcPr>
            <w:tcW w:w="1707"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biginteger</w:t>
            </w:r>
          </w:p>
        </w:tc>
        <w:tc>
          <w:tcPr>
            <w:tcW w:w="1133"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2117" w:type="dxa"/>
          </w:tcPr>
          <w:p>
            <w:pPr>
              <w:spacing w:line="360" w:lineRule="auto"/>
              <w:rPr>
                <w:rFonts w:ascii="Times New Roman" w:hAnsi="Times New Roman" w:eastAsia="宋体" w:cs="Times New Roman"/>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7"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name</w:t>
            </w:r>
          </w:p>
        </w:tc>
        <w:tc>
          <w:tcPr>
            <w:tcW w:w="1958"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名称</w:t>
            </w:r>
          </w:p>
        </w:tc>
        <w:tc>
          <w:tcPr>
            <w:tcW w:w="1707"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varchar(128)</w:t>
            </w:r>
          </w:p>
        </w:tc>
        <w:tc>
          <w:tcPr>
            <w:tcW w:w="1133" w:type="dxa"/>
          </w:tcPr>
          <w:p>
            <w:pPr>
              <w:spacing w:line="360" w:lineRule="auto"/>
              <w:jc w:val="center"/>
              <w:rPr>
                <w:rFonts w:ascii="Times New Roman" w:hAnsi="Times New Roman" w:eastAsia="宋体" w:cs="Times New Roman"/>
                <w:sz w:val="24"/>
                <w:szCs w:val="20"/>
              </w:rPr>
            </w:pPr>
          </w:p>
        </w:tc>
        <w:tc>
          <w:tcPr>
            <w:tcW w:w="2117" w:type="dxa"/>
          </w:tcPr>
          <w:p>
            <w:pPr>
              <w:spacing w:line="360" w:lineRule="auto"/>
              <w:rPr>
                <w:rFonts w:ascii="Times New Roman" w:hAnsi="Times New Roman" w:eastAsia="宋体" w:cs="Times New Roman"/>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7"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catalog_id</w:t>
            </w:r>
          </w:p>
        </w:tc>
        <w:tc>
          <w:tcPr>
            <w:tcW w:w="1958"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目录标识</w:t>
            </w:r>
          </w:p>
        </w:tc>
        <w:tc>
          <w:tcPr>
            <w:tcW w:w="1707"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biginteger</w:t>
            </w:r>
          </w:p>
        </w:tc>
        <w:tc>
          <w:tcPr>
            <w:tcW w:w="1133" w:type="dxa"/>
          </w:tcPr>
          <w:p>
            <w:pPr>
              <w:spacing w:line="360" w:lineRule="auto"/>
              <w:jc w:val="center"/>
              <w:rPr>
                <w:rFonts w:ascii="Times New Roman" w:hAnsi="Times New Roman" w:eastAsia="宋体" w:cs="Times New Roman"/>
                <w:sz w:val="24"/>
                <w:szCs w:val="20"/>
              </w:rPr>
            </w:pPr>
          </w:p>
        </w:tc>
        <w:tc>
          <w:tcPr>
            <w:tcW w:w="2117" w:type="dxa"/>
          </w:tcPr>
          <w:p>
            <w:pPr>
              <w:spacing w:line="360" w:lineRule="auto"/>
              <w:rPr>
                <w:rFonts w:ascii="Times New Roman" w:hAnsi="Times New Roman" w:eastAsia="宋体" w:cs="Times New Roman"/>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7"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grid_key</w:t>
            </w:r>
          </w:p>
        </w:tc>
        <w:tc>
          <w:tcPr>
            <w:tcW w:w="1958"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交换表记录标识</w:t>
            </w:r>
          </w:p>
        </w:tc>
        <w:tc>
          <w:tcPr>
            <w:tcW w:w="1707"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varchar(128)</w:t>
            </w:r>
          </w:p>
        </w:tc>
        <w:tc>
          <w:tcPr>
            <w:tcW w:w="1133" w:type="dxa"/>
          </w:tcPr>
          <w:p>
            <w:pPr>
              <w:spacing w:line="360" w:lineRule="auto"/>
              <w:jc w:val="center"/>
              <w:rPr>
                <w:rFonts w:ascii="Times New Roman" w:hAnsi="Times New Roman" w:eastAsia="宋体" w:cs="Times New Roman"/>
                <w:sz w:val="24"/>
                <w:szCs w:val="20"/>
              </w:rPr>
            </w:pPr>
          </w:p>
        </w:tc>
        <w:tc>
          <w:tcPr>
            <w:tcW w:w="2117" w:type="dxa"/>
          </w:tcPr>
          <w:p>
            <w:pPr>
              <w:spacing w:line="360" w:lineRule="auto"/>
              <w:rPr>
                <w:rFonts w:ascii="Times New Roman" w:hAnsi="Times New Roman" w:eastAsia="宋体" w:cs="Times New Roman"/>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7"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del_flag</w:t>
            </w:r>
          </w:p>
        </w:tc>
        <w:tc>
          <w:tcPr>
            <w:tcW w:w="1958"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删除标记</w:t>
            </w:r>
          </w:p>
        </w:tc>
        <w:tc>
          <w:tcPr>
            <w:tcW w:w="1707"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varchar(1)</w:t>
            </w:r>
          </w:p>
        </w:tc>
        <w:tc>
          <w:tcPr>
            <w:tcW w:w="1133" w:type="dxa"/>
          </w:tcPr>
          <w:p>
            <w:pPr>
              <w:spacing w:line="360" w:lineRule="auto"/>
              <w:jc w:val="center"/>
              <w:rPr>
                <w:rFonts w:ascii="Times New Roman" w:hAnsi="Times New Roman" w:eastAsia="宋体" w:cs="Times New Roman"/>
                <w:sz w:val="24"/>
                <w:szCs w:val="20"/>
              </w:rPr>
            </w:pPr>
          </w:p>
        </w:tc>
        <w:tc>
          <w:tcPr>
            <w:tcW w:w="2117"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0：正常 1：已删除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7"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dept_name</w:t>
            </w:r>
          </w:p>
        </w:tc>
        <w:tc>
          <w:tcPr>
            <w:tcW w:w="1958"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组织机构</w:t>
            </w:r>
          </w:p>
        </w:tc>
        <w:tc>
          <w:tcPr>
            <w:tcW w:w="1707"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varchar(64)</w:t>
            </w:r>
          </w:p>
        </w:tc>
        <w:tc>
          <w:tcPr>
            <w:tcW w:w="1133" w:type="dxa"/>
          </w:tcPr>
          <w:p>
            <w:pPr>
              <w:spacing w:line="360" w:lineRule="auto"/>
              <w:jc w:val="center"/>
              <w:rPr>
                <w:rFonts w:ascii="Times New Roman" w:hAnsi="Times New Roman" w:eastAsia="宋体" w:cs="Times New Roman"/>
                <w:sz w:val="24"/>
                <w:szCs w:val="20"/>
              </w:rPr>
            </w:pPr>
          </w:p>
        </w:tc>
        <w:tc>
          <w:tcPr>
            <w:tcW w:w="2117" w:type="dxa"/>
          </w:tcPr>
          <w:p>
            <w:pPr>
              <w:spacing w:line="360" w:lineRule="auto"/>
              <w:rPr>
                <w:rFonts w:ascii="Times New Roman" w:hAnsi="Times New Roman" w:eastAsia="宋体" w:cs="Times New Roman"/>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7"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creator</w:t>
            </w:r>
          </w:p>
        </w:tc>
        <w:tc>
          <w:tcPr>
            <w:tcW w:w="1958"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创建者</w:t>
            </w:r>
          </w:p>
        </w:tc>
        <w:tc>
          <w:tcPr>
            <w:tcW w:w="1707"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varchar(64)</w:t>
            </w:r>
          </w:p>
        </w:tc>
        <w:tc>
          <w:tcPr>
            <w:tcW w:w="1133" w:type="dxa"/>
          </w:tcPr>
          <w:p>
            <w:pPr>
              <w:spacing w:line="360" w:lineRule="auto"/>
              <w:jc w:val="center"/>
              <w:rPr>
                <w:rFonts w:ascii="Times New Roman" w:hAnsi="Times New Roman" w:eastAsia="宋体" w:cs="Times New Roman"/>
                <w:sz w:val="24"/>
                <w:szCs w:val="20"/>
              </w:rPr>
            </w:pPr>
          </w:p>
        </w:tc>
        <w:tc>
          <w:tcPr>
            <w:tcW w:w="2117" w:type="dxa"/>
          </w:tcPr>
          <w:p>
            <w:pPr>
              <w:spacing w:line="360" w:lineRule="auto"/>
              <w:rPr>
                <w:rFonts w:ascii="Times New Roman" w:hAnsi="Times New Roman" w:eastAsia="宋体" w:cs="Times New Roman"/>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7"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create_time</w:t>
            </w:r>
          </w:p>
        </w:tc>
        <w:tc>
          <w:tcPr>
            <w:tcW w:w="1958"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创建时间</w:t>
            </w:r>
          </w:p>
        </w:tc>
        <w:tc>
          <w:tcPr>
            <w:tcW w:w="1707"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date</w:t>
            </w:r>
          </w:p>
        </w:tc>
        <w:tc>
          <w:tcPr>
            <w:tcW w:w="1133" w:type="dxa"/>
          </w:tcPr>
          <w:p>
            <w:pPr>
              <w:spacing w:line="360" w:lineRule="auto"/>
              <w:jc w:val="center"/>
              <w:rPr>
                <w:rFonts w:ascii="Times New Roman" w:hAnsi="Times New Roman" w:eastAsia="宋体" w:cs="Times New Roman"/>
                <w:sz w:val="24"/>
                <w:szCs w:val="20"/>
              </w:rPr>
            </w:pPr>
          </w:p>
        </w:tc>
        <w:tc>
          <w:tcPr>
            <w:tcW w:w="2117" w:type="dxa"/>
          </w:tcPr>
          <w:p>
            <w:pPr>
              <w:spacing w:line="360" w:lineRule="auto"/>
              <w:rPr>
                <w:rFonts w:ascii="Times New Roman" w:hAnsi="Times New Roman" w:eastAsia="宋体" w:cs="Times New Roman"/>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7"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update_time</w:t>
            </w:r>
          </w:p>
        </w:tc>
        <w:tc>
          <w:tcPr>
            <w:tcW w:w="1958"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更新时间</w:t>
            </w:r>
          </w:p>
        </w:tc>
        <w:tc>
          <w:tcPr>
            <w:tcW w:w="1707"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date</w:t>
            </w:r>
          </w:p>
        </w:tc>
        <w:tc>
          <w:tcPr>
            <w:tcW w:w="1133" w:type="dxa"/>
          </w:tcPr>
          <w:p>
            <w:pPr>
              <w:spacing w:line="360" w:lineRule="auto"/>
              <w:jc w:val="center"/>
              <w:rPr>
                <w:rFonts w:ascii="Times New Roman" w:hAnsi="Times New Roman" w:eastAsia="宋体" w:cs="Times New Roman"/>
                <w:sz w:val="24"/>
                <w:szCs w:val="20"/>
              </w:rPr>
            </w:pPr>
          </w:p>
        </w:tc>
        <w:tc>
          <w:tcPr>
            <w:tcW w:w="2117" w:type="dxa"/>
          </w:tcPr>
          <w:p>
            <w:pPr>
              <w:spacing w:line="360" w:lineRule="auto"/>
              <w:rPr>
                <w:rFonts w:ascii="Times New Roman" w:hAnsi="Times New Roman" w:eastAsia="宋体" w:cs="Times New Roman"/>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7"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visible_dept</w:t>
            </w:r>
          </w:p>
        </w:tc>
        <w:tc>
          <w:tcPr>
            <w:tcW w:w="1958"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可见部门</w:t>
            </w:r>
          </w:p>
        </w:tc>
        <w:tc>
          <w:tcPr>
            <w:tcW w:w="1707"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varchar(255)</w:t>
            </w:r>
          </w:p>
        </w:tc>
        <w:tc>
          <w:tcPr>
            <w:tcW w:w="1133" w:type="dxa"/>
          </w:tcPr>
          <w:p>
            <w:pPr>
              <w:spacing w:line="360" w:lineRule="auto"/>
              <w:jc w:val="center"/>
              <w:rPr>
                <w:rFonts w:ascii="Times New Roman" w:hAnsi="Times New Roman" w:eastAsia="宋体" w:cs="Times New Roman"/>
                <w:sz w:val="24"/>
                <w:szCs w:val="20"/>
              </w:rPr>
            </w:pPr>
          </w:p>
        </w:tc>
        <w:tc>
          <w:tcPr>
            <w:tcW w:w="2117"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适配权限</w:t>
            </w:r>
          </w:p>
        </w:tc>
      </w:tr>
    </w:tbl>
    <w:p>
      <w:pPr>
        <w:spacing w:line="360" w:lineRule="auto"/>
        <w:ind w:firstLine="480" w:firstLineChars="200"/>
        <w:rPr>
          <w:rFonts w:ascii="Times New Roman" w:hAnsi="Times New Roman" w:eastAsia="宋体" w:cs="Times New Roman"/>
          <w:sz w:val="24"/>
          <w:szCs w:val="20"/>
        </w:rPr>
      </w:pP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7、主栏项表</w:t>
      </w:r>
    </w:p>
    <w:tbl>
      <w:tblPr>
        <w:tblStyle w:val="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4"/>
        <w:gridCol w:w="2082"/>
        <w:gridCol w:w="1728"/>
        <w:gridCol w:w="1189"/>
        <w:gridCol w:w="1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4"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字段名</w:t>
            </w:r>
          </w:p>
        </w:tc>
        <w:tc>
          <w:tcPr>
            <w:tcW w:w="2082"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字段说明</w:t>
            </w:r>
          </w:p>
        </w:tc>
        <w:tc>
          <w:tcPr>
            <w:tcW w:w="1728"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类型</w:t>
            </w:r>
          </w:p>
        </w:tc>
        <w:tc>
          <w:tcPr>
            <w:tcW w:w="1189"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是否为空</w:t>
            </w:r>
          </w:p>
        </w:tc>
        <w:tc>
          <w:tcPr>
            <w:tcW w:w="1899"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4"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id</w:t>
            </w:r>
          </w:p>
        </w:tc>
        <w:tc>
          <w:tcPr>
            <w:tcW w:w="208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主键</w:t>
            </w:r>
          </w:p>
        </w:tc>
        <w:tc>
          <w:tcPr>
            <w:tcW w:w="1728"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biginteger</w:t>
            </w:r>
          </w:p>
        </w:tc>
        <w:tc>
          <w:tcPr>
            <w:tcW w:w="1189"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1899" w:type="dxa"/>
          </w:tcPr>
          <w:p>
            <w:pPr>
              <w:spacing w:line="360" w:lineRule="auto"/>
              <w:rPr>
                <w:rFonts w:ascii="Times New Roman" w:hAnsi="Times New Roman" w:eastAsia="宋体" w:cs="Times New Roman"/>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4"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name</w:t>
            </w:r>
          </w:p>
        </w:tc>
        <w:tc>
          <w:tcPr>
            <w:tcW w:w="208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名称</w:t>
            </w:r>
          </w:p>
        </w:tc>
        <w:tc>
          <w:tcPr>
            <w:tcW w:w="1728"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varchar(128)</w:t>
            </w:r>
          </w:p>
        </w:tc>
        <w:tc>
          <w:tcPr>
            <w:tcW w:w="1189" w:type="dxa"/>
          </w:tcPr>
          <w:p>
            <w:pPr>
              <w:spacing w:line="360" w:lineRule="auto"/>
              <w:jc w:val="center"/>
              <w:rPr>
                <w:rFonts w:ascii="Times New Roman" w:hAnsi="Times New Roman" w:eastAsia="宋体" w:cs="Times New Roman"/>
                <w:sz w:val="24"/>
                <w:szCs w:val="20"/>
              </w:rPr>
            </w:pPr>
          </w:p>
        </w:tc>
        <w:tc>
          <w:tcPr>
            <w:tcW w:w="1899" w:type="dxa"/>
          </w:tcPr>
          <w:p>
            <w:pPr>
              <w:spacing w:line="360" w:lineRule="auto"/>
              <w:rPr>
                <w:rFonts w:ascii="Times New Roman" w:hAnsi="Times New Roman" w:eastAsia="宋体" w:cs="Times New Roman"/>
                <w:sz w:val="24"/>
                <w:szCs w:val="20"/>
              </w:rPr>
            </w:pPr>
          </w:p>
        </w:tc>
      </w:tr>
    </w:tbl>
    <w:p>
      <w:pPr>
        <w:spacing w:after="120" w:line="360" w:lineRule="auto"/>
        <w:rPr>
          <w:rFonts w:ascii="Times New Roman" w:hAnsi="Times New Roman" w:eastAsia="宋体" w:cs="Times New Roman"/>
          <w:sz w:val="24"/>
        </w:rPr>
      </w:pP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8、宾栏项表</w:t>
      </w:r>
    </w:p>
    <w:tbl>
      <w:tblPr>
        <w:tblStyle w:val="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4"/>
        <w:gridCol w:w="2082"/>
        <w:gridCol w:w="1728"/>
        <w:gridCol w:w="1189"/>
        <w:gridCol w:w="1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4"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字段名</w:t>
            </w:r>
          </w:p>
        </w:tc>
        <w:tc>
          <w:tcPr>
            <w:tcW w:w="2082"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字段说明</w:t>
            </w:r>
          </w:p>
        </w:tc>
        <w:tc>
          <w:tcPr>
            <w:tcW w:w="1728"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类型</w:t>
            </w:r>
          </w:p>
        </w:tc>
        <w:tc>
          <w:tcPr>
            <w:tcW w:w="1189"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是否为空</w:t>
            </w:r>
          </w:p>
        </w:tc>
        <w:tc>
          <w:tcPr>
            <w:tcW w:w="1899"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4"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id</w:t>
            </w:r>
          </w:p>
        </w:tc>
        <w:tc>
          <w:tcPr>
            <w:tcW w:w="208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主键</w:t>
            </w:r>
          </w:p>
        </w:tc>
        <w:tc>
          <w:tcPr>
            <w:tcW w:w="1728"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biginteger</w:t>
            </w:r>
          </w:p>
        </w:tc>
        <w:tc>
          <w:tcPr>
            <w:tcW w:w="1189"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1899" w:type="dxa"/>
          </w:tcPr>
          <w:p>
            <w:pPr>
              <w:spacing w:line="360" w:lineRule="auto"/>
              <w:rPr>
                <w:rFonts w:ascii="Times New Roman" w:hAnsi="Times New Roman" w:eastAsia="宋体" w:cs="Times New Roman"/>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4"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name</w:t>
            </w:r>
          </w:p>
        </w:tc>
        <w:tc>
          <w:tcPr>
            <w:tcW w:w="208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名称</w:t>
            </w:r>
          </w:p>
        </w:tc>
        <w:tc>
          <w:tcPr>
            <w:tcW w:w="1728"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varchar(128)</w:t>
            </w:r>
          </w:p>
        </w:tc>
        <w:tc>
          <w:tcPr>
            <w:tcW w:w="1189" w:type="dxa"/>
          </w:tcPr>
          <w:p>
            <w:pPr>
              <w:spacing w:line="360" w:lineRule="auto"/>
              <w:jc w:val="center"/>
              <w:rPr>
                <w:rFonts w:ascii="Times New Roman" w:hAnsi="Times New Roman" w:eastAsia="宋体" w:cs="Times New Roman"/>
                <w:sz w:val="24"/>
                <w:szCs w:val="20"/>
              </w:rPr>
            </w:pPr>
          </w:p>
        </w:tc>
        <w:tc>
          <w:tcPr>
            <w:tcW w:w="1899" w:type="dxa"/>
          </w:tcPr>
          <w:p>
            <w:pPr>
              <w:spacing w:line="360" w:lineRule="auto"/>
              <w:rPr>
                <w:rFonts w:ascii="Times New Roman" w:hAnsi="Times New Roman" w:eastAsia="宋体" w:cs="Times New Roman"/>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4"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level</w:t>
            </w:r>
          </w:p>
        </w:tc>
        <w:tc>
          <w:tcPr>
            <w:tcW w:w="208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层级</w:t>
            </w:r>
          </w:p>
        </w:tc>
        <w:tc>
          <w:tcPr>
            <w:tcW w:w="1728"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Tinyinteger</w:t>
            </w:r>
          </w:p>
        </w:tc>
        <w:tc>
          <w:tcPr>
            <w:tcW w:w="1189" w:type="dxa"/>
          </w:tcPr>
          <w:p>
            <w:pPr>
              <w:spacing w:line="360" w:lineRule="auto"/>
              <w:jc w:val="center"/>
              <w:rPr>
                <w:rFonts w:ascii="Times New Roman" w:hAnsi="Times New Roman" w:eastAsia="宋体" w:cs="Times New Roman"/>
                <w:sz w:val="24"/>
                <w:szCs w:val="20"/>
              </w:rPr>
            </w:pPr>
          </w:p>
        </w:tc>
        <w:tc>
          <w:tcPr>
            <w:tcW w:w="1899" w:type="dxa"/>
          </w:tcPr>
          <w:p>
            <w:pPr>
              <w:spacing w:line="360" w:lineRule="auto"/>
              <w:rPr>
                <w:rFonts w:ascii="Times New Roman" w:hAnsi="Times New Roman" w:eastAsia="宋体" w:cs="Times New Roman"/>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4"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parent_id</w:t>
            </w:r>
          </w:p>
        </w:tc>
        <w:tc>
          <w:tcPr>
            <w:tcW w:w="208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父节点标识</w:t>
            </w:r>
          </w:p>
        </w:tc>
        <w:tc>
          <w:tcPr>
            <w:tcW w:w="1728"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biginteger</w:t>
            </w:r>
          </w:p>
        </w:tc>
        <w:tc>
          <w:tcPr>
            <w:tcW w:w="1189" w:type="dxa"/>
          </w:tcPr>
          <w:p>
            <w:pPr>
              <w:spacing w:line="360" w:lineRule="auto"/>
              <w:jc w:val="center"/>
              <w:rPr>
                <w:rFonts w:ascii="Times New Roman" w:hAnsi="Times New Roman" w:eastAsia="宋体" w:cs="Times New Roman"/>
                <w:sz w:val="24"/>
                <w:szCs w:val="20"/>
              </w:rPr>
            </w:pPr>
          </w:p>
        </w:tc>
        <w:tc>
          <w:tcPr>
            <w:tcW w:w="1899" w:type="dxa"/>
          </w:tcPr>
          <w:p>
            <w:pPr>
              <w:spacing w:line="360" w:lineRule="auto"/>
              <w:rPr>
                <w:rFonts w:ascii="Times New Roman" w:hAnsi="Times New Roman" w:eastAsia="宋体" w:cs="Times New Roman"/>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4"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full_name</w:t>
            </w:r>
          </w:p>
        </w:tc>
        <w:tc>
          <w:tcPr>
            <w:tcW w:w="208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全名</w:t>
            </w:r>
          </w:p>
        </w:tc>
        <w:tc>
          <w:tcPr>
            <w:tcW w:w="1728"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varchar(128)</w:t>
            </w:r>
          </w:p>
        </w:tc>
        <w:tc>
          <w:tcPr>
            <w:tcW w:w="1189" w:type="dxa"/>
          </w:tcPr>
          <w:p>
            <w:pPr>
              <w:spacing w:line="360" w:lineRule="auto"/>
              <w:jc w:val="center"/>
              <w:rPr>
                <w:rFonts w:ascii="Times New Roman" w:hAnsi="Times New Roman" w:eastAsia="宋体" w:cs="Times New Roman"/>
                <w:sz w:val="24"/>
                <w:szCs w:val="20"/>
              </w:rPr>
            </w:pPr>
          </w:p>
        </w:tc>
        <w:tc>
          <w:tcPr>
            <w:tcW w:w="1899" w:type="dxa"/>
          </w:tcPr>
          <w:p>
            <w:pPr>
              <w:spacing w:line="360" w:lineRule="auto"/>
              <w:rPr>
                <w:rFonts w:ascii="Times New Roman" w:hAnsi="Times New Roman" w:eastAsia="宋体" w:cs="Times New Roman"/>
                <w:sz w:val="24"/>
                <w:szCs w:val="20"/>
              </w:rPr>
            </w:pPr>
          </w:p>
        </w:tc>
      </w:tr>
    </w:tbl>
    <w:p>
      <w:pPr>
        <w:spacing w:after="120" w:line="360" w:lineRule="auto"/>
        <w:rPr>
          <w:rFonts w:ascii="Times New Roman" w:hAnsi="Times New Roman" w:eastAsia="宋体" w:cs="Times New Roman"/>
          <w:sz w:val="24"/>
        </w:rPr>
      </w:pP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9、目录表</w:t>
      </w:r>
    </w:p>
    <w:tbl>
      <w:tblPr>
        <w:tblStyle w:val="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5"/>
        <w:gridCol w:w="1870"/>
        <w:gridCol w:w="1673"/>
        <w:gridCol w:w="1292"/>
        <w:gridCol w:w="1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5"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字段名</w:t>
            </w:r>
          </w:p>
        </w:tc>
        <w:tc>
          <w:tcPr>
            <w:tcW w:w="1870"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字段说明</w:t>
            </w:r>
          </w:p>
        </w:tc>
        <w:tc>
          <w:tcPr>
            <w:tcW w:w="1673"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类型</w:t>
            </w:r>
          </w:p>
        </w:tc>
        <w:tc>
          <w:tcPr>
            <w:tcW w:w="1292"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是否为空</w:t>
            </w:r>
          </w:p>
        </w:tc>
        <w:tc>
          <w:tcPr>
            <w:tcW w:w="1972"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5"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id</w:t>
            </w:r>
          </w:p>
        </w:tc>
        <w:tc>
          <w:tcPr>
            <w:tcW w:w="1870"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主键</w:t>
            </w:r>
          </w:p>
        </w:tc>
        <w:tc>
          <w:tcPr>
            <w:tcW w:w="167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biginteger</w:t>
            </w:r>
          </w:p>
        </w:tc>
        <w:tc>
          <w:tcPr>
            <w:tcW w:w="1292"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1972" w:type="dxa"/>
          </w:tcPr>
          <w:p>
            <w:pPr>
              <w:spacing w:line="360" w:lineRule="auto"/>
              <w:rPr>
                <w:rFonts w:ascii="Times New Roman" w:hAnsi="Times New Roman" w:eastAsia="宋体" w:cs="Times New Roman"/>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5"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name</w:t>
            </w:r>
          </w:p>
        </w:tc>
        <w:tc>
          <w:tcPr>
            <w:tcW w:w="1870"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名称</w:t>
            </w:r>
          </w:p>
        </w:tc>
        <w:tc>
          <w:tcPr>
            <w:tcW w:w="167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varchar(128)</w:t>
            </w:r>
          </w:p>
        </w:tc>
        <w:tc>
          <w:tcPr>
            <w:tcW w:w="1292" w:type="dxa"/>
          </w:tcPr>
          <w:p>
            <w:pPr>
              <w:spacing w:line="360" w:lineRule="auto"/>
              <w:jc w:val="center"/>
              <w:rPr>
                <w:rFonts w:ascii="Times New Roman" w:hAnsi="Times New Roman" w:eastAsia="宋体" w:cs="Times New Roman"/>
                <w:sz w:val="24"/>
                <w:szCs w:val="20"/>
              </w:rPr>
            </w:pPr>
          </w:p>
        </w:tc>
        <w:tc>
          <w:tcPr>
            <w:tcW w:w="1972" w:type="dxa"/>
          </w:tcPr>
          <w:p>
            <w:pPr>
              <w:spacing w:line="360" w:lineRule="auto"/>
              <w:rPr>
                <w:rFonts w:ascii="Times New Roman" w:hAnsi="Times New Roman" w:eastAsia="宋体" w:cs="Times New Roman"/>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5"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dept_id</w:t>
            </w:r>
          </w:p>
        </w:tc>
        <w:tc>
          <w:tcPr>
            <w:tcW w:w="1870"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组织机构标识</w:t>
            </w:r>
          </w:p>
        </w:tc>
        <w:tc>
          <w:tcPr>
            <w:tcW w:w="167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viginteger</w:t>
            </w:r>
          </w:p>
        </w:tc>
        <w:tc>
          <w:tcPr>
            <w:tcW w:w="1292" w:type="dxa"/>
          </w:tcPr>
          <w:p>
            <w:pPr>
              <w:spacing w:line="360" w:lineRule="auto"/>
              <w:jc w:val="center"/>
              <w:rPr>
                <w:rFonts w:ascii="Times New Roman" w:hAnsi="Times New Roman" w:eastAsia="宋体" w:cs="Times New Roman"/>
                <w:sz w:val="24"/>
                <w:szCs w:val="20"/>
              </w:rPr>
            </w:pPr>
          </w:p>
        </w:tc>
        <w:tc>
          <w:tcPr>
            <w:tcW w:w="1972" w:type="dxa"/>
          </w:tcPr>
          <w:p>
            <w:pPr>
              <w:spacing w:line="360" w:lineRule="auto"/>
              <w:rPr>
                <w:rFonts w:ascii="Times New Roman" w:hAnsi="Times New Roman" w:eastAsia="宋体" w:cs="Times New Roman"/>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5"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type</w:t>
            </w:r>
          </w:p>
        </w:tc>
        <w:tc>
          <w:tcPr>
            <w:tcW w:w="1870"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 xml:space="preserve">目录类型 </w:t>
            </w:r>
          </w:p>
        </w:tc>
        <w:tc>
          <w:tcPr>
            <w:tcW w:w="167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smallinteger</w:t>
            </w:r>
          </w:p>
        </w:tc>
        <w:tc>
          <w:tcPr>
            <w:tcW w:w="1292" w:type="dxa"/>
          </w:tcPr>
          <w:p>
            <w:pPr>
              <w:spacing w:line="360" w:lineRule="auto"/>
              <w:jc w:val="center"/>
              <w:rPr>
                <w:rFonts w:ascii="Times New Roman" w:hAnsi="Times New Roman" w:eastAsia="宋体" w:cs="Times New Roman"/>
                <w:sz w:val="24"/>
                <w:szCs w:val="20"/>
              </w:rPr>
            </w:pPr>
          </w:p>
        </w:tc>
        <w:tc>
          <w:tcPr>
            <w:tcW w:w="197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1：模板 2：专业 3：成果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5"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search_key</w:t>
            </w:r>
          </w:p>
        </w:tc>
        <w:tc>
          <w:tcPr>
            <w:tcW w:w="1870"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检索键</w:t>
            </w:r>
          </w:p>
        </w:tc>
        <w:tc>
          <w:tcPr>
            <w:tcW w:w="167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varchar(64)</w:t>
            </w:r>
          </w:p>
        </w:tc>
        <w:tc>
          <w:tcPr>
            <w:tcW w:w="1292" w:type="dxa"/>
          </w:tcPr>
          <w:p>
            <w:pPr>
              <w:spacing w:line="360" w:lineRule="auto"/>
              <w:jc w:val="center"/>
              <w:rPr>
                <w:rFonts w:ascii="Times New Roman" w:hAnsi="Times New Roman" w:eastAsia="宋体" w:cs="Times New Roman"/>
                <w:sz w:val="24"/>
                <w:szCs w:val="20"/>
              </w:rPr>
            </w:pPr>
          </w:p>
        </w:tc>
        <w:tc>
          <w:tcPr>
            <w:tcW w:w="1972" w:type="dxa"/>
          </w:tcPr>
          <w:p>
            <w:pPr>
              <w:spacing w:line="360" w:lineRule="auto"/>
              <w:rPr>
                <w:rFonts w:ascii="Times New Roman" w:hAnsi="Times New Roman" w:eastAsia="宋体" w:cs="Times New Roman"/>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5"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level</w:t>
            </w:r>
          </w:p>
        </w:tc>
        <w:tc>
          <w:tcPr>
            <w:tcW w:w="1870"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层级</w:t>
            </w:r>
          </w:p>
        </w:tc>
        <w:tc>
          <w:tcPr>
            <w:tcW w:w="167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smallinteger</w:t>
            </w:r>
          </w:p>
        </w:tc>
        <w:tc>
          <w:tcPr>
            <w:tcW w:w="1292" w:type="dxa"/>
          </w:tcPr>
          <w:p>
            <w:pPr>
              <w:spacing w:line="360" w:lineRule="auto"/>
              <w:jc w:val="center"/>
              <w:rPr>
                <w:rFonts w:ascii="Times New Roman" w:hAnsi="Times New Roman" w:eastAsia="宋体" w:cs="Times New Roman"/>
                <w:sz w:val="24"/>
                <w:szCs w:val="20"/>
              </w:rPr>
            </w:pPr>
          </w:p>
        </w:tc>
        <w:tc>
          <w:tcPr>
            <w:tcW w:w="1972" w:type="dxa"/>
          </w:tcPr>
          <w:p>
            <w:pPr>
              <w:spacing w:line="360" w:lineRule="auto"/>
              <w:rPr>
                <w:rFonts w:ascii="Times New Roman" w:hAnsi="Times New Roman" w:eastAsia="宋体" w:cs="Times New Roman"/>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5"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parent_id</w:t>
            </w:r>
          </w:p>
        </w:tc>
        <w:tc>
          <w:tcPr>
            <w:tcW w:w="1870"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父节点标识</w:t>
            </w:r>
          </w:p>
        </w:tc>
        <w:tc>
          <w:tcPr>
            <w:tcW w:w="167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siginteger</w:t>
            </w:r>
          </w:p>
        </w:tc>
        <w:tc>
          <w:tcPr>
            <w:tcW w:w="1292" w:type="dxa"/>
          </w:tcPr>
          <w:p>
            <w:pPr>
              <w:spacing w:line="360" w:lineRule="auto"/>
              <w:jc w:val="center"/>
              <w:rPr>
                <w:rFonts w:ascii="Times New Roman" w:hAnsi="Times New Roman" w:eastAsia="宋体" w:cs="Times New Roman"/>
                <w:sz w:val="24"/>
                <w:szCs w:val="20"/>
              </w:rPr>
            </w:pPr>
          </w:p>
        </w:tc>
        <w:tc>
          <w:tcPr>
            <w:tcW w:w="1972" w:type="dxa"/>
          </w:tcPr>
          <w:p>
            <w:pPr>
              <w:spacing w:line="360" w:lineRule="auto"/>
              <w:rPr>
                <w:rFonts w:ascii="Times New Roman" w:hAnsi="Times New Roman" w:eastAsia="宋体" w:cs="Times New Roman"/>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5"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dept_name</w:t>
            </w:r>
          </w:p>
        </w:tc>
        <w:tc>
          <w:tcPr>
            <w:tcW w:w="1870"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组织机构名称</w:t>
            </w:r>
          </w:p>
        </w:tc>
        <w:tc>
          <w:tcPr>
            <w:tcW w:w="167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varchar(64)</w:t>
            </w:r>
          </w:p>
        </w:tc>
        <w:tc>
          <w:tcPr>
            <w:tcW w:w="1292" w:type="dxa"/>
          </w:tcPr>
          <w:p>
            <w:pPr>
              <w:spacing w:line="360" w:lineRule="auto"/>
              <w:jc w:val="center"/>
              <w:rPr>
                <w:rFonts w:ascii="Times New Roman" w:hAnsi="Times New Roman" w:eastAsia="宋体" w:cs="Times New Roman"/>
                <w:sz w:val="24"/>
                <w:szCs w:val="20"/>
              </w:rPr>
            </w:pPr>
          </w:p>
        </w:tc>
        <w:tc>
          <w:tcPr>
            <w:tcW w:w="1972" w:type="dxa"/>
          </w:tcPr>
          <w:p>
            <w:pPr>
              <w:spacing w:line="360" w:lineRule="auto"/>
              <w:rPr>
                <w:rFonts w:ascii="Times New Roman" w:hAnsi="Times New Roman" w:eastAsia="宋体" w:cs="Times New Roman"/>
                <w:sz w:val="24"/>
                <w:szCs w:val="20"/>
              </w:rPr>
            </w:pPr>
          </w:p>
        </w:tc>
      </w:tr>
    </w:tbl>
    <w:p>
      <w:pPr>
        <w:spacing w:after="120" w:line="360" w:lineRule="auto"/>
        <w:rPr>
          <w:rFonts w:ascii="Times New Roman" w:hAnsi="Times New Roman" w:eastAsia="宋体" w:cs="Times New Roman"/>
          <w:sz w:val="24"/>
        </w:rPr>
      </w:pP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10、模板表</w:t>
      </w:r>
    </w:p>
    <w:tbl>
      <w:tblPr>
        <w:tblStyle w:val="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1932"/>
        <w:gridCol w:w="1669"/>
        <w:gridCol w:w="1291"/>
        <w:gridCol w:w="1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8"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字段名</w:t>
            </w:r>
          </w:p>
        </w:tc>
        <w:tc>
          <w:tcPr>
            <w:tcW w:w="1932"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字段说明</w:t>
            </w:r>
          </w:p>
        </w:tc>
        <w:tc>
          <w:tcPr>
            <w:tcW w:w="1669"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类型</w:t>
            </w:r>
          </w:p>
        </w:tc>
        <w:tc>
          <w:tcPr>
            <w:tcW w:w="1291"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是否为空</w:t>
            </w:r>
          </w:p>
        </w:tc>
        <w:tc>
          <w:tcPr>
            <w:tcW w:w="1922"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8"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id</w:t>
            </w:r>
          </w:p>
        </w:tc>
        <w:tc>
          <w:tcPr>
            <w:tcW w:w="193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主键</w:t>
            </w:r>
          </w:p>
        </w:tc>
        <w:tc>
          <w:tcPr>
            <w:tcW w:w="166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biginteger</w:t>
            </w:r>
          </w:p>
        </w:tc>
        <w:tc>
          <w:tcPr>
            <w:tcW w:w="1291"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1922" w:type="dxa"/>
          </w:tcPr>
          <w:p>
            <w:pPr>
              <w:spacing w:line="360" w:lineRule="auto"/>
              <w:rPr>
                <w:rFonts w:ascii="Times New Roman" w:hAnsi="Times New Roman" w:eastAsia="宋体" w:cs="Times New Roman"/>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8"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name</w:t>
            </w:r>
          </w:p>
        </w:tc>
        <w:tc>
          <w:tcPr>
            <w:tcW w:w="193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名称</w:t>
            </w:r>
          </w:p>
        </w:tc>
        <w:tc>
          <w:tcPr>
            <w:tcW w:w="166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varchar(128)</w:t>
            </w:r>
          </w:p>
        </w:tc>
        <w:tc>
          <w:tcPr>
            <w:tcW w:w="1291" w:type="dxa"/>
          </w:tcPr>
          <w:p>
            <w:pPr>
              <w:spacing w:line="360" w:lineRule="auto"/>
              <w:jc w:val="center"/>
              <w:rPr>
                <w:rFonts w:ascii="Times New Roman" w:hAnsi="Times New Roman" w:eastAsia="宋体" w:cs="Times New Roman"/>
                <w:sz w:val="24"/>
                <w:szCs w:val="20"/>
              </w:rPr>
            </w:pPr>
          </w:p>
        </w:tc>
        <w:tc>
          <w:tcPr>
            <w:tcW w:w="1922" w:type="dxa"/>
          </w:tcPr>
          <w:p>
            <w:pPr>
              <w:spacing w:line="360" w:lineRule="auto"/>
              <w:rPr>
                <w:rFonts w:ascii="Times New Roman" w:hAnsi="Times New Roman" w:eastAsia="宋体" w:cs="Times New Roman"/>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8"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dept_id</w:t>
            </w:r>
          </w:p>
        </w:tc>
        <w:tc>
          <w:tcPr>
            <w:tcW w:w="193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组织机构标识</w:t>
            </w:r>
          </w:p>
        </w:tc>
        <w:tc>
          <w:tcPr>
            <w:tcW w:w="166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biginteger</w:t>
            </w:r>
          </w:p>
        </w:tc>
        <w:tc>
          <w:tcPr>
            <w:tcW w:w="1291" w:type="dxa"/>
          </w:tcPr>
          <w:p>
            <w:pPr>
              <w:spacing w:line="360" w:lineRule="auto"/>
              <w:jc w:val="center"/>
              <w:rPr>
                <w:rFonts w:ascii="Times New Roman" w:hAnsi="Times New Roman" w:eastAsia="宋体" w:cs="Times New Roman"/>
                <w:sz w:val="24"/>
                <w:szCs w:val="20"/>
              </w:rPr>
            </w:pPr>
          </w:p>
        </w:tc>
        <w:tc>
          <w:tcPr>
            <w:tcW w:w="1922" w:type="dxa"/>
          </w:tcPr>
          <w:p>
            <w:pPr>
              <w:spacing w:line="360" w:lineRule="auto"/>
              <w:rPr>
                <w:rFonts w:ascii="Times New Roman" w:hAnsi="Times New Roman" w:eastAsia="宋体" w:cs="Times New Roman"/>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8"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grid_key</w:t>
            </w:r>
          </w:p>
        </w:tc>
        <w:tc>
          <w:tcPr>
            <w:tcW w:w="193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交换表记录标识</w:t>
            </w:r>
          </w:p>
        </w:tc>
        <w:tc>
          <w:tcPr>
            <w:tcW w:w="166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varchar(128)</w:t>
            </w:r>
          </w:p>
        </w:tc>
        <w:tc>
          <w:tcPr>
            <w:tcW w:w="1291" w:type="dxa"/>
          </w:tcPr>
          <w:p>
            <w:pPr>
              <w:spacing w:line="360" w:lineRule="auto"/>
              <w:jc w:val="center"/>
              <w:rPr>
                <w:rFonts w:ascii="Times New Roman" w:hAnsi="Times New Roman" w:eastAsia="宋体" w:cs="Times New Roman"/>
                <w:sz w:val="24"/>
                <w:szCs w:val="20"/>
              </w:rPr>
            </w:pPr>
          </w:p>
        </w:tc>
        <w:tc>
          <w:tcPr>
            <w:tcW w:w="1922" w:type="dxa"/>
          </w:tcPr>
          <w:p>
            <w:pPr>
              <w:spacing w:line="360" w:lineRule="auto"/>
              <w:rPr>
                <w:rFonts w:ascii="Times New Roman" w:hAnsi="Times New Roman" w:eastAsia="宋体" w:cs="Times New Roman"/>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8"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del_flag</w:t>
            </w:r>
          </w:p>
        </w:tc>
        <w:tc>
          <w:tcPr>
            <w:tcW w:w="193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删除标记</w:t>
            </w:r>
          </w:p>
        </w:tc>
        <w:tc>
          <w:tcPr>
            <w:tcW w:w="166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varchar(1)</w:t>
            </w:r>
          </w:p>
        </w:tc>
        <w:tc>
          <w:tcPr>
            <w:tcW w:w="1291" w:type="dxa"/>
          </w:tcPr>
          <w:p>
            <w:pPr>
              <w:spacing w:line="360" w:lineRule="auto"/>
              <w:jc w:val="center"/>
              <w:rPr>
                <w:rFonts w:ascii="Times New Roman" w:hAnsi="Times New Roman" w:eastAsia="宋体" w:cs="Times New Roman"/>
                <w:sz w:val="24"/>
                <w:szCs w:val="20"/>
              </w:rPr>
            </w:pPr>
          </w:p>
        </w:tc>
        <w:tc>
          <w:tcPr>
            <w:tcW w:w="192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0：正常 1：已删除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8"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classify</w:t>
            </w:r>
          </w:p>
        </w:tc>
        <w:tc>
          <w:tcPr>
            <w:tcW w:w="193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模板分类</w:t>
            </w:r>
          </w:p>
        </w:tc>
        <w:tc>
          <w:tcPr>
            <w:tcW w:w="166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varchar(32)</w:t>
            </w:r>
          </w:p>
        </w:tc>
        <w:tc>
          <w:tcPr>
            <w:tcW w:w="1291" w:type="dxa"/>
          </w:tcPr>
          <w:p>
            <w:pPr>
              <w:spacing w:line="360" w:lineRule="auto"/>
              <w:jc w:val="center"/>
              <w:rPr>
                <w:rFonts w:ascii="Times New Roman" w:hAnsi="Times New Roman" w:eastAsia="宋体" w:cs="Times New Roman"/>
                <w:sz w:val="24"/>
                <w:szCs w:val="20"/>
              </w:rPr>
            </w:pPr>
          </w:p>
        </w:tc>
        <w:tc>
          <w:tcPr>
            <w:tcW w:w="192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0：月报， 1：季报， 3：年报：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8"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dept_name</w:t>
            </w:r>
          </w:p>
        </w:tc>
        <w:tc>
          <w:tcPr>
            <w:tcW w:w="193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组织机构名称</w:t>
            </w:r>
          </w:p>
        </w:tc>
        <w:tc>
          <w:tcPr>
            <w:tcW w:w="166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varchar(64)</w:t>
            </w:r>
          </w:p>
        </w:tc>
        <w:tc>
          <w:tcPr>
            <w:tcW w:w="1291" w:type="dxa"/>
          </w:tcPr>
          <w:p>
            <w:pPr>
              <w:spacing w:line="360" w:lineRule="auto"/>
              <w:jc w:val="center"/>
              <w:rPr>
                <w:rFonts w:ascii="Times New Roman" w:hAnsi="Times New Roman" w:eastAsia="宋体" w:cs="Times New Roman"/>
                <w:sz w:val="24"/>
                <w:szCs w:val="20"/>
              </w:rPr>
            </w:pPr>
          </w:p>
        </w:tc>
        <w:tc>
          <w:tcPr>
            <w:tcW w:w="1922" w:type="dxa"/>
          </w:tcPr>
          <w:p>
            <w:pPr>
              <w:spacing w:line="360" w:lineRule="auto"/>
              <w:rPr>
                <w:rFonts w:ascii="Times New Roman" w:hAnsi="Times New Roman" w:eastAsia="宋体" w:cs="Times New Roman"/>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8"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visible_dept</w:t>
            </w:r>
          </w:p>
        </w:tc>
        <w:tc>
          <w:tcPr>
            <w:tcW w:w="193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可见部门</w:t>
            </w:r>
          </w:p>
        </w:tc>
        <w:tc>
          <w:tcPr>
            <w:tcW w:w="166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varchar(255)</w:t>
            </w:r>
          </w:p>
        </w:tc>
        <w:tc>
          <w:tcPr>
            <w:tcW w:w="1291" w:type="dxa"/>
          </w:tcPr>
          <w:p>
            <w:pPr>
              <w:spacing w:line="360" w:lineRule="auto"/>
              <w:jc w:val="center"/>
              <w:rPr>
                <w:rFonts w:ascii="Times New Roman" w:hAnsi="Times New Roman" w:eastAsia="宋体" w:cs="Times New Roman"/>
                <w:sz w:val="24"/>
                <w:szCs w:val="20"/>
              </w:rPr>
            </w:pPr>
          </w:p>
        </w:tc>
        <w:tc>
          <w:tcPr>
            <w:tcW w:w="1922" w:type="dxa"/>
          </w:tcPr>
          <w:p>
            <w:pPr>
              <w:spacing w:line="360" w:lineRule="auto"/>
              <w:rPr>
                <w:rFonts w:ascii="Times New Roman" w:hAnsi="Times New Roman" w:eastAsia="宋体" w:cs="Times New Roman"/>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8"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creator</w:t>
            </w:r>
          </w:p>
        </w:tc>
        <w:tc>
          <w:tcPr>
            <w:tcW w:w="193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创建者</w:t>
            </w:r>
          </w:p>
        </w:tc>
        <w:tc>
          <w:tcPr>
            <w:tcW w:w="166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varchar(64)</w:t>
            </w:r>
          </w:p>
        </w:tc>
        <w:tc>
          <w:tcPr>
            <w:tcW w:w="1291" w:type="dxa"/>
          </w:tcPr>
          <w:p>
            <w:pPr>
              <w:spacing w:line="360" w:lineRule="auto"/>
              <w:jc w:val="center"/>
              <w:rPr>
                <w:rFonts w:ascii="Times New Roman" w:hAnsi="Times New Roman" w:eastAsia="宋体" w:cs="Times New Roman"/>
                <w:sz w:val="24"/>
                <w:szCs w:val="20"/>
              </w:rPr>
            </w:pPr>
          </w:p>
        </w:tc>
        <w:tc>
          <w:tcPr>
            <w:tcW w:w="1922" w:type="dxa"/>
          </w:tcPr>
          <w:p>
            <w:pPr>
              <w:spacing w:line="360" w:lineRule="auto"/>
              <w:rPr>
                <w:rFonts w:ascii="Times New Roman" w:hAnsi="Times New Roman" w:eastAsia="宋体" w:cs="Times New Roman"/>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8"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create_time</w:t>
            </w:r>
          </w:p>
        </w:tc>
        <w:tc>
          <w:tcPr>
            <w:tcW w:w="193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创建时间</w:t>
            </w:r>
          </w:p>
        </w:tc>
        <w:tc>
          <w:tcPr>
            <w:tcW w:w="166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date</w:t>
            </w:r>
          </w:p>
        </w:tc>
        <w:tc>
          <w:tcPr>
            <w:tcW w:w="1291" w:type="dxa"/>
          </w:tcPr>
          <w:p>
            <w:pPr>
              <w:spacing w:line="360" w:lineRule="auto"/>
              <w:jc w:val="center"/>
              <w:rPr>
                <w:rFonts w:ascii="Times New Roman" w:hAnsi="Times New Roman" w:eastAsia="宋体" w:cs="Times New Roman"/>
                <w:sz w:val="24"/>
                <w:szCs w:val="20"/>
              </w:rPr>
            </w:pPr>
          </w:p>
        </w:tc>
        <w:tc>
          <w:tcPr>
            <w:tcW w:w="1922" w:type="dxa"/>
          </w:tcPr>
          <w:p>
            <w:pPr>
              <w:spacing w:line="360" w:lineRule="auto"/>
              <w:rPr>
                <w:rFonts w:ascii="Times New Roman" w:hAnsi="Times New Roman" w:eastAsia="宋体" w:cs="Times New Roman"/>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8"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update_time</w:t>
            </w:r>
          </w:p>
        </w:tc>
        <w:tc>
          <w:tcPr>
            <w:tcW w:w="1932"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更新时间</w:t>
            </w:r>
          </w:p>
        </w:tc>
        <w:tc>
          <w:tcPr>
            <w:tcW w:w="166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date</w:t>
            </w:r>
          </w:p>
        </w:tc>
        <w:tc>
          <w:tcPr>
            <w:tcW w:w="1291" w:type="dxa"/>
          </w:tcPr>
          <w:p>
            <w:pPr>
              <w:spacing w:line="360" w:lineRule="auto"/>
              <w:jc w:val="center"/>
              <w:rPr>
                <w:rFonts w:ascii="Times New Roman" w:hAnsi="Times New Roman" w:eastAsia="宋体" w:cs="Times New Roman"/>
                <w:sz w:val="24"/>
                <w:szCs w:val="20"/>
              </w:rPr>
            </w:pPr>
          </w:p>
        </w:tc>
        <w:tc>
          <w:tcPr>
            <w:tcW w:w="1922" w:type="dxa"/>
          </w:tcPr>
          <w:p>
            <w:pPr>
              <w:spacing w:line="360" w:lineRule="auto"/>
              <w:rPr>
                <w:rFonts w:ascii="Times New Roman" w:hAnsi="Times New Roman" w:eastAsia="宋体" w:cs="Times New Roman"/>
                <w:sz w:val="24"/>
                <w:szCs w:val="20"/>
              </w:rPr>
            </w:pPr>
          </w:p>
        </w:tc>
      </w:tr>
    </w:tbl>
    <w:p>
      <w:pPr>
        <w:spacing w:after="120" w:line="360" w:lineRule="auto"/>
        <w:rPr>
          <w:rFonts w:ascii="Times New Roman" w:hAnsi="Times New Roman" w:eastAsia="宋体" w:cs="Times New Roman"/>
          <w:sz w:val="24"/>
        </w:rPr>
      </w:pPr>
    </w:p>
    <w:p>
      <w:pPr>
        <w:keepNext/>
        <w:keepLines/>
        <w:numPr>
          <w:ilvl w:val="3"/>
          <w:numId w:val="1"/>
        </w:numPr>
        <w:tabs>
          <w:tab w:val="left" w:pos="420"/>
        </w:tabs>
        <w:spacing w:before="120" w:after="120" w:line="372" w:lineRule="auto"/>
        <w:ind w:firstLine="1044"/>
        <w:outlineLvl w:val="3"/>
        <w:rPr>
          <w:rFonts w:ascii="Arial" w:hAnsi="Arial" w:eastAsia="黑体" w:cs="Times New Roman"/>
          <w:b/>
          <w:sz w:val="28"/>
        </w:rPr>
      </w:pPr>
      <w:r>
        <w:rPr>
          <w:rFonts w:hint="eastAsia" w:ascii="Arial" w:hAnsi="Arial" w:eastAsia="黑体" w:cs="Times New Roman"/>
          <w:b/>
          <w:sz w:val="28"/>
        </w:rPr>
        <w:t>管理数据库</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本项目将建设督考一体化应用平台，实现统计业务管理工作。管理数据库包括督查数据库、考核评价数据库。</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督查督办数据库：存储以督察督办事项为实体，涉及的业务环节数据。</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考核评价数据库：存储单位和个人考核评价数据。</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bookmarkStart w:id="28" w:name="_Toc100580972"/>
      <w:r>
        <w:rPr>
          <w:rFonts w:hint="eastAsia" w:ascii="Times New Roman" w:hAnsi="Times New Roman" w:eastAsia="宋体" w:cs="Times New Roman"/>
          <w:b/>
          <w:sz w:val="28"/>
        </w:rPr>
        <w:t>督查督办数据库</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1、督查督办－用户表</w:t>
      </w:r>
    </w:p>
    <w:tbl>
      <w:tblPr>
        <w:tblStyle w:val="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6"/>
        <w:gridCol w:w="1693"/>
        <w:gridCol w:w="1779"/>
        <w:gridCol w:w="1575"/>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字段名</w:t>
            </w:r>
          </w:p>
        </w:tc>
        <w:tc>
          <w:tcPr>
            <w:tcW w:w="1693"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字段说明</w:t>
            </w:r>
          </w:p>
        </w:tc>
        <w:tc>
          <w:tcPr>
            <w:tcW w:w="1779"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类型</w:t>
            </w:r>
          </w:p>
        </w:tc>
        <w:tc>
          <w:tcPr>
            <w:tcW w:w="1575"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是否为空</w:t>
            </w:r>
          </w:p>
        </w:tc>
        <w:tc>
          <w:tcPr>
            <w:tcW w:w="859"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jc w:val="left"/>
              <w:rPr>
                <w:rFonts w:ascii="Times New Roman" w:hAnsi="Times New Roman" w:eastAsia="宋体" w:cs="Times New Roman"/>
                <w:sz w:val="24"/>
                <w:szCs w:val="20"/>
              </w:rPr>
            </w:pPr>
            <w:r>
              <w:rPr>
                <w:rFonts w:ascii="Times New Roman" w:hAnsi="Times New Roman" w:eastAsia="宋体" w:cs="Times New Roman"/>
                <w:sz w:val="24"/>
                <w:szCs w:val="20"/>
              </w:rPr>
              <w:t>id</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主键</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w:t>
            </w:r>
            <w:r>
              <w:rPr>
                <w:rFonts w:ascii="Times New Roman" w:hAnsi="Times New Roman" w:eastAsia="宋体" w:cs="Times New Roman"/>
                <w:sz w:val="24"/>
                <w:szCs w:val="20"/>
              </w:rPr>
              <w:t>(255)</w:t>
            </w:r>
          </w:p>
        </w:tc>
        <w:tc>
          <w:tcPr>
            <w:tcW w:w="1575"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jc w:val="left"/>
              <w:rPr>
                <w:rFonts w:ascii="Times New Roman" w:hAnsi="Times New Roman" w:eastAsia="宋体" w:cs="Times New Roman"/>
                <w:sz w:val="24"/>
                <w:szCs w:val="20"/>
              </w:rPr>
            </w:pPr>
            <w:r>
              <w:rPr>
                <w:rFonts w:ascii="Times New Roman" w:hAnsi="Times New Roman" w:eastAsia="宋体" w:cs="Times New Roman"/>
                <w:sz w:val="24"/>
                <w:szCs w:val="20"/>
              </w:rPr>
              <w:t>active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是否有效</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boolean</w:t>
            </w:r>
          </w:p>
        </w:tc>
        <w:tc>
          <w:tcPr>
            <w:tcW w:w="1575" w:type="dxa"/>
          </w:tcPr>
          <w:p>
            <w:pPr>
              <w:spacing w:line="360" w:lineRule="auto"/>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jc w:val="left"/>
              <w:rPr>
                <w:rFonts w:ascii="Times New Roman" w:hAnsi="Times New Roman" w:eastAsia="宋体" w:cs="Times New Roman"/>
                <w:sz w:val="24"/>
                <w:szCs w:val="20"/>
              </w:rPr>
            </w:pPr>
            <w:r>
              <w:rPr>
                <w:rFonts w:ascii="Times New Roman" w:hAnsi="Times New Roman" w:eastAsia="宋体" w:cs="Times New Roman"/>
                <w:sz w:val="24"/>
                <w:szCs w:val="20"/>
              </w:rPr>
              <w:t>admin</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是否管理员</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boolean</w:t>
            </w:r>
          </w:p>
        </w:tc>
        <w:tc>
          <w:tcPr>
            <w:tcW w:w="1575" w:type="dxa"/>
          </w:tcPr>
          <w:p>
            <w:pPr>
              <w:spacing w:line="360" w:lineRule="auto"/>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jc w:val="left"/>
              <w:rPr>
                <w:rFonts w:ascii="Times New Roman" w:hAnsi="Times New Roman" w:eastAsia="宋体" w:cs="Times New Roman"/>
                <w:sz w:val="24"/>
                <w:szCs w:val="20"/>
              </w:rPr>
            </w:pPr>
            <w:r>
              <w:rPr>
                <w:rFonts w:ascii="Times New Roman" w:hAnsi="Times New Roman" w:eastAsia="宋体" w:cs="Times New Roman"/>
                <w:sz w:val="24"/>
                <w:szCs w:val="20"/>
              </w:rPr>
              <w:t>avatar</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头像</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w:t>
            </w:r>
            <w:r>
              <w:rPr>
                <w:rFonts w:ascii="Times New Roman" w:hAnsi="Times New Roman" w:eastAsia="宋体" w:cs="Times New Roman"/>
                <w:sz w:val="24"/>
                <w:szCs w:val="20"/>
              </w:rPr>
              <w:t>(255)</w:t>
            </w:r>
          </w:p>
        </w:tc>
        <w:tc>
          <w:tcPr>
            <w:tcW w:w="1575" w:type="dxa"/>
          </w:tcPr>
          <w:p>
            <w:pPr>
              <w:spacing w:line="360" w:lineRule="auto"/>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jc w:val="left"/>
              <w:rPr>
                <w:rFonts w:ascii="Times New Roman" w:hAnsi="Times New Roman" w:eastAsia="宋体" w:cs="Times New Roman"/>
                <w:sz w:val="24"/>
                <w:szCs w:val="20"/>
              </w:rPr>
            </w:pPr>
            <w:r>
              <w:rPr>
                <w:rFonts w:ascii="Times New Roman" w:hAnsi="Times New Roman" w:eastAsia="宋体" w:cs="Times New Roman"/>
                <w:sz w:val="24"/>
                <w:szCs w:val="20"/>
              </w:rPr>
              <w:t>boss</w:t>
            </w:r>
          </w:p>
        </w:tc>
        <w:tc>
          <w:tcPr>
            <w:tcW w:w="1693" w:type="dxa"/>
          </w:tcPr>
          <w:p>
            <w:pPr>
              <w:spacing w:line="360" w:lineRule="auto"/>
              <w:rPr>
                <w:rFonts w:ascii="Times New Roman" w:hAnsi="Times New Roman" w:eastAsia="宋体" w:cs="Times New Roman"/>
                <w:sz w:val="24"/>
                <w:szCs w:val="20"/>
              </w:rPr>
            </w:pP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boolean</w:t>
            </w:r>
          </w:p>
        </w:tc>
        <w:tc>
          <w:tcPr>
            <w:tcW w:w="1575" w:type="dxa"/>
          </w:tcPr>
          <w:p>
            <w:pPr>
              <w:spacing w:line="360" w:lineRule="auto"/>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jc w:val="left"/>
              <w:rPr>
                <w:rFonts w:ascii="Times New Roman" w:hAnsi="Times New Roman" w:eastAsia="宋体" w:cs="Times New Roman"/>
                <w:sz w:val="24"/>
                <w:szCs w:val="20"/>
              </w:rPr>
            </w:pPr>
            <w:r>
              <w:rPr>
                <w:rFonts w:ascii="Times New Roman" w:hAnsi="Times New Roman" w:eastAsia="宋体" w:cs="Times New Roman"/>
                <w:sz w:val="24"/>
                <w:szCs w:val="20"/>
              </w:rPr>
              <w:t>created_time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创建时间</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timestamp</w:t>
            </w:r>
          </w:p>
        </w:tc>
        <w:tc>
          <w:tcPr>
            <w:tcW w:w="1575" w:type="dxa"/>
          </w:tcPr>
          <w:p>
            <w:pPr>
              <w:spacing w:line="360" w:lineRule="auto"/>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jc w:val="left"/>
              <w:rPr>
                <w:rFonts w:ascii="Times New Roman" w:hAnsi="Times New Roman" w:eastAsia="宋体" w:cs="Times New Roman"/>
                <w:sz w:val="24"/>
                <w:szCs w:val="20"/>
              </w:rPr>
            </w:pPr>
            <w:r>
              <w:rPr>
                <w:rFonts w:ascii="Times New Roman" w:hAnsi="Times New Roman" w:eastAsia="宋体" w:cs="Times New Roman"/>
                <w:sz w:val="24"/>
                <w:szCs w:val="20"/>
              </w:rPr>
              <w:t>deleted</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是否已删除</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boolean</w:t>
            </w:r>
          </w:p>
        </w:tc>
        <w:tc>
          <w:tcPr>
            <w:tcW w:w="1575" w:type="dxa"/>
          </w:tcPr>
          <w:p>
            <w:pPr>
              <w:spacing w:line="360" w:lineRule="auto"/>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jc w:val="left"/>
              <w:rPr>
                <w:rFonts w:ascii="Times New Roman" w:hAnsi="Times New Roman" w:eastAsia="宋体" w:cs="Times New Roman"/>
                <w:sz w:val="24"/>
                <w:szCs w:val="20"/>
              </w:rPr>
            </w:pPr>
            <w:r>
              <w:rPr>
                <w:rFonts w:ascii="Times New Roman" w:hAnsi="Times New Roman" w:eastAsia="宋体" w:cs="Times New Roman"/>
                <w:sz w:val="24"/>
                <w:szCs w:val="20"/>
              </w:rPr>
              <w:t>dept_order</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部门序号</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bigint</w:t>
            </w:r>
          </w:p>
        </w:tc>
        <w:tc>
          <w:tcPr>
            <w:tcW w:w="1575" w:type="dxa"/>
          </w:tcPr>
          <w:p>
            <w:pPr>
              <w:spacing w:line="360" w:lineRule="auto"/>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jc w:val="left"/>
              <w:rPr>
                <w:rFonts w:ascii="Times New Roman" w:hAnsi="Times New Roman" w:eastAsia="宋体" w:cs="Times New Roman"/>
                <w:sz w:val="24"/>
                <w:szCs w:val="20"/>
              </w:rPr>
            </w:pPr>
            <w:r>
              <w:rPr>
                <w:rFonts w:ascii="Times New Roman" w:hAnsi="Times New Roman" w:eastAsia="宋体" w:cs="Times New Roman"/>
                <w:sz w:val="24"/>
                <w:szCs w:val="20"/>
              </w:rPr>
              <w:t>email</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电子邮件地址</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w:t>
            </w:r>
            <w:r>
              <w:rPr>
                <w:rFonts w:ascii="Times New Roman" w:hAnsi="Times New Roman" w:eastAsia="宋体" w:cs="Times New Roman"/>
                <w:sz w:val="24"/>
                <w:szCs w:val="20"/>
              </w:rPr>
              <w:t>(255)</w:t>
            </w:r>
          </w:p>
        </w:tc>
        <w:tc>
          <w:tcPr>
            <w:tcW w:w="1575" w:type="dxa"/>
          </w:tcPr>
          <w:p>
            <w:pPr>
              <w:spacing w:line="360" w:lineRule="auto"/>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jc w:val="left"/>
              <w:rPr>
                <w:rFonts w:ascii="Times New Roman" w:hAnsi="Times New Roman" w:eastAsia="宋体" w:cs="Times New Roman"/>
                <w:sz w:val="24"/>
                <w:szCs w:val="20"/>
              </w:rPr>
            </w:pPr>
            <w:r>
              <w:rPr>
                <w:rFonts w:ascii="Times New Roman" w:hAnsi="Times New Roman" w:eastAsia="宋体" w:cs="Times New Roman"/>
                <w:sz w:val="24"/>
                <w:szCs w:val="20"/>
              </w:rPr>
              <w:t>exclusive_account</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是否专有账号</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boolean</w:t>
            </w:r>
          </w:p>
        </w:tc>
        <w:tc>
          <w:tcPr>
            <w:tcW w:w="1575" w:type="dxa"/>
          </w:tcPr>
          <w:p>
            <w:pPr>
              <w:spacing w:line="360" w:lineRule="auto"/>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jc w:val="left"/>
              <w:rPr>
                <w:rFonts w:ascii="Times New Roman" w:hAnsi="Times New Roman" w:eastAsia="宋体" w:cs="Times New Roman"/>
                <w:sz w:val="24"/>
                <w:szCs w:val="20"/>
              </w:rPr>
            </w:pPr>
            <w:r>
              <w:rPr>
                <w:rFonts w:ascii="Times New Roman" w:hAnsi="Times New Roman" w:eastAsia="宋体" w:cs="Times New Roman"/>
                <w:sz w:val="24"/>
                <w:szCs w:val="20"/>
              </w:rPr>
              <w:t>exclusive_account_type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专有账号类型</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w:t>
            </w:r>
            <w:r>
              <w:rPr>
                <w:rFonts w:ascii="Times New Roman" w:hAnsi="Times New Roman" w:eastAsia="宋体" w:cs="Times New Roman"/>
                <w:sz w:val="24"/>
                <w:szCs w:val="20"/>
              </w:rPr>
              <w:t>(255)</w:t>
            </w:r>
          </w:p>
        </w:tc>
        <w:tc>
          <w:tcPr>
            <w:tcW w:w="1575" w:type="dxa"/>
          </w:tcPr>
          <w:p>
            <w:pPr>
              <w:spacing w:line="360" w:lineRule="auto"/>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jc w:val="left"/>
              <w:rPr>
                <w:rFonts w:ascii="Times New Roman" w:hAnsi="Times New Roman" w:eastAsia="宋体" w:cs="Times New Roman"/>
                <w:sz w:val="24"/>
                <w:szCs w:val="20"/>
              </w:rPr>
            </w:pPr>
            <w:r>
              <w:rPr>
                <w:rFonts w:ascii="Times New Roman" w:hAnsi="Times New Roman" w:eastAsia="宋体" w:cs="Times New Roman"/>
                <w:sz w:val="24"/>
                <w:szCs w:val="20"/>
              </w:rPr>
              <w:t>extension</w:t>
            </w:r>
          </w:p>
        </w:tc>
        <w:tc>
          <w:tcPr>
            <w:tcW w:w="1693" w:type="dxa"/>
          </w:tcPr>
          <w:p>
            <w:pPr>
              <w:spacing w:line="360" w:lineRule="auto"/>
              <w:rPr>
                <w:rFonts w:ascii="Times New Roman" w:hAnsi="Times New Roman" w:eastAsia="宋体" w:cs="Times New Roman"/>
                <w:sz w:val="24"/>
                <w:szCs w:val="20"/>
              </w:rPr>
            </w:pP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w:t>
            </w:r>
            <w:r>
              <w:rPr>
                <w:rFonts w:ascii="Times New Roman" w:hAnsi="Times New Roman" w:eastAsia="宋体" w:cs="Times New Roman"/>
                <w:sz w:val="24"/>
                <w:szCs w:val="20"/>
              </w:rPr>
              <w:t>(255)</w:t>
            </w:r>
          </w:p>
        </w:tc>
        <w:tc>
          <w:tcPr>
            <w:tcW w:w="1575" w:type="dxa"/>
          </w:tcPr>
          <w:p>
            <w:pPr>
              <w:spacing w:line="360" w:lineRule="auto"/>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jc w:val="left"/>
              <w:rPr>
                <w:rFonts w:ascii="Times New Roman" w:hAnsi="Times New Roman" w:eastAsia="宋体" w:cs="Times New Roman"/>
                <w:sz w:val="24"/>
                <w:szCs w:val="20"/>
              </w:rPr>
            </w:pPr>
            <w:r>
              <w:rPr>
                <w:rFonts w:ascii="Times New Roman" w:hAnsi="Times New Roman" w:eastAsia="宋体" w:cs="Times New Roman"/>
                <w:sz w:val="24"/>
                <w:szCs w:val="20"/>
              </w:rPr>
              <w:t>hide_mobile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隐藏手机号</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boolean</w:t>
            </w:r>
          </w:p>
        </w:tc>
        <w:tc>
          <w:tcPr>
            <w:tcW w:w="1575" w:type="dxa"/>
          </w:tcPr>
          <w:p>
            <w:pPr>
              <w:spacing w:line="360" w:lineRule="auto"/>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jc w:val="left"/>
              <w:rPr>
                <w:rFonts w:ascii="Times New Roman" w:hAnsi="Times New Roman" w:eastAsia="宋体" w:cs="Times New Roman"/>
                <w:sz w:val="24"/>
                <w:szCs w:val="20"/>
              </w:rPr>
            </w:pPr>
            <w:r>
              <w:rPr>
                <w:rFonts w:ascii="Times New Roman" w:hAnsi="Times New Roman" w:eastAsia="宋体" w:cs="Times New Roman"/>
                <w:sz w:val="24"/>
                <w:szCs w:val="20"/>
              </w:rPr>
              <w:t>hired_date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雇佣日期</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bigint</w:t>
            </w:r>
          </w:p>
        </w:tc>
        <w:tc>
          <w:tcPr>
            <w:tcW w:w="1575" w:type="dxa"/>
          </w:tcPr>
          <w:p>
            <w:pPr>
              <w:spacing w:line="360" w:lineRule="auto"/>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jc w:val="left"/>
              <w:rPr>
                <w:rFonts w:ascii="Times New Roman" w:hAnsi="Times New Roman" w:eastAsia="宋体" w:cs="Times New Roman"/>
                <w:sz w:val="24"/>
                <w:szCs w:val="20"/>
              </w:rPr>
            </w:pPr>
            <w:r>
              <w:rPr>
                <w:rFonts w:ascii="Times New Roman" w:hAnsi="Times New Roman" w:eastAsia="宋体" w:cs="Times New Roman"/>
                <w:sz w:val="24"/>
                <w:szCs w:val="20"/>
              </w:rPr>
              <w:t>job_number</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工号</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w:t>
            </w:r>
            <w:r>
              <w:rPr>
                <w:rFonts w:ascii="Times New Roman" w:hAnsi="Times New Roman" w:eastAsia="宋体" w:cs="Times New Roman"/>
                <w:sz w:val="24"/>
                <w:szCs w:val="20"/>
              </w:rPr>
              <w:t>(255)</w:t>
            </w:r>
          </w:p>
        </w:tc>
        <w:tc>
          <w:tcPr>
            <w:tcW w:w="1575" w:type="dxa"/>
          </w:tcPr>
          <w:p>
            <w:pPr>
              <w:spacing w:line="360" w:lineRule="auto"/>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jc w:val="left"/>
              <w:rPr>
                <w:rFonts w:ascii="Times New Roman" w:hAnsi="Times New Roman" w:eastAsia="宋体" w:cs="Times New Roman"/>
                <w:sz w:val="24"/>
                <w:szCs w:val="20"/>
              </w:rPr>
            </w:pPr>
            <w:r>
              <w:rPr>
                <w:rFonts w:ascii="Times New Roman" w:hAnsi="Times New Roman" w:eastAsia="宋体" w:cs="Times New Roman"/>
                <w:sz w:val="24"/>
                <w:szCs w:val="20"/>
              </w:rPr>
              <w:t>last_modified_time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最后修改时间</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timestamp</w:t>
            </w:r>
          </w:p>
        </w:tc>
        <w:tc>
          <w:tcPr>
            <w:tcW w:w="1575" w:type="dxa"/>
          </w:tcPr>
          <w:p>
            <w:pPr>
              <w:spacing w:line="360" w:lineRule="auto"/>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jc w:val="left"/>
              <w:rPr>
                <w:rFonts w:ascii="Times New Roman" w:hAnsi="Times New Roman" w:eastAsia="宋体" w:cs="Times New Roman"/>
                <w:sz w:val="24"/>
                <w:szCs w:val="20"/>
              </w:rPr>
            </w:pPr>
            <w:r>
              <w:rPr>
                <w:rFonts w:ascii="Times New Roman" w:hAnsi="Times New Roman" w:eastAsia="宋体" w:cs="Times New Roman"/>
                <w:sz w:val="24"/>
                <w:szCs w:val="20"/>
              </w:rPr>
              <w:t>leader</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是否领导</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boolean</w:t>
            </w:r>
          </w:p>
        </w:tc>
        <w:tc>
          <w:tcPr>
            <w:tcW w:w="1575" w:type="dxa"/>
          </w:tcPr>
          <w:p>
            <w:pPr>
              <w:spacing w:line="360" w:lineRule="auto"/>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jc w:val="left"/>
              <w:rPr>
                <w:rFonts w:ascii="Times New Roman" w:hAnsi="Times New Roman" w:eastAsia="宋体" w:cs="Times New Roman"/>
                <w:sz w:val="24"/>
                <w:szCs w:val="20"/>
              </w:rPr>
            </w:pPr>
            <w:r>
              <w:rPr>
                <w:rFonts w:ascii="Times New Roman" w:hAnsi="Times New Roman" w:eastAsia="宋体" w:cs="Times New Roman"/>
                <w:sz w:val="24"/>
                <w:szCs w:val="20"/>
              </w:rPr>
              <w:t>login_id</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用户名</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w:t>
            </w:r>
            <w:r>
              <w:rPr>
                <w:rFonts w:ascii="Times New Roman" w:hAnsi="Times New Roman" w:eastAsia="宋体" w:cs="Times New Roman"/>
                <w:sz w:val="24"/>
                <w:szCs w:val="20"/>
              </w:rPr>
              <w:t>(255)</w:t>
            </w:r>
          </w:p>
        </w:tc>
        <w:tc>
          <w:tcPr>
            <w:tcW w:w="1575" w:type="dxa"/>
          </w:tcPr>
          <w:p>
            <w:pPr>
              <w:spacing w:line="360" w:lineRule="auto"/>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jc w:val="left"/>
              <w:rPr>
                <w:rFonts w:ascii="Times New Roman" w:hAnsi="Times New Roman" w:eastAsia="宋体" w:cs="Times New Roman"/>
                <w:sz w:val="24"/>
                <w:szCs w:val="20"/>
              </w:rPr>
            </w:pPr>
            <w:r>
              <w:rPr>
                <w:rFonts w:ascii="Times New Roman" w:hAnsi="Times New Roman" w:eastAsia="宋体" w:cs="Times New Roman"/>
                <w:sz w:val="24"/>
                <w:szCs w:val="20"/>
              </w:rPr>
              <w:t>mobile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手机号</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w:t>
            </w:r>
            <w:r>
              <w:rPr>
                <w:rFonts w:ascii="Times New Roman" w:hAnsi="Times New Roman" w:eastAsia="宋体" w:cs="Times New Roman"/>
                <w:sz w:val="24"/>
                <w:szCs w:val="20"/>
              </w:rPr>
              <w:t>(255)</w:t>
            </w:r>
          </w:p>
        </w:tc>
        <w:tc>
          <w:tcPr>
            <w:tcW w:w="1575" w:type="dxa"/>
          </w:tcPr>
          <w:p>
            <w:pPr>
              <w:spacing w:line="360" w:lineRule="auto"/>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jc w:val="left"/>
              <w:rPr>
                <w:rFonts w:ascii="Times New Roman" w:hAnsi="Times New Roman" w:eastAsia="宋体" w:cs="Times New Roman"/>
                <w:sz w:val="24"/>
                <w:szCs w:val="20"/>
              </w:rPr>
            </w:pPr>
            <w:r>
              <w:rPr>
                <w:rFonts w:ascii="Times New Roman" w:hAnsi="Times New Roman" w:eastAsia="宋体" w:cs="Times New Roman"/>
                <w:sz w:val="24"/>
                <w:szCs w:val="20"/>
              </w:rPr>
              <w:t>name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姓名</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w:t>
            </w:r>
            <w:r>
              <w:rPr>
                <w:rFonts w:ascii="Times New Roman" w:hAnsi="Times New Roman" w:eastAsia="宋体" w:cs="Times New Roman"/>
                <w:sz w:val="24"/>
                <w:szCs w:val="20"/>
              </w:rPr>
              <w:t>(255)</w:t>
            </w:r>
          </w:p>
        </w:tc>
        <w:tc>
          <w:tcPr>
            <w:tcW w:w="1575"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jc w:val="left"/>
              <w:rPr>
                <w:rFonts w:ascii="Times New Roman" w:hAnsi="Times New Roman" w:eastAsia="宋体" w:cs="Times New Roman"/>
                <w:sz w:val="24"/>
                <w:szCs w:val="20"/>
              </w:rPr>
            </w:pPr>
            <w:r>
              <w:rPr>
                <w:rFonts w:ascii="Times New Roman" w:hAnsi="Times New Roman" w:eastAsia="宋体" w:cs="Times New Roman"/>
                <w:sz w:val="24"/>
                <w:szCs w:val="20"/>
              </w:rPr>
              <w:t>nickname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别名</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w:t>
            </w:r>
            <w:r>
              <w:rPr>
                <w:rFonts w:ascii="Times New Roman" w:hAnsi="Times New Roman" w:eastAsia="宋体" w:cs="Times New Roman"/>
                <w:sz w:val="24"/>
                <w:szCs w:val="20"/>
              </w:rPr>
              <w:t>(255)</w:t>
            </w:r>
          </w:p>
        </w:tc>
        <w:tc>
          <w:tcPr>
            <w:tcW w:w="1575" w:type="dxa"/>
          </w:tcPr>
          <w:p>
            <w:pPr>
              <w:spacing w:line="360" w:lineRule="auto"/>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jc w:val="left"/>
              <w:rPr>
                <w:rFonts w:ascii="Times New Roman" w:hAnsi="Times New Roman" w:eastAsia="宋体" w:cs="Times New Roman"/>
                <w:sz w:val="24"/>
                <w:szCs w:val="20"/>
              </w:rPr>
            </w:pPr>
            <w:r>
              <w:rPr>
                <w:rFonts w:ascii="Times New Roman" w:hAnsi="Times New Roman" w:eastAsia="宋体" w:cs="Times New Roman"/>
                <w:sz w:val="24"/>
                <w:szCs w:val="20"/>
              </w:rPr>
              <w:t>org_email</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组织邮箱</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w:t>
            </w:r>
            <w:r>
              <w:rPr>
                <w:rFonts w:ascii="Times New Roman" w:hAnsi="Times New Roman" w:eastAsia="宋体" w:cs="Times New Roman"/>
                <w:sz w:val="24"/>
                <w:szCs w:val="20"/>
              </w:rPr>
              <w:t>(255)</w:t>
            </w:r>
          </w:p>
        </w:tc>
        <w:tc>
          <w:tcPr>
            <w:tcW w:w="1575" w:type="dxa"/>
          </w:tcPr>
          <w:p>
            <w:pPr>
              <w:spacing w:line="360" w:lineRule="auto"/>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jc w:val="left"/>
              <w:rPr>
                <w:rFonts w:ascii="Times New Roman" w:hAnsi="Times New Roman" w:eastAsia="宋体" w:cs="Times New Roman"/>
                <w:sz w:val="24"/>
                <w:szCs w:val="20"/>
              </w:rPr>
            </w:pPr>
            <w:r>
              <w:rPr>
                <w:rFonts w:ascii="Times New Roman" w:hAnsi="Times New Roman" w:eastAsia="宋体" w:cs="Times New Roman"/>
                <w:sz w:val="24"/>
                <w:szCs w:val="20"/>
              </w:rPr>
              <w:t>remark</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备注</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w:t>
            </w:r>
            <w:r>
              <w:rPr>
                <w:rFonts w:ascii="Times New Roman" w:hAnsi="Times New Roman" w:eastAsia="宋体" w:cs="Times New Roman"/>
                <w:sz w:val="24"/>
                <w:szCs w:val="20"/>
              </w:rPr>
              <w:t>(255)</w:t>
            </w:r>
          </w:p>
        </w:tc>
        <w:tc>
          <w:tcPr>
            <w:tcW w:w="1575" w:type="dxa"/>
          </w:tcPr>
          <w:p>
            <w:pPr>
              <w:spacing w:line="360" w:lineRule="auto"/>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jc w:val="left"/>
              <w:rPr>
                <w:rFonts w:ascii="Times New Roman" w:hAnsi="Times New Roman" w:eastAsia="宋体" w:cs="Times New Roman"/>
                <w:sz w:val="24"/>
                <w:szCs w:val="20"/>
              </w:rPr>
            </w:pPr>
            <w:r>
              <w:rPr>
                <w:rFonts w:ascii="Times New Roman" w:hAnsi="Times New Roman" w:eastAsia="宋体" w:cs="Times New Roman"/>
                <w:sz w:val="24"/>
                <w:szCs w:val="20"/>
              </w:rPr>
              <w:t>state_code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国家代码</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w:t>
            </w:r>
            <w:r>
              <w:rPr>
                <w:rFonts w:ascii="Times New Roman" w:hAnsi="Times New Roman" w:eastAsia="宋体" w:cs="Times New Roman"/>
                <w:sz w:val="24"/>
                <w:szCs w:val="20"/>
              </w:rPr>
              <w:t>(255)</w:t>
            </w:r>
          </w:p>
        </w:tc>
        <w:tc>
          <w:tcPr>
            <w:tcW w:w="1575" w:type="dxa"/>
          </w:tcPr>
          <w:p>
            <w:pPr>
              <w:spacing w:line="360" w:lineRule="auto"/>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jc w:val="left"/>
              <w:rPr>
                <w:rFonts w:ascii="Times New Roman" w:hAnsi="Times New Roman" w:eastAsia="宋体" w:cs="Times New Roman"/>
                <w:sz w:val="24"/>
                <w:szCs w:val="20"/>
              </w:rPr>
            </w:pPr>
            <w:r>
              <w:rPr>
                <w:rFonts w:ascii="Times New Roman" w:hAnsi="Times New Roman" w:eastAsia="宋体" w:cs="Times New Roman"/>
                <w:sz w:val="24"/>
                <w:szCs w:val="20"/>
              </w:rPr>
              <w:t>telephone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联系电话</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w:t>
            </w:r>
            <w:r>
              <w:rPr>
                <w:rFonts w:ascii="Times New Roman" w:hAnsi="Times New Roman" w:eastAsia="宋体" w:cs="Times New Roman"/>
                <w:sz w:val="24"/>
                <w:szCs w:val="20"/>
              </w:rPr>
              <w:t>(255)</w:t>
            </w:r>
          </w:p>
        </w:tc>
        <w:tc>
          <w:tcPr>
            <w:tcW w:w="1575" w:type="dxa"/>
          </w:tcPr>
          <w:p>
            <w:pPr>
              <w:spacing w:line="360" w:lineRule="auto"/>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jc w:val="left"/>
              <w:rPr>
                <w:rFonts w:ascii="Times New Roman" w:hAnsi="Times New Roman" w:eastAsia="宋体" w:cs="Times New Roman"/>
                <w:sz w:val="24"/>
                <w:szCs w:val="20"/>
              </w:rPr>
            </w:pPr>
            <w:r>
              <w:rPr>
                <w:rFonts w:ascii="Times New Roman" w:hAnsi="Times New Roman" w:eastAsia="宋体" w:cs="Times New Roman"/>
                <w:sz w:val="24"/>
                <w:szCs w:val="20"/>
              </w:rPr>
              <w:t>title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标题</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w:t>
            </w:r>
            <w:r>
              <w:rPr>
                <w:rFonts w:ascii="Times New Roman" w:hAnsi="Times New Roman" w:eastAsia="宋体" w:cs="Times New Roman"/>
                <w:sz w:val="24"/>
                <w:szCs w:val="20"/>
              </w:rPr>
              <w:t>(255)</w:t>
            </w:r>
          </w:p>
        </w:tc>
        <w:tc>
          <w:tcPr>
            <w:tcW w:w="1575" w:type="dxa"/>
          </w:tcPr>
          <w:p>
            <w:pPr>
              <w:spacing w:line="360" w:lineRule="auto"/>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jc w:val="left"/>
              <w:rPr>
                <w:rFonts w:ascii="Times New Roman" w:hAnsi="Times New Roman" w:eastAsia="宋体" w:cs="Times New Roman"/>
                <w:sz w:val="24"/>
                <w:szCs w:val="20"/>
              </w:rPr>
            </w:pPr>
            <w:r>
              <w:rPr>
                <w:rFonts w:ascii="Times New Roman" w:hAnsi="Times New Roman" w:eastAsia="宋体" w:cs="Times New Roman"/>
                <w:sz w:val="24"/>
                <w:szCs w:val="20"/>
              </w:rPr>
              <w:t>unionid</w:t>
            </w:r>
          </w:p>
        </w:tc>
        <w:tc>
          <w:tcPr>
            <w:tcW w:w="1693" w:type="dxa"/>
          </w:tcPr>
          <w:p>
            <w:pPr>
              <w:spacing w:line="360" w:lineRule="auto"/>
              <w:rPr>
                <w:rFonts w:ascii="Times New Roman" w:hAnsi="Times New Roman" w:eastAsia="宋体" w:cs="Times New Roman"/>
                <w:sz w:val="24"/>
                <w:szCs w:val="20"/>
              </w:rPr>
            </w:pP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w:t>
            </w:r>
            <w:r>
              <w:rPr>
                <w:rFonts w:ascii="Times New Roman" w:hAnsi="Times New Roman" w:eastAsia="宋体" w:cs="Times New Roman"/>
                <w:sz w:val="24"/>
                <w:szCs w:val="20"/>
              </w:rPr>
              <w:t>(255)</w:t>
            </w:r>
          </w:p>
        </w:tc>
        <w:tc>
          <w:tcPr>
            <w:tcW w:w="1575" w:type="dxa"/>
          </w:tcPr>
          <w:p>
            <w:pPr>
              <w:spacing w:line="360" w:lineRule="auto"/>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jc w:val="left"/>
              <w:rPr>
                <w:rFonts w:ascii="Times New Roman" w:hAnsi="Times New Roman" w:eastAsia="宋体" w:cs="Times New Roman"/>
                <w:sz w:val="24"/>
                <w:szCs w:val="20"/>
              </w:rPr>
            </w:pPr>
            <w:r>
              <w:rPr>
                <w:rFonts w:ascii="Times New Roman" w:hAnsi="Times New Roman" w:eastAsia="宋体" w:cs="Times New Roman"/>
                <w:sz w:val="24"/>
                <w:szCs w:val="20"/>
              </w:rPr>
              <w:t>work_place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工作地点</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w:t>
            </w:r>
            <w:r>
              <w:rPr>
                <w:rFonts w:ascii="Times New Roman" w:hAnsi="Times New Roman" w:eastAsia="宋体" w:cs="Times New Roman"/>
                <w:sz w:val="24"/>
                <w:szCs w:val="20"/>
              </w:rPr>
              <w:t>(255)</w:t>
            </w:r>
          </w:p>
        </w:tc>
        <w:tc>
          <w:tcPr>
            <w:tcW w:w="1575" w:type="dxa"/>
          </w:tcPr>
          <w:p>
            <w:pPr>
              <w:spacing w:line="360" w:lineRule="auto"/>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jc w:val="left"/>
              <w:rPr>
                <w:rFonts w:ascii="Times New Roman" w:hAnsi="Times New Roman" w:eastAsia="宋体" w:cs="Times New Roman"/>
                <w:sz w:val="24"/>
                <w:szCs w:val="20"/>
              </w:rPr>
            </w:pPr>
            <w:r>
              <w:rPr>
                <w:rFonts w:ascii="Times New Roman" w:hAnsi="Times New Roman" w:eastAsia="宋体" w:cs="Times New Roman"/>
                <w:sz w:val="24"/>
                <w:szCs w:val="20"/>
              </w:rPr>
              <w:t>in_appraise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参与考核</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boolean</w:t>
            </w:r>
          </w:p>
        </w:tc>
        <w:tc>
          <w:tcPr>
            <w:tcW w:w="1575" w:type="dxa"/>
          </w:tcPr>
          <w:p>
            <w:pPr>
              <w:spacing w:line="360" w:lineRule="auto"/>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bl>
    <w:p>
      <w:pPr>
        <w:spacing w:after="120" w:line="360" w:lineRule="auto"/>
        <w:rPr>
          <w:rFonts w:ascii="Times New Roman" w:hAnsi="Times New Roman" w:eastAsia="宋体" w:cs="Times New Roman"/>
          <w:sz w:val="24"/>
        </w:rPr>
      </w:pPr>
    </w:p>
    <w:p>
      <w:pPr>
        <w:spacing w:after="12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2、督查督办权限表</w:t>
      </w:r>
    </w:p>
    <w:tbl>
      <w:tblPr>
        <w:tblStyle w:val="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6"/>
        <w:gridCol w:w="1693"/>
        <w:gridCol w:w="1779"/>
        <w:gridCol w:w="1575"/>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字段名</w:t>
            </w:r>
          </w:p>
        </w:tc>
        <w:tc>
          <w:tcPr>
            <w:tcW w:w="1693"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字段说明</w:t>
            </w:r>
          </w:p>
        </w:tc>
        <w:tc>
          <w:tcPr>
            <w:tcW w:w="1779"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类型</w:t>
            </w:r>
          </w:p>
        </w:tc>
        <w:tc>
          <w:tcPr>
            <w:tcW w:w="1575"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是否为空</w:t>
            </w:r>
          </w:p>
        </w:tc>
        <w:tc>
          <w:tcPr>
            <w:tcW w:w="859"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id</w:t>
            </w:r>
          </w:p>
        </w:tc>
        <w:tc>
          <w:tcPr>
            <w:tcW w:w="1693" w:type="dxa"/>
          </w:tcPr>
          <w:p>
            <w:pPr>
              <w:spacing w:line="360" w:lineRule="auto"/>
              <w:rPr>
                <w:rFonts w:ascii="宋体" w:hAnsi="宋体" w:eastAsia="宋体" w:cs="宋体"/>
                <w:sz w:val="24"/>
              </w:rPr>
            </w:pPr>
            <w:r>
              <w:rPr>
                <w:rFonts w:hint="eastAsia" w:ascii="宋体" w:hAnsi="宋体" w:eastAsia="宋体" w:cs="宋体"/>
                <w:sz w:val="24"/>
              </w:rPr>
              <w:t>主键</w:t>
            </w:r>
          </w:p>
        </w:tc>
        <w:tc>
          <w:tcPr>
            <w:tcW w:w="1779" w:type="dxa"/>
          </w:tcPr>
          <w:p>
            <w:pPr>
              <w:spacing w:line="360" w:lineRule="auto"/>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uuid</w:t>
            </w:r>
          </w:p>
        </w:tc>
        <w:tc>
          <w:tcPr>
            <w:tcW w:w="1575" w:type="dxa"/>
          </w:tcPr>
          <w:p>
            <w:pPr>
              <w:spacing w:line="360" w:lineRule="auto"/>
              <w:jc w:val="center"/>
              <w:rPr>
                <w:rFonts w:ascii="宋体" w:hAnsi="宋体" w:eastAsia="宋体" w:cs="宋体"/>
                <w:sz w:val="24"/>
              </w:rPr>
            </w:pPr>
            <w:r>
              <w:rPr>
                <w:rFonts w:hint="eastAsia" w:ascii="Times New Roman" w:hAnsi="Times New Roman" w:eastAsia="宋体" w:cs="Times New Roman"/>
                <w:sz w:val="24"/>
                <w:szCs w:val="20"/>
              </w:rPr>
              <w:t>否</w:t>
            </w: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comment</w:t>
            </w:r>
          </w:p>
        </w:tc>
        <w:tc>
          <w:tcPr>
            <w:tcW w:w="1693" w:type="dxa"/>
          </w:tcPr>
          <w:p>
            <w:pPr>
              <w:spacing w:line="360" w:lineRule="auto"/>
              <w:rPr>
                <w:rFonts w:ascii="宋体" w:hAnsi="宋体" w:eastAsia="宋体" w:cs="宋体"/>
                <w:sz w:val="24"/>
              </w:rPr>
            </w:pPr>
            <w:r>
              <w:rPr>
                <w:rFonts w:hint="eastAsia" w:ascii="宋体" w:hAnsi="宋体" w:eastAsia="宋体" w:cs="宋体"/>
                <w:sz w:val="24"/>
              </w:rPr>
              <w:t>备注</w:t>
            </w:r>
          </w:p>
        </w:tc>
        <w:tc>
          <w:tcPr>
            <w:tcW w:w="1779" w:type="dxa"/>
          </w:tcPr>
          <w:p>
            <w:pPr>
              <w:spacing w:line="360" w:lineRule="auto"/>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varchar(255)</w:t>
            </w:r>
          </w:p>
        </w:tc>
        <w:tc>
          <w:tcPr>
            <w:tcW w:w="1575" w:type="dxa"/>
          </w:tcPr>
          <w:p>
            <w:pPr>
              <w:spacing w:line="360" w:lineRule="auto"/>
              <w:jc w:val="center"/>
              <w:rPr>
                <w:rFonts w:ascii="宋体" w:hAnsi="宋体" w:eastAsia="宋体" w:cs="宋体"/>
                <w:sz w:val="24"/>
              </w:rPr>
            </w:pPr>
            <w:r>
              <w:rPr>
                <w:rFonts w:hint="eastAsia" w:ascii="Times New Roman" w:hAnsi="Times New Roman" w:eastAsia="宋体" w:cs="Times New Roman"/>
                <w:sz w:val="24"/>
                <w:szCs w:val="20"/>
              </w:rPr>
              <w:t>否</w:t>
            </w: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created_time</w:t>
            </w:r>
          </w:p>
        </w:tc>
        <w:tc>
          <w:tcPr>
            <w:tcW w:w="1693" w:type="dxa"/>
          </w:tcPr>
          <w:p>
            <w:pPr>
              <w:spacing w:line="360" w:lineRule="auto"/>
              <w:rPr>
                <w:rFonts w:ascii="宋体" w:hAnsi="宋体" w:eastAsia="宋体" w:cs="宋体"/>
                <w:sz w:val="24"/>
              </w:rPr>
            </w:pPr>
            <w:r>
              <w:rPr>
                <w:rFonts w:hint="eastAsia" w:ascii="宋体" w:hAnsi="宋体" w:eastAsia="宋体" w:cs="宋体"/>
                <w:sz w:val="24"/>
              </w:rPr>
              <w:t>创建时间</w:t>
            </w:r>
          </w:p>
        </w:tc>
        <w:tc>
          <w:tcPr>
            <w:tcW w:w="1779" w:type="dxa"/>
          </w:tcPr>
          <w:p>
            <w:pPr>
              <w:spacing w:line="360" w:lineRule="auto"/>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timestamp</w:t>
            </w:r>
          </w:p>
        </w:tc>
        <w:tc>
          <w:tcPr>
            <w:tcW w:w="1575" w:type="dxa"/>
          </w:tcPr>
          <w:p>
            <w:pPr>
              <w:spacing w:line="360" w:lineRule="auto"/>
              <w:jc w:val="center"/>
              <w:rPr>
                <w:rFonts w:ascii="宋体" w:hAnsi="宋体" w:eastAsia="宋体" w:cs="宋体"/>
                <w:sz w:val="24"/>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last_modified_time</w:t>
            </w:r>
          </w:p>
        </w:tc>
        <w:tc>
          <w:tcPr>
            <w:tcW w:w="1693" w:type="dxa"/>
          </w:tcPr>
          <w:p>
            <w:pPr>
              <w:spacing w:line="360" w:lineRule="auto"/>
              <w:rPr>
                <w:rFonts w:ascii="宋体" w:hAnsi="宋体" w:eastAsia="宋体" w:cs="宋体"/>
                <w:sz w:val="24"/>
              </w:rPr>
            </w:pPr>
            <w:r>
              <w:rPr>
                <w:rFonts w:hint="eastAsia" w:ascii="宋体" w:hAnsi="宋体" w:eastAsia="宋体" w:cs="宋体"/>
                <w:sz w:val="24"/>
              </w:rPr>
              <w:t>最后修改时间</w:t>
            </w:r>
          </w:p>
        </w:tc>
        <w:tc>
          <w:tcPr>
            <w:tcW w:w="1779" w:type="dxa"/>
          </w:tcPr>
          <w:p>
            <w:pPr>
              <w:spacing w:line="360" w:lineRule="auto"/>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timestamp</w:t>
            </w:r>
          </w:p>
        </w:tc>
        <w:tc>
          <w:tcPr>
            <w:tcW w:w="1575" w:type="dxa"/>
          </w:tcPr>
          <w:p>
            <w:pPr>
              <w:spacing w:line="360" w:lineRule="auto"/>
              <w:jc w:val="center"/>
              <w:rPr>
                <w:rFonts w:ascii="宋体" w:hAnsi="宋体" w:eastAsia="宋体" w:cs="宋体"/>
                <w:sz w:val="24"/>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name</w:t>
            </w:r>
          </w:p>
        </w:tc>
        <w:tc>
          <w:tcPr>
            <w:tcW w:w="1693" w:type="dxa"/>
          </w:tcPr>
          <w:p>
            <w:pPr>
              <w:spacing w:line="360" w:lineRule="auto"/>
              <w:rPr>
                <w:rFonts w:ascii="宋体" w:hAnsi="宋体" w:eastAsia="宋体" w:cs="宋体"/>
                <w:sz w:val="24"/>
              </w:rPr>
            </w:pPr>
            <w:r>
              <w:rPr>
                <w:rFonts w:hint="eastAsia" w:ascii="宋体" w:hAnsi="宋体" w:eastAsia="宋体" w:cs="宋体"/>
                <w:sz w:val="24"/>
              </w:rPr>
              <w:t>权限名称</w:t>
            </w:r>
          </w:p>
        </w:tc>
        <w:tc>
          <w:tcPr>
            <w:tcW w:w="1779" w:type="dxa"/>
          </w:tcPr>
          <w:p>
            <w:pPr>
              <w:spacing w:line="360" w:lineRule="auto"/>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varchar(255)</w:t>
            </w:r>
          </w:p>
        </w:tc>
        <w:tc>
          <w:tcPr>
            <w:tcW w:w="1575" w:type="dxa"/>
          </w:tcPr>
          <w:p>
            <w:pPr>
              <w:spacing w:line="360" w:lineRule="auto"/>
              <w:jc w:val="center"/>
              <w:rPr>
                <w:rFonts w:ascii="宋体" w:hAnsi="宋体" w:eastAsia="宋体" w:cs="宋体"/>
                <w:sz w:val="24"/>
              </w:rPr>
            </w:pPr>
            <w:r>
              <w:rPr>
                <w:rFonts w:hint="eastAsia" w:ascii="Times New Roman" w:hAnsi="Times New Roman" w:eastAsia="宋体" w:cs="Times New Roman"/>
                <w:sz w:val="24"/>
                <w:szCs w:val="20"/>
              </w:rPr>
              <w:t>否</w:t>
            </w: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privilege</w:t>
            </w:r>
          </w:p>
        </w:tc>
        <w:tc>
          <w:tcPr>
            <w:tcW w:w="1693" w:type="dxa"/>
          </w:tcPr>
          <w:p>
            <w:pPr>
              <w:spacing w:line="360" w:lineRule="auto"/>
              <w:rPr>
                <w:rFonts w:ascii="宋体" w:hAnsi="宋体" w:eastAsia="宋体" w:cs="宋体"/>
                <w:sz w:val="24"/>
              </w:rPr>
            </w:pPr>
            <w:r>
              <w:rPr>
                <w:rFonts w:hint="eastAsia" w:ascii="宋体" w:hAnsi="宋体" w:eastAsia="宋体" w:cs="宋体"/>
                <w:sz w:val="24"/>
              </w:rPr>
              <w:t>权限</w:t>
            </w:r>
          </w:p>
        </w:tc>
        <w:tc>
          <w:tcPr>
            <w:tcW w:w="1779" w:type="dxa"/>
          </w:tcPr>
          <w:p>
            <w:pPr>
              <w:spacing w:line="360" w:lineRule="auto"/>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varchar(255)</w:t>
            </w:r>
          </w:p>
        </w:tc>
        <w:tc>
          <w:tcPr>
            <w:tcW w:w="1575" w:type="dxa"/>
          </w:tcPr>
          <w:p>
            <w:pPr>
              <w:spacing w:line="360" w:lineRule="auto"/>
              <w:jc w:val="center"/>
              <w:rPr>
                <w:rFonts w:ascii="宋体" w:hAnsi="宋体" w:eastAsia="宋体" w:cs="宋体"/>
                <w:sz w:val="24"/>
              </w:rPr>
            </w:pPr>
            <w:r>
              <w:rPr>
                <w:rFonts w:hint="eastAsia" w:ascii="Times New Roman" w:hAnsi="Times New Roman" w:eastAsia="宋体" w:cs="Times New Roman"/>
                <w:sz w:val="24"/>
                <w:szCs w:val="20"/>
              </w:rPr>
              <w:t>否</w:t>
            </w: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type</w:t>
            </w:r>
          </w:p>
        </w:tc>
        <w:tc>
          <w:tcPr>
            <w:tcW w:w="1693" w:type="dxa"/>
          </w:tcPr>
          <w:p>
            <w:pPr>
              <w:spacing w:line="360" w:lineRule="auto"/>
              <w:rPr>
                <w:rFonts w:ascii="宋体" w:hAnsi="宋体" w:eastAsia="宋体" w:cs="宋体"/>
                <w:sz w:val="24"/>
              </w:rPr>
            </w:pPr>
            <w:r>
              <w:rPr>
                <w:rFonts w:hint="eastAsia" w:ascii="宋体" w:hAnsi="宋体" w:eastAsia="宋体" w:cs="宋体"/>
                <w:sz w:val="24"/>
              </w:rPr>
              <w:t>类型</w:t>
            </w:r>
          </w:p>
        </w:tc>
        <w:tc>
          <w:tcPr>
            <w:tcW w:w="1779" w:type="dxa"/>
          </w:tcPr>
          <w:p>
            <w:pPr>
              <w:spacing w:line="360" w:lineRule="auto"/>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integer</w:t>
            </w:r>
          </w:p>
        </w:tc>
        <w:tc>
          <w:tcPr>
            <w:tcW w:w="1575" w:type="dxa"/>
          </w:tcPr>
          <w:p>
            <w:pPr>
              <w:spacing w:line="360" w:lineRule="auto"/>
              <w:jc w:val="center"/>
              <w:rPr>
                <w:rFonts w:ascii="宋体" w:hAnsi="宋体" w:eastAsia="宋体" w:cs="宋体"/>
                <w:sz w:val="24"/>
              </w:rPr>
            </w:pPr>
            <w:r>
              <w:rPr>
                <w:rFonts w:hint="eastAsia" w:ascii="Times New Roman" w:hAnsi="Times New Roman" w:eastAsia="宋体" w:cs="Times New Roman"/>
                <w:sz w:val="24"/>
                <w:szCs w:val="20"/>
              </w:rPr>
              <w:t>否</w:t>
            </w:r>
          </w:p>
        </w:tc>
        <w:tc>
          <w:tcPr>
            <w:tcW w:w="859" w:type="dxa"/>
          </w:tcPr>
          <w:p>
            <w:pPr>
              <w:spacing w:line="360" w:lineRule="auto"/>
              <w:rPr>
                <w:rFonts w:ascii="Times New Roman" w:hAnsi="Times New Roman" w:eastAsia="宋体" w:cs="Times New Roman"/>
                <w:sz w:val="24"/>
              </w:rPr>
            </w:pPr>
          </w:p>
        </w:tc>
      </w:tr>
    </w:tbl>
    <w:p>
      <w:pPr>
        <w:spacing w:after="120" w:line="360" w:lineRule="auto"/>
        <w:rPr>
          <w:rFonts w:ascii="Times New Roman" w:hAnsi="Times New Roman" w:eastAsia="宋体" w:cs="Times New Roman"/>
          <w:sz w:val="24"/>
        </w:rPr>
      </w:pPr>
    </w:p>
    <w:p>
      <w:pPr>
        <w:spacing w:after="12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3、督查督办－角色表</w:t>
      </w:r>
    </w:p>
    <w:tbl>
      <w:tblPr>
        <w:tblStyle w:val="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6"/>
        <w:gridCol w:w="1693"/>
        <w:gridCol w:w="1779"/>
        <w:gridCol w:w="1575"/>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字段名</w:t>
            </w:r>
          </w:p>
        </w:tc>
        <w:tc>
          <w:tcPr>
            <w:tcW w:w="1693"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字段说明</w:t>
            </w:r>
          </w:p>
        </w:tc>
        <w:tc>
          <w:tcPr>
            <w:tcW w:w="1779"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类型</w:t>
            </w:r>
          </w:p>
        </w:tc>
        <w:tc>
          <w:tcPr>
            <w:tcW w:w="1575"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是否为空</w:t>
            </w:r>
          </w:p>
        </w:tc>
        <w:tc>
          <w:tcPr>
            <w:tcW w:w="859"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jc w:val="left"/>
              <w:rPr>
                <w:rFonts w:ascii="Times New Roman" w:hAnsi="Times New Roman" w:eastAsia="宋体" w:cs="Times New Roman"/>
                <w:sz w:val="24"/>
                <w:szCs w:val="20"/>
              </w:rPr>
            </w:pPr>
            <w:r>
              <w:rPr>
                <w:rFonts w:ascii="Times New Roman" w:hAnsi="Times New Roman" w:eastAsia="宋体" w:cs="Times New Roman"/>
                <w:sz w:val="24"/>
                <w:szCs w:val="20"/>
              </w:rPr>
              <w:t>id</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主键</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u</w:t>
            </w:r>
            <w:r>
              <w:rPr>
                <w:rFonts w:ascii="Times New Roman" w:hAnsi="Times New Roman" w:eastAsia="宋体" w:cs="Times New Roman"/>
                <w:sz w:val="24"/>
                <w:szCs w:val="20"/>
              </w:rPr>
              <w:t>uid</w:t>
            </w:r>
          </w:p>
        </w:tc>
        <w:tc>
          <w:tcPr>
            <w:tcW w:w="1575"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jc w:val="left"/>
              <w:rPr>
                <w:rFonts w:ascii="Times New Roman" w:hAnsi="Times New Roman" w:eastAsia="宋体" w:cs="Times New Roman"/>
                <w:sz w:val="24"/>
                <w:szCs w:val="20"/>
              </w:rPr>
            </w:pPr>
            <w:r>
              <w:rPr>
                <w:rFonts w:ascii="Times New Roman" w:hAnsi="Times New Roman" w:eastAsia="宋体" w:cs="Times New Roman"/>
                <w:sz w:val="24"/>
                <w:szCs w:val="20"/>
              </w:rPr>
              <w:t>comment</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备注</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w:t>
            </w:r>
            <w:r>
              <w:rPr>
                <w:rFonts w:ascii="Times New Roman" w:hAnsi="Times New Roman" w:eastAsia="宋体" w:cs="Times New Roman"/>
                <w:sz w:val="24"/>
                <w:szCs w:val="20"/>
              </w:rPr>
              <w:t>(255)</w:t>
            </w:r>
          </w:p>
        </w:tc>
        <w:tc>
          <w:tcPr>
            <w:tcW w:w="1575"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jc w:val="left"/>
              <w:rPr>
                <w:rFonts w:ascii="Times New Roman" w:hAnsi="Times New Roman" w:eastAsia="宋体" w:cs="Times New Roman"/>
                <w:sz w:val="24"/>
                <w:szCs w:val="20"/>
              </w:rPr>
            </w:pPr>
            <w:r>
              <w:rPr>
                <w:rFonts w:ascii="Times New Roman" w:hAnsi="Times New Roman" w:eastAsia="宋体" w:cs="Times New Roman"/>
                <w:sz w:val="24"/>
                <w:szCs w:val="20"/>
              </w:rPr>
              <w:t>created_time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创建时间</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timestamp</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jc w:val="left"/>
              <w:rPr>
                <w:rFonts w:ascii="Times New Roman" w:hAnsi="Times New Roman" w:eastAsia="宋体" w:cs="Times New Roman"/>
                <w:sz w:val="24"/>
                <w:szCs w:val="20"/>
              </w:rPr>
            </w:pPr>
            <w:r>
              <w:rPr>
                <w:rFonts w:ascii="Times New Roman" w:hAnsi="Times New Roman" w:eastAsia="宋体" w:cs="Times New Roman"/>
                <w:sz w:val="24"/>
                <w:szCs w:val="20"/>
              </w:rPr>
              <w:t>last_modified_time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最后修改时间</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timestamp</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jc w:val="left"/>
              <w:rPr>
                <w:rFonts w:ascii="Times New Roman" w:hAnsi="Times New Roman" w:eastAsia="宋体" w:cs="Times New Roman"/>
                <w:sz w:val="24"/>
                <w:szCs w:val="20"/>
              </w:rPr>
            </w:pPr>
            <w:r>
              <w:rPr>
                <w:rFonts w:ascii="Times New Roman" w:hAnsi="Times New Roman" w:eastAsia="宋体" w:cs="Times New Roman"/>
                <w:sz w:val="24"/>
                <w:szCs w:val="20"/>
              </w:rPr>
              <w:t>name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权限名称</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w:t>
            </w:r>
            <w:r>
              <w:rPr>
                <w:rFonts w:ascii="Times New Roman" w:hAnsi="Times New Roman" w:eastAsia="宋体" w:cs="Times New Roman"/>
                <w:sz w:val="24"/>
                <w:szCs w:val="20"/>
              </w:rPr>
              <w:t>(255)</w:t>
            </w:r>
          </w:p>
        </w:tc>
        <w:tc>
          <w:tcPr>
            <w:tcW w:w="1575"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jc w:val="left"/>
              <w:rPr>
                <w:rFonts w:ascii="Times New Roman" w:hAnsi="Times New Roman" w:eastAsia="宋体" w:cs="Times New Roman"/>
                <w:sz w:val="24"/>
                <w:szCs w:val="20"/>
              </w:rPr>
            </w:pPr>
            <w:r>
              <w:rPr>
                <w:rFonts w:ascii="Times New Roman" w:hAnsi="Times New Roman" w:eastAsia="宋体" w:cs="Times New Roman"/>
                <w:sz w:val="24"/>
                <w:szCs w:val="20"/>
              </w:rPr>
              <w:t>r</w:t>
            </w:r>
            <w:r>
              <w:rPr>
                <w:rFonts w:hint="eastAsia" w:ascii="Times New Roman" w:hAnsi="Times New Roman" w:eastAsia="宋体" w:cs="Times New Roman"/>
                <w:sz w:val="24"/>
                <w:szCs w:val="20"/>
              </w:rPr>
              <w:t>ole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角色</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w:t>
            </w:r>
            <w:r>
              <w:rPr>
                <w:rFonts w:ascii="Times New Roman" w:hAnsi="Times New Roman" w:eastAsia="宋体" w:cs="Times New Roman"/>
                <w:sz w:val="24"/>
                <w:szCs w:val="20"/>
              </w:rPr>
              <w:t>(255)</w:t>
            </w:r>
          </w:p>
        </w:tc>
        <w:tc>
          <w:tcPr>
            <w:tcW w:w="1575"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jc w:val="left"/>
              <w:rPr>
                <w:rFonts w:ascii="Times New Roman" w:hAnsi="Times New Roman" w:eastAsia="宋体" w:cs="Times New Roman"/>
                <w:sz w:val="24"/>
                <w:szCs w:val="20"/>
              </w:rPr>
            </w:pPr>
            <w:r>
              <w:rPr>
                <w:rFonts w:ascii="Times New Roman" w:hAnsi="Times New Roman" w:eastAsia="宋体" w:cs="Times New Roman"/>
                <w:sz w:val="24"/>
                <w:szCs w:val="20"/>
              </w:rPr>
              <w:t>type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类型</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integer</w:t>
            </w:r>
          </w:p>
        </w:tc>
        <w:tc>
          <w:tcPr>
            <w:tcW w:w="1575"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859" w:type="dxa"/>
          </w:tcPr>
          <w:p>
            <w:pPr>
              <w:spacing w:line="360" w:lineRule="auto"/>
              <w:rPr>
                <w:rFonts w:ascii="Times New Roman" w:hAnsi="Times New Roman" w:eastAsia="宋体" w:cs="Times New Roman"/>
                <w:sz w:val="24"/>
              </w:rPr>
            </w:pPr>
          </w:p>
        </w:tc>
      </w:tr>
    </w:tbl>
    <w:p>
      <w:pPr>
        <w:spacing w:after="120" w:line="360" w:lineRule="auto"/>
        <w:rPr>
          <w:rFonts w:ascii="Times New Roman" w:hAnsi="Times New Roman" w:eastAsia="宋体" w:cs="Times New Roman"/>
          <w:sz w:val="24"/>
        </w:rPr>
      </w:pPr>
    </w:p>
    <w:p>
      <w:pPr>
        <w:spacing w:after="12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4、督查督办－督察表</w:t>
      </w:r>
    </w:p>
    <w:tbl>
      <w:tblPr>
        <w:tblStyle w:val="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6"/>
        <w:gridCol w:w="1693"/>
        <w:gridCol w:w="1779"/>
        <w:gridCol w:w="1575"/>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字段名</w:t>
            </w:r>
          </w:p>
        </w:tc>
        <w:tc>
          <w:tcPr>
            <w:tcW w:w="1693"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字段说明</w:t>
            </w:r>
          </w:p>
        </w:tc>
        <w:tc>
          <w:tcPr>
            <w:tcW w:w="1779"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类型</w:t>
            </w:r>
          </w:p>
        </w:tc>
        <w:tc>
          <w:tcPr>
            <w:tcW w:w="1575"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是否为空</w:t>
            </w:r>
          </w:p>
        </w:tc>
        <w:tc>
          <w:tcPr>
            <w:tcW w:w="859"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id</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主键</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uuid</w:t>
            </w:r>
          </w:p>
        </w:tc>
        <w:tc>
          <w:tcPr>
            <w:tcW w:w="1575"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attachment</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附件</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j</w:t>
            </w:r>
            <w:r>
              <w:rPr>
                <w:rFonts w:hint="eastAsia" w:ascii="Times New Roman" w:hAnsi="Times New Roman" w:eastAsia="宋体" w:cs="Times New Roman"/>
                <w:sz w:val="24"/>
                <w:szCs w:val="20"/>
              </w:rPr>
              <w:t>son</w:t>
            </w:r>
            <w:r>
              <w:rPr>
                <w:rFonts w:ascii="Times New Roman" w:hAnsi="Times New Roman" w:eastAsia="宋体" w:cs="Times New Roman"/>
                <w:sz w:val="24"/>
                <w:szCs w:val="20"/>
              </w:rPr>
              <w:t>b</w:t>
            </w:r>
          </w:p>
        </w:tc>
        <w:tc>
          <w:tcPr>
            <w:tcW w:w="1575" w:type="dxa"/>
          </w:tcPr>
          <w:p>
            <w:pPr>
              <w:spacing w:line="360" w:lineRule="auto"/>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auto_issue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自动下发</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boolean</w:t>
            </w:r>
          </w:p>
        </w:tc>
        <w:tc>
          <w:tcPr>
            <w:tcW w:w="1575" w:type="dxa"/>
          </w:tcPr>
          <w:p>
            <w:pPr>
              <w:spacing w:line="360" w:lineRule="auto"/>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created_time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创建时间</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timestamp</w:t>
            </w:r>
          </w:p>
        </w:tc>
        <w:tc>
          <w:tcPr>
            <w:tcW w:w="1575" w:type="dxa"/>
          </w:tcPr>
          <w:p>
            <w:pPr>
              <w:spacing w:line="360" w:lineRule="auto"/>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delayed</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超期</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boolean</w:t>
            </w:r>
          </w:p>
        </w:tc>
        <w:tc>
          <w:tcPr>
            <w:tcW w:w="1575"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deleted</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删除</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boolean</w:t>
            </w:r>
          </w:p>
        </w:tc>
        <w:tc>
          <w:tcPr>
            <w:tcW w:w="1575"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instructions</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领导批示</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w:t>
            </w:r>
          </w:p>
        </w:tc>
        <w:tc>
          <w:tcPr>
            <w:tcW w:w="1575" w:type="dxa"/>
          </w:tcPr>
          <w:p>
            <w:pPr>
              <w:spacing w:line="360" w:lineRule="auto"/>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last_modified_time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最后修改时间</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timestamp</w:t>
            </w:r>
          </w:p>
        </w:tc>
        <w:tc>
          <w:tcPr>
            <w:tcW w:w="1575" w:type="dxa"/>
          </w:tcPr>
          <w:p>
            <w:pPr>
              <w:spacing w:line="360" w:lineRule="auto"/>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name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督察名称</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w:t>
            </w:r>
            <w:r>
              <w:rPr>
                <w:rFonts w:ascii="Times New Roman" w:hAnsi="Times New Roman" w:eastAsia="宋体" w:cs="Times New Roman"/>
                <w:sz w:val="24"/>
                <w:szCs w:val="20"/>
              </w:rPr>
              <w:t>(255)</w:t>
            </w:r>
          </w:p>
        </w:tc>
        <w:tc>
          <w:tcPr>
            <w:tcW w:w="1575"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no</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督察编号</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w:t>
            </w:r>
            <w:r>
              <w:rPr>
                <w:rFonts w:ascii="Times New Roman" w:hAnsi="Times New Roman" w:eastAsia="宋体" w:cs="Times New Roman"/>
                <w:sz w:val="24"/>
                <w:szCs w:val="20"/>
              </w:rPr>
              <w:t>(255)</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origin</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督察来源</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w:t>
            </w:r>
            <w:r>
              <w:rPr>
                <w:rFonts w:ascii="Times New Roman" w:hAnsi="Times New Roman" w:eastAsia="宋体" w:cs="Times New Roman"/>
                <w:sz w:val="24"/>
                <w:szCs w:val="20"/>
              </w:rPr>
              <w:t>(255)</w:t>
            </w:r>
          </w:p>
        </w:tc>
        <w:tc>
          <w:tcPr>
            <w:tcW w:w="1575"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status</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状态</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integer</w:t>
            </w:r>
          </w:p>
        </w:tc>
        <w:tc>
          <w:tcPr>
            <w:tcW w:w="1575" w:type="dxa"/>
          </w:tcPr>
          <w:p>
            <w:pPr>
              <w:spacing w:line="360" w:lineRule="auto"/>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supervise_period</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督办周期</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integer</w:t>
            </w:r>
          </w:p>
        </w:tc>
        <w:tc>
          <w:tcPr>
            <w:tcW w:w="1575" w:type="dxa"/>
          </w:tcPr>
          <w:p>
            <w:pPr>
              <w:spacing w:line="360" w:lineRule="auto"/>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type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督察类型</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w:t>
            </w:r>
            <w:r>
              <w:rPr>
                <w:rFonts w:ascii="Times New Roman" w:hAnsi="Times New Roman" w:eastAsia="宋体" w:cs="Times New Roman"/>
                <w:sz w:val="24"/>
                <w:szCs w:val="20"/>
              </w:rPr>
              <w:t>(255)</w:t>
            </w:r>
          </w:p>
        </w:tc>
        <w:tc>
          <w:tcPr>
            <w:tcW w:w="1575"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urged</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催办</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boolean</w:t>
            </w:r>
          </w:p>
        </w:tc>
        <w:tc>
          <w:tcPr>
            <w:tcW w:w="1575"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approver_id</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审批人i</w:t>
            </w:r>
            <w:r>
              <w:rPr>
                <w:rFonts w:ascii="Times New Roman" w:hAnsi="Times New Roman" w:eastAsia="宋体" w:cs="Times New Roman"/>
                <w:sz w:val="24"/>
                <w:szCs w:val="20"/>
              </w:rPr>
              <w:t>d</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w:t>
            </w:r>
            <w:r>
              <w:rPr>
                <w:rFonts w:ascii="Times New Roman" w:hAnsi="Times New Roman" w:eastAsia="宋体" w:cs="Times New Roman"/>
                <w:sz w:val="24"/>
                <w:szCs w:val="20"/>
              </w:rPr>
              <w:t>(255)</w:t>
            </w:r>
          </w:p>
        </w:tc>
        <w:tc>
          <w:tcPr>
            <w:tcW w:w="1575" w:type="dxa"/>
          </w:tcPr>
          <w:p>
            <w:pPr>
              <w:spacing w:line="360" w:lineRule="auto"/>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postponed</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延期</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boolean</w:t>
            </w:r>
          </w:p>
        </w:tc>
        <w:tc>
          <w:tcPr>
            <w:tcW w:w="1575"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completed_time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完成时间</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timestamp</w:t>
            </w:r>
          </w:p>
        </w:tc>
        <w:tc>
          <w:tcPr>
            <w:tcW w:w="1575" w:type="dxa"/>
          </w:tcPr>
          <w:p>
            <w:pPr>
              <w:spacing w:line="360" w:lineRule="auto"/>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bl>
    <w:p>
      <w:pPr>
        <w:spacing w:after="120" w:line="360" w:lineRule="auto"/>
        <w:rPr>
          <w:rFonts w:ascii="Times New Roman" w:hAnsi="Times New Roman" w:eastAsia="宋体" w:cs="Times New Roman"/>
          <w:sz w:val="24"/>
        </w:rPr>
      </w:pPr>
    </w:p>
    <w:p>
      <w:pPr>
        <w:spacing w:after="12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5、督查督办－督察事项表</w:t>
      </w:r>
    </w:p>
    <w:tbl>
      <w:tblPr>
        <w:tblStyle w:val="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6"/>
        <w:gridCol w:w="1693"/>
        <w:gridCol w:w="1779"/>
        <w:gridCol w:w="1575"/>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字段名</w:t>
            </w:r>
          </w:p>
        </w:tc>
        <w:tc>
          <w:tcPr>
            <w:tcW w:w="1693"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字段说明</w:t>
            </w:r>
          </w:p>
        </w:tc>
        <w:tc>
          <w:tcPr>
            <w:tcW w:w="1779"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类型</w:t>
            </w:r>
          </w:p>
        </w:tc>
        <w:tc>
          <w:tcPr>
            <w:tcW w:w="1575"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是否为空</w:t>
            </w:r>
          </w:p>
        </w:tc>
        <w:tc>
          <w:tcPr>
            <w:tcW w:w="859"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id</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主键</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u</w:t>
            </w:r>
            <w:r>
              <w:rPr>
                <w:rFonts w:ascii="Times New Roman" w:hAnsi="Times New Roman" w:eastAsia="宋体" w:cs="Times New Roman"/>
                <w:sz w:val="24"/>
                <w:szCs w:val="20"/>
              </w:rPr>
              <w:t>uid</w:t>
            </w:r>
          </w:p>
        </w:tc>
        <w:tc>
          <w:tcPr>
            <w:tcW w:w="1575"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confirm_time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确认时间</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timestamp</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content</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事项内容</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w:t>
            </w:r>
          </w:p>
        </w:tc>
        <w:tc>
          <w:tcPr>
            <w:tcW w:w="1575"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created_time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创建时间</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timestamp</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delayed</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超期</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boolean</w:t>
            </w:r>
          </w:p>
        </w:tc>
        <w:tc>
          <w:tcPr>
            <w:tcW w:w="1575"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deleted</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删除</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boolean</w:t>
            </w:r>
          </w:p>
        </w:tc>
        <w:tc>
          <w:tcPr>
            <w:tcW w:w="1575"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end_time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完成时限</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timestamp</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feedback_period</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反馈周期</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integer</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instructions</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领导意见</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last_modified_time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最后修改时间</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timestamp</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start_time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发起时间</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timestamp</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status</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状态</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integer</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urged</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催办</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boolean</w:t>
            </w:r>
          </w:p>
        </w:tc>
        <w:tc>
          <w:tcPr>
            <w:tcW w:w="1575"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department_id</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部门id</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b</w:t>
            </w:r>
            <w:r>
              <w:rPr>
                <w:rFonts w:ascii="Times New Roman" w:hAnsi="Times New Roman" w:eastAsia="宋体" w:cs="Times New Roman"/>
                <w:sz w:val="24"/>
                <w:szCs w:val="20"/>
              </w:rPr>
              <w:t>igint</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director_user_id</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处室负责人id</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w:t>
            </w:r>
            <w:r>
              <w:rPr>
                <w:rFonts w:ascii="Times New Roman" w:hAnsi="Times New Roman" w:eastAsia="宋体" w:cs="Times New Roman"/>
                <w:sz w:val="24"/>
                <w:szCs w:val="20"/>
              </w:rPr>
              <w:t>(255)</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executor_user_id</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具体负责人i</w:t>
            </w:r>
            <w:r>
              <w:rPr>
                <w:rFonts w:ascii="Times New Roman" w:hAnsi="Times New Roman" w:eastAsia="宋体" w:cs="Times New Roman"/>
                <w:sz w:val="24"/>
                <w:szCs w:val="20"/>
              </w:rPr>
              <w:t>d</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w:t>
            </w:r>
            <w:r>
              <w:rPr>
                <w:rFonts w:ascii="Times New Roman" w:hAnsi="Times New Roman" w:eastAsia="宋体" w:cs="Times New Roman"/>
                <w:sz w:val="24"/>
                <w:szCs w:val="20"/>
              </w:rPr>
              <w:t>(255)</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leader_user_id</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分管领导i</w:t>
            </w:r>
            <w:r>
              <w:rPr>
                <w:rFonts w:ascii="Times New Roman" w:hAnsi="Times New Roman" w:eastAsia="宋体" w:cs="Times New Roman"/>
                <w:sz w:val="24"/>
                <w:szCs w:val="20"/>
              </w:rPr>
              <w:t>d</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w:t>
            </w:r>
            <w:r>
              <w:rPr>
                <w:rFonts w:ascii="Times New Roman" w:hAnsi="Times New Roman" w:eastAsia="宋体" w:cs="Times New Roman"/>
                <w:sz w:val="24"/>
                <w:szCs w:val="20"/>
              </w:rPr>
              <w:t>(255)</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progress</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进度</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integer</w:t>
            </w:r>
          </w:p>
        </w:tc>
        <w:tc>
          <w:tcPr>
            <w:tcW w:w="1575"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early_completion</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提前完成</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boolean</w:t>
            </w:r>
          </w:p>
        </w:tc>
        <w:tc>
          <w:tcPr>
            <w:tcW w:w="1575"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leader_confirm_time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领导确认时间</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timestamp</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auto_confirmed</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超时自动确认</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boolean</w:t>
            </w:r>
          </w:p>
        </w:tc>
        <w:tc>
          <w:tcPr>
            <w:tcW w:w="1575"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need_approval</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需要领导审核</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boolean</w:t>
            </w:r>
          </w:p>
        </w:tc>
        <w:tc>
          <w:tcPr>
            <w:tcW w:w="1575"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director_instructions</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处室意见</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postponed</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延期</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boolean</w:t>
            </w:r>
          </w:p>
        </w:tc>
        <w:tc>
          <w:tcPr>
            <w:tcW w:w="1575"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type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类型</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w:t>
            </w:r>
            <w:r>
              <w:rPr>
                <w:rFonts w:ascii="Times New Roman" w:hAnsi="Times New Roman" w:eastAsia="宋体" w:cs="Times New Roman"/>
                <w:sz w:val="24"/>
                <w:szCs w:val="20"/>
              </w:rPr>
              <w:t>(255)</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completed_time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完成时间</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timestamp</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comment</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备注</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w:t>
            </w:r>
            <w:r>
              <w:rPr>
                <w:rFonts w:ascii="Times New Roman" w:hAnsi="Times New Roman" w:eastAsia="宋体" w:cs="Times New Roman"/>
                <w:sz w:val="24"/>
                <w:szCs w:val="20"/>
              </w:rPr>
              <w:t>(255)</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supervision_id</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督察id</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u</w:t>
            </w:r>
            <w:r>
              <w:rPr>
                <w:rFonts w:ascii="Times New Roman" w:hAnsi="Times New Roman" w:eastAsia="宋体" w:cs="Times New Roman"/>
                <w:sz w:val="24"/>
                <w:szCs w:val="20"/>
              </w:rPr>
              <w:t>uid</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commitment_time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承诺完成时间</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timestamp</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bl>
    <w:p>
      <w:pPr>
        <w:spacing w:after="120" w:line="360" w:lineRule="auto"/>
        <w:rPr>
          <w:rFonts w:ascii="Times New Roman" w:hAnsi="Times New Roman" w:eastAsia="宋体" w:cs="Times New Roman"/>
          <w:sz w:val="24"/>
        </w:rPr>
      </w:pPr>
    </w:p>
    <w:p>
      <w:pPr>
        <w:spacing w:after="12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6、督查督办－督察反馈表</w:t>
      </w:r>
    </w:p>
    <w:tbl>
      <w:tblPr>
        <w:tblStyle w:val="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6"/>
        <w:gridCol w:w="1693"/>
        <w:gridCol w:w="1779"/>
        <w:gridCol w:w="1575"/>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字段名</w:t>
            </w:r>
          </w:p>
        </w:tc>
        <w:tc>
          <w:tcPr>
            <w:tcW w:w="1693"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字段说明</w:t>
            </w:r>
          </w:p>
        </w:tc>
        <w:tc>
          <w:tcPr>
            <w:tcW w:w="1779"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类型</w:t>
            </w:r>
          </w:p>
        </w:tc>
        <w:tc>
          <w:tcPr>
            <w:tcW w:w="1575"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是否为空</w:t>
            </w:r>
          </w:p>
        </w:tc>
        <w:tc>
          <w:tcPr>
            <w:tcW w:w="859"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 xml:space="preserve">id </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主键</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u</w:t>
            </w:r>
            <w:r>
              <w:rPr>
                <w:rFonts w:ascii="Times New Roman" w:hAnsi="Times New Roman" w:eastAsia="宋体" w:cs="Times New Roman"/>
                <w:sz w:val="24"/>
                <w:szCs w:val="20"/>
              </w:rPr>
              <w:t>uid</w:t>
            </w:r>
          </w:p>
        </w:tc>
        <w:tc>
          <w:tcPr>
            <w:tcW w:w="1575"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confirm_time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确认时间</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timestamp</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created_time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创建时间</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timestamp</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deleted</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删除</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boolean</w:t>
            </w:r>
          </w:p>
        </w:tc>
        <w:tc>
          <w:tcPr>
            <w:tcW w:w="1575"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end_time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完成时限</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timestamp</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last_modified_time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最后修改时间</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timestamp</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lead_department</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责任处室</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boolean</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start_time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开始时间</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timestamp</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department_id</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部门id</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bigint</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director_user_id</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初始负责人id</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w:t>
            </w:r>
            <w:r>
              <w:rPr>
                <w:rFonts w:ascii="Times New Roman" w:hAnsi="Times New Roman" w:eastAsia="宋体" w:cs="Times New Roman"/>
                <w:sz w:val="24"/>
                <w:szCs w:val="20"/>
              </w:rPr>
              <w:t>(255)</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executor_user_id</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具体负责人id</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w:t>
            </w:r>
            <w:r>
              <w:rPr>
                <w:rFonts w:ascii="Times New Roman" w:hAnsi="Times New Roman" w:eastAsia="宋体" w:cs="Times New Roman"/>
                <w:sz w:val="24"/>
                <w:szCs w:val="20"/>
              </w:rPr>
              <w:t>(255)</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leader_user_id</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分管领导id</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w:t>
            </w:r>
            <w:r>
              <w:rPr>
                <w:rFonts w:ascii="Times New Roman" w:hAnsi="Times New Roman" w:eastAsia="宋体" w:cs="Times New Roman"/>
                <w:sz w:val="24"/>
                <w:szCs w:val="20"/>
              </w:rPr>
              <w:t>(255)</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supervision_item_id</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督察事项id</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u</w:t>
            </w:r>
            <w:r>
              <w:rPr>
                <w:rFonts w:ascii="Times New Roman" w:hAnsi="Times New Roman" w:eastAsia="宋体" w:cs="Times New Roman"/>
                <w:sz w:val="24"/>
                <w:szCs w:val="20"/>
              </w:rPr>
              <w:t>uid</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attachment</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附件</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j</w:t>
            </w:r>
            <w:r>
              <w:rPr>
                <w:rFonts w:ascii="Times New Roman" w:hAnsi="Times New Roman" w:eastAsia="宋体" w:cs="Times New Roman"/>
                <w:sz w:val="24"/>
                <w:szCs w:val="20"/>
              </w:rPr>
              <w:t>sonb</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explain</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反馈说明</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status</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状态</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integer</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overtime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超时</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boolean</w:t>
            </w:r>
          </w:p>
        </w:tc>
        <w:tc>
          <w:tcPr>
            <w:tcW w:w="1575"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skip</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跳过</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boolean</w:t>
            </w:r>
          </w:p>
        </w:tc>
        <w:tc>
          <w:tcPr>
            <w:tcW w:w="1575"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type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类型</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integer</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approval_time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审核时间</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timestamp</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submit_time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提交时间</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timestamp</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director_instructions</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处室意见</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instructions</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领导意见</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progress</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反馈进度</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integer</w:t>
            </w:r>
          </w:p>
        </w:tc>
        <w:tc>
          <w:tcPr>
            <w:tcW w:w="1575"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parent_id</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父反馈id</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u</w:t>
            </w:r>
            <w:r>
              <w:rPr>
                <w:rFonts w:ascii="Times New Roman" w:hAnsi="Times New Roman" w:eastAsia="宋体" w:cs="Times New Roman"/>
                <w:sz w:val="24"/>
                <w:szCs w:val="20"/>
              </w:rPr>
              <w:t>uid</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send_time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发给领导时间</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timestamp</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bl>
    <w:p>
      <w:pPr>
        <w:spacing w:after="120" w:line="360" w:lineRule="auto"/>
        <w:rPr>
          <w:rFonts w:ascii="Times New Roman" w:hAnsi="Times New Roman" w:eastAsia="宋体" w:cs="Times New Roman"/>
          <w:sz w:val="24"/>
        </w:rPr>
      </w:pP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考核评价数据库</w:t>
      </w:r>
    </w:p>
    <w:p>
      <w:pPr>
        <w:spacing w:after="12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1、考核评价－考核表</w:t>
      </w:r>
    </w:p>
    <w:tbl>
      <w:tblPr>
        <w:tblStyle w:val="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6"/>
        <w:gridCol w:w="1693"/>
        <w:gridCol w:w="1779"/>
        <w:gridCol w:w="1575"/>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字段名</w:t>
            </w:r>
          </w:p>
        </w:tc>
        <w:tc>
          <w:tcPr>
            <w:tcW w:w="1693"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字段说明</w:t>
            </w:r>
          </w:p>
        </w:tc>
        <w:tc>
          <w:tcPr>
            <w:tcW w:w="1779"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类型</w:t>
            </w:r>
          </w:p>
        </w:tc>
        <w:tc>
          <w:tcPr>
            <w:tcW w:w="1575"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是否为空</w:t>
            </w:r>
          </w:p>
        </w:tc>
        <w:tc>
          <w:tcPr>
            <w:tcW w:w="859"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id</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主键</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uuid</w:t>
            </w:r>
          </w:p>
        </w:tc>
        <w:tc>
          <w:tcPr>
            <w:tcW w:w="1575"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content</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考核内容</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j</w:t>
            </w:r>
            <w:r>
              <w:rPr>
                <w:rFonts w:hint="eastAsia" w:ascii="Times New Roman" w:hAnsi="Times New Roman" w:eastAsia="宋体" w:cs="Times New Roman"/>
                <w:sz w:val="24"/>
                <w:szCs w:val="20"/>
              </w:rPr>
              <w:t>son</w:t>
            </w:r>
            <w:r>
              <w:rPr>
                <w:rFonts w:ascii="Times New Roman" w:hAnsi="Times New Roman" w:eastAsia="宋体" w:cs="Times New Roman"/>
                <w:sz w:val="24"/>
                <w:szCs w:val="20"/>
              </w:rPr>
              <w:t>b</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created_time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创建时间</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timestamp</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deleted</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删除</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boolean</w:t>
            </w:r>
          </w:p>
        </w:tc>
        <w:tc>
          <w:tcPr>
            <w:tcW w:w="1575"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last_modified_time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最后修改时间</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timestamp</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month</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月</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integer</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period</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考核周期</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integer</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published</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已发布</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boolean</w:t>
            </w:r>
          </w:p>
        </w:tc>
        <w:tc>
          <w:tcPr>
            <w:tcW w:w="1575"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quarter</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季度</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integer</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type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类型</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integer</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version</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考核版本</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integer</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year</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年</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integer</w:t>
            </w:r>
          </w:p>
        </w:tc>
        <w:tc>
          <w:tcPr>
            <w:tcW w:w="1575"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859" w:type="dxa"/>
          </w:tcPr>
          <w:p>
            <w:pPr>
              <w:spacing w:line="360" w:lineRule="auto"/>
              <w:rPr>
                <w:rFonts w:ascii="Times New Roman" w:hAnsi="Times New Roman" w:eastAsia="宋体" w:cs="Times New Roman"/>
                <w:sz w:val="24"/>
              </w:rPr>
            </w:pPr>
          </w:p>
        </w:tc>
      </w:tr>
    </w:tbl>
    <w:p>
      <w:pPr>
        <w:spacing w:line="360" w:lineRule="auto"/>
        <w:rPr>
          <w:rFonts w:ascii="Times New Roman" w:hAnsi="Times New Roman" w:eastAsia="宋体" w:cs="Times New Roman"/>
          <w:sz w:val="24"/>
          <w:szCs w:val="20"/>
        </w:rPr>
      </w:pPr>
    </w:p>
    <w:p>
      <w:pPr>
        <w:spacing w:after="12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2、考核评价－任务表</w:t>
      </w:r>
    </w:p>
    <w:tbl>
      <w:tblPr>
        <w:tblStyle w:val="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6"/>
        <w:gridCol w:w="1693"/>
        <w:gridCol w:w="1779"/>
        <w:gridCol w:w="1575"/>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字段名</w:t>
            </w:r>
          </w:p>
        </w:tc>
        <w:tc>
          <w:tcPr>
            <w:tcW w:w="1693"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字段说明</w:t>
            </w:r>
          </w:p>
        </w:tc>
        <w:tc>
          <w:tcPr>
            <w:tcW w:w="1779"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类型</w:t>
            </w:r>
          </w:p>
        </w:tc>
        <w:tc>
          <w:tcPr>
            <w:tcW w:w="1575"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是否为空</w:t>
            </w:r>
          </w:p>
        </w:tc>
        <w:tc>
          <w:tcPr>
            <w:tcW w:w="859"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id</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主键</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u</w:t>
            </w:r>
            <w:r>
              <w:rPr>
                <w:rFonts w:ascii="Times New Roman" w:hAnsi="Times New Roman" w:eastAsia="宋体" w:cs="Times New Roman"/>
                <w:sz w:val="24"/>
                <w:szCs w:val="20"/>
              </w:rPr>
              <w:t>uid</w:t>
            </w:r>
          </w:p>
        </w:tc>
        <w:tc>
          <w:tcPr>
            <w:tcW w:w="1575"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created_time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创建时间</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timestamp</w:t>
            </w:r>
          </w:p>
        </w:tc>
        <w:tc>
          <w:tcPr>
            <w:tcW w:w="1575" w:type="dxa"/>
          </w:tcPr>
          <w:p>
            <w:pPr>
              <w:spacing w:line="360" w:lineRule="auto"/>
              <w:jc w:val="center"/>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deleted</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删除</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boolean</w:t>
            </w:r>
          </w:p>
        </w:tc>
        <w:tc>
          <w:tcPr>
            <w:tcW w:w="1575"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last_modified_time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最后修改时间</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timestamp</w:t>
            </w:r>
          </w:p>
        </w:tc>
        <w:tc>
          <w:tcPr>
            <w:tcW w:w="1575" w:type="dxa"/>
          </w:tcPr>
          <w:p>
            <w:pPr>
              <w:spacing w:line="360" w:lineRule="auto"/>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month</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月</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integer</w:t>
            </w:r>
          </w:p>
        </w:tc>
        <w:tc>
          <w:tcPr>
            <w:tcW w:w="1575" w:type="dxa"/>
          </w:tcPr>
          <w:p>
            <w:pPr>
              <w:spacing w:line="360" w:lineRule="auto"/>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quarter</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季度</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integer</w:t>
            </w:r>
          </w:p>
        </w:tc>
        <w:tc>
          <w:tcPr>
            <w:tcW w:w="1575" w:type="dxa"/>
          </w:tcPr>
          <w:p>
            <w:pPr>
              <w:spacing w:line="360" w:lineRule="auto"/>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status</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状态</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integer</w:t>
            </w:r>
          </w:p>
        </w:tc>
        <w:tc>
          <w:tcPr>
            <w:tcW w:w="1575" w:type="dxa"/>
          </w:tcPr>
          <w:p>
            <w:pPr>
              <w:spacing w:line="360" w:lineRule="auto"/>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type</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类型</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integer</w:t>
            </w:r>
          </w:p>
        </w:tc>
        <w:tc>
          <w:tcPr>
            <w:tcW w:w="1575" w:type="dxa"/>
          </w:tcPr>
          <w:p>
            <w:pPr>
              <w:spacing w:line="360" w:lineRule="auto"/>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year</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年</w:t>
            </w:r>
          </w:p>
        </w:tc>
        <w:tc>
          <w:tcPr>
            <w:tcW w:w="1779"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integer</w:t>
            </w:r>
          </w:p>
        </w:tc>
        <w:tc>
          <w:tcPr>
            <w:tcW w:w="1575"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appraise_id</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考核id</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uuid</w:t>
            </w:r>
          </w:p>
        </w:tc>
        <w:tc>
          <w:tcPr>
            <w:tcW w:w="1575" w:type="dxa"/>
          </w:tcPr>
          <w:p>
            <w:pPr>
              <w:spacing w:line="360" w:lineRule="auto"/>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rater_id</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评分人id</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w:t>
            </w:r>
            <w:r>
              <w:rPr>
                <w:rFonts w:ascii="Times New Roman" w:hAnsi="Times New Roman" w:eastAsia="宋体" w:cs="Times New Roman"/>
                <w:sz w:val="24"/>
                <w:szCs w:val="20"/>
              </w:rPr>
              <w:t>(255)</w:t>
            </w:r>
          </w:p>
        </w:tc>
        <w:tc>
          <w:tcPr>
            <w:tcW w:w="1575" w:type="dxa"/>
          </w:tcPr>
          <w:p>
            <w:pPr>
              <w:spacing w:line="360" w:lineRule="auto"/>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department_id</w:t>
            </w:r>
          </w:p>
        </w:tc>
        <w:tc>
          <w:tcPr>
            <w:tcW w:w="169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部门id</w:t>
            </w:r>
          </w:p>
        </w:tc>
        <w:tc>
          <w:tcPr>
            <w:tcW w:w="1779"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b</w:t>
            </w:r>
            <w:r>
              <w:rPr>
                <w:rFonts w:ascii="Times New Roman" w:hAnsi="Times New Roman" w:eastAsia="宋体" w:cs="Times New Roman"/>
                <w:sz w:val="24"/>
                <w:szCs w:val="20"/>
              </w:rPr>
              <w:t>igint</w:t>
            </w:r>
          </w:p>
        </w:tc>
        <w:tc>
          <w:tcPr>
            <w:tcW w:w="1575" w:type="dxa"/>
          </w:tcPr>
          <w:p>
            <w:pPr>
              <w:spacing w:line="360" w:lineRule="auto"/>
              <w:rPr>
                <w:rFonts w:ascii="Times New Roman" w:hAnsi="Times New Roman" w:eastAsia="宋体" w:cs="Times New Roman"/>
                <w:sz w:val="24"/>
                <w:szCs w:val="20"/>
              </w:rPr>
            </w:pPr>
          </w:p>
        </w:tc>
        <w:tc>
          <w:tcPr>
            <w:tcW w:w="859" w:type="dxa"/>
          </w:tcPr>
          <w:p>
            <w:pPr>
              <w:spacing w:line="360" w:lineRule="auto"/>
              <w:rPr>
                <w:rFonts w:ascii="Times New Roman" w:hAnsi="Times New Roman" w:eastAsia="宋体" w:cs="Times New Roman"/>
                <w:sz w:val="24"/>
              </w:rPr>
            </w:pPr>
          </w:p>
        </w:tc>
      </w:tr>
    </w:tbl>
    <w:p>
      <w:pPr>
        <w:spacing w:after="120" w:line="360" w:lineRule="auto"/>
        <w:rPr>
          <w:rFonts w:ascii="Times New Roman" w:hAnsi="Times New Roman" w:eastAsia="宋体" w:cs="Times New Roman"/>
          <w:sz w:val="24"/>
        </w:rPr>
      </w:pPr>
    </w:p>
    <w:p>
      <w:pPr>
        <w:spacing w:after="12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3、考核评价－督察反馈表</w:t>
      </w:r>
    </w:p>
    <w:tbl>
      <w:tblPr>
        <w:tblStyle w:val="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1"/>
        <w:gridCol w:w="1683"/>
        <w:gridCol w:w="1806"/>
        <w:gridCol w:w="1566"/>
        <w:gridCol w:w="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1"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字段名</w:t>
            </w:r>
          </w:p>
        </w:tc>
        <w:tc>
          <w:tcPr>
            <w:tcW w:w="1683"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字段说明</w:t>
            </w:r>
          </w:p>
        </w:tc>
        <w:tc>
          <w:tcPr>
            <w:tcW w:w="1806"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类型</w:t>
            </w:r>
          </w:p>
        </w:tc>
        <w:tc>
          <w:tcPr>
            <w:tcW w:w="1566"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是否为空</w:t>
            </w:r>
          </w:p>
        </w:tc>
        <w:tc>
          <w:tcPr>
            <w:tcW w:w="856" w:type="dxa"/>
            <w:shd w:val="clear" w:color="auto" w:fill="D7D7D7"/>
          </w:tcPr>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1"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id</w:t>
            </w:r>
          </w:p>
        </w:tc>
        <w:tc>
          <w:tcPr>
            <w:tcW w:w="168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主键</w:t>
            </w:r>
          </w:p>
        </w:tc>
        <w:tc>
          <w:tcPr>
            <w:tcW w:w="1806"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u</w:t>
            </w:r>
            <w:r>
              <w:rPr>
                <w:rFonts w:ascii="Times New Roman" w:hAnsi="Times New Roman" w:eastAsia="宋体" w:cs="Times New Roman"/>
                <w:sz w:val="24"/>
                <w:szCs w:val="20"/>
              </w:rPr>
              <w:t>uid</w:t>
            </w:r>
          </w:p>
        </w:tc>
        <w:tc>
          <w:tcPr>
            <w:tcW w:w="1566"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856"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1"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created_time</w:t>
            </w:r>
          </w:p>
        </w:tc>
        <w:tc>
          <w:tcPr>
            <w:tcW w:w="168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创建时间</w:t>
            </w:r>
          </w:p>
        </w:tc>
        <w:tc>
          <w:tcPr>
            <w:tcW w:w="180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timestamp</w:t>
            </w:r>
          </w:p>
        </w:tc>
        <w:tc>
          <w:tcPr>
            <w:tcW w:w="1566"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856"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1"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deleted</w:t>
            </w:r>
          </w:p>
        </w:tc>
        <w:tc>
          <w:tcPr>
            <w:tcW w:w="168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删除</w:t>
            </w:r>
          </w:p>
        </w:tc>
        <w:tc>
          <w:tcPr>
            <w:tcW w:w="180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boolean</w:t>
            </w:r>
          </w:p>
        </w:tc>
        <w:tc>
          <w:tcPr>
            <w:tcW w:w="1566"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856"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1"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detail</w:t>
            </w:r>
          </w:p>
        </w:tc>
        <w:tc>
          <w:tcPr>
            <w:tcW w:w="168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明细</w:t>
            </w:r>
          </w:p>
        </w:tc>
        <w:tc>
          <w:tcPr>
            <w:tcW w:w="1806"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j</w:t>
            </w:r>
            <w:r>
              <w:rPr>
                <w:rFonts w:ascii="Times New Roman" w:hAnsi="Times New Roman" w:eastAsia="宋体" w:cs="Times New Roman"/>
                <w:sz w:val="24"/>
                <w:szCs w:val="20"/>
              </w:rPr>
              <w:t>sonb</w:t>
            </w:r>
          </w:p>
        </w:tc>
        <w:tc>
          <w:tcPr>
            <w:tcW w:w="1566" w:type="dxa"/>
          </w:tcPr>
          <w:p>
            <w:pPr>
              <w:spacing w:line="360" w:lineRule="auto"/>
              <w:rPr>
                <w:rFonts w:ascii="Times New Roman" w:hAnsi="Times New Roman" w:eastAsia="宋体" w:cs="Times New Roman"/>
                <w:sz w:val="24"/>
                <w:szCs w:val="20"/>
              </w:rPr>
            </w:pPr>
          </w:p>
        </w:tc>
        <w:tc>
          <w:tcPr>
            <w:tcW w:w="856"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1"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last_modified_time</w:t>
            </w:r>
          </w:p>
        </w:tc>
        <w:tc>
          <w:tcPr>
            <w:tcW w:w="168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最后修改时间</w:t>
            </w:r>
          </w:p>
        </w:tc>
        <w:tc>
          <w:tcPr>
            <w:tcW w:w="180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timestamp</w:t>
            </w:r>
          </w:p>
        </w:tc>
        <w:tc>
          <w:tcPr>
            <w:tcW w:w="1566" w:type="dxa"/>
          </w:tcPr>
          <w:p>
            <w:pPr>
              <w:spacing w:line="360" w:lineRule="auto"/>
              <w:rPr>
                <w:rFonts w:ascii="Times New Roman" w:hAnsi="Times New Roman" w:eastAsia="宋体" w:cs="Times New Roman"/>
                <w:sz w:val="24"/>
                <w:szCs w:val="20"/>
              </w:rPr>
            </w:pPr>
          </w:p>
        </w:tc>
        <w:tc>
          <w:tcPr>
            <w:tcW w:w="856"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1"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month</w:t>
            </w:r>
          </w:p>
        </w:tc>
        <w:tc>
          <w:tcPr>
            <w:tcW w:w="168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月</w:t>
            </w:r>
          </w:p>
        </w:tc>
        <w:tc>
          <w:tcPr>
            <w:tcW w:w="180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integer</w:t>
            </w:r>
          </w:p>
        </w:tc>
        <w:tc>
          <w:tcPr>
            <w:tcW w:w="1566" w:type="dxa"/>
          </w:tcPr>
          <w:p>
            <w:pPr>
              <w:spacing w:line="360" w:lineRule="auto"/>
              <w:rPr>
                <w:rFonts w:ascii="Times New Roman" w:hAnsi="Times New Roman" w:eastAsia="宋体" w:cs="Times New Roman"/>
                <w:sz w:val="24"/>
                <w:szCs w:val="20"/>
              </w:rPr>
            </w:pPr>
          </w:p>
        </w:tc>
        <w:tc>
          <w:tcPr>
            <w:tcW w:w="856"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1"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quarter</w:t>
            </w:r>
          </w:p>
        </w:tc>
        <w:tc>
          <w:tcPr>
            <w:tcW w:w="168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季度</w:t>
            </w:r>
          </w:p>
        </w:tc>
        <w:tc>
          <w:tcPr>
            <w:tcW w:w="180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integer</w:t>
            </w:r>
          </w:p>
        </w:tc>
        <w:tc>
          <w:tcPr>
            <w:tcW w:w="1566" w:type="dxa"/>
          </w:tcPr>
          <w:p>
            <w:pPr>
              <w:spacing w:line="360" w:lineRule="auto"/>
              <w:rPr>
                <w:rFonts w:ascii="Times New Roman" w:hAnsi="Times New Roman" w:eastAsia="宋体" w:cs="Times New Roman"/>
                <w:sz w:val="24"/>
                <w:szCs w:val="20"/>
              </w:rPr>
            </w:pPr>
          </w:p>
        </w:tc>
        <w:tc>
          <w:tcPr>
            <w:tcW w:w="856"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1"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result</w:t>
            </w:r>
          </w:p>
        </w:tc>
        <w:tc>
          <w:tcPr>
            <w:tcW w:w="168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考核结果</w:t>
            </w:r>
          </w:p>
        </w:tc>
        <w:tc>
          <w:tcPr>
            <w:tcW w:w="1806"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w:t>
            </w:r>
            <w:r>
              <w:rPr>
                <w:rFonts w:ascii="Times New Roman" w:hAnsi="Times New Roman" w:eastAsia="宋体" w:cs="Times New Roman"/>
                <w:sz w:val="24"/>
                <w:szCs w:val="20"/>
              </w:rPr>
              <w:t>(255)</w:t>
            </w:r>
          </w:p>
        </w:tc>
        <w:tc>
          <w:tcPr>
            <w:tcW w:w="1566" w:type="dxa"/>
          </w:tcPr>
          <w:p>
            <w:pPr>
              <w:spacing w:line="360" w:lineRule="auto"/>
              <w:rPr>
                <w:rFonts w:ascii="Times New Roman" w:hAnsi="Times New Roman" w:eastAsia="宋体" w:cs="Times New Roman"/>
                <w:sz w:val="24"/>
                <w:szCs w:val="20"/>
              </w:rPr>
            </w:pPr>
          </w:p>
        </w:tc>
        <w:tc>
          <w:tcPr>
            <w:tcW w:w="856"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1"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result_order</w:t>
            </w:r>
          </w:p>
        </w:tc>
        <w:tc>
          <w:tcPr>
            <w:tcW w:w="168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结果排名</w:t>
            </w:r>
          </w:p>
        </w:tc>
        <w:tc>
          <w:tcPr>
            <w:tcW w:w="180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integer</w:t>
            </w:r>
          </w:p>
        </w:tc>
        <w:tc>
          <w:tcPr>
            <w:tcW w:w="1566" w:type="dxa"/>
          </w:tcPr>
          <w:p>
            <w:pPr>
              <w:spacing w:line="360" w:lineRule="auto"/>
              <w:rPr>
                <w:rFonts w:ascii="Times New Roman" w:hAnsi="Times New Roman" w:eastAsia="宋体" w:cs="Times New Roman"/>
                <w:sz w:val="24"/>
                <w:szCs w:val="20"/>
              </w:rPr>
            </w:pPr>
          </w:p>
        </w:tc>
        <w:tc>
          <w:tcPr>
            <w:tcW w:w="856"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1"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score</w:t>
            </w:r>
          </w:p>
        </w:tc>
        <w:tc>
          <w:tcPr>
            <w:tcW w:w="168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分数</w:t>
            </w:r>
          </w:p>
        </w:tc>
        <w:tc>
          <w:tcPr>
            <w:tcW w:w="180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double precision</w:t>
            </w:r>
          </w:p>
        </w:tc>
        <w:tc>
          <w:tcPr>
            <w:tcW w:w="1566" w:type="dxa"/>
          </w:tcPr>
          <w:p>
            <w:pPr>
              <w:spacing w:line="360" w:lineRule="auto"/>
              <w:rPr>
                <w:rFonts w:ascii="Times New Roman" w:hAnsi="Times New Roman" w:eastAsia="宋体" w:cs="Times New Roman"/>
                <w:sz w:val="24"/>
                <w:szCs w:val="20"/>
              </w:rPr>
            </w:pPr>
          </w:p>
        </w:tc>
        <w:tc>
          <w:tcPr>
            <w:tcW w:w="856"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1"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type</w:t>
            </w:r>
          </w:p>
        </w:tc>
        <w:tc>
          <w:tcPr>
            <w:tcW w:w="168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类型</w:t>
            </w:r>
          </w:p>
        </w:tc>
        <w:tc>
          <w:tcPr>
            <w:tcW w:w="180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integer</w:t>
            </w:r>
          </w:p>
        </w:tc>
        <w:tc>
          <w:tcPr>
            <w:tcW w:w="1566" w:type="dxa"/>
          </w:tcPr>
          <w:p>
            <w:pPr>
              <w:spacing w:line="360" w:lineRule="auto"/>
              <w:rPr>
                <w:rFonts w:ascii="Times New Roman" w:hAnsi="Times New Roman" w:eastAsia="宋体" w:cs="Times New Roman"/>
                <w:sz w:val="24"/>
                <w:szCs w:val="20"/>
              </w:rPr>
            </w:pPr>
          </w:p>
        </w:tc>
        <w:tc>
          <w:tcPr>
            <w:tcW w:w="856"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611"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year</w:t>
            </w:r>
          </w:p>
        </w:tc>
        <w:tc>
          <w:tcPr>
            <w:tcW w:w="168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年</w:t>
            </w:r>
          </w:p>
        </w:tc>
        <w:tc>
          <w:tcPr>
            <w:tcW w:w="1806"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integer</w:t>
            </w:r>
          </w:p>
        </w:tc>
        <w:tc>
          <w:tcPr>
            <w:tcW w:w="1566" w:type="dxa"/>
          </w:tcPr>
          <w:p>
            <w:pPr>
              <w:spacing w:line="360" w:lineRule="auto"/>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否</w:t>
            </w:r>
          </w:p>
        </w:tc>
        <w:tc>
          <w:tcPr>
            <w:tcW w:w="856"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1"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appraise_id</w:t>
            </w:r>
          </w:p>
        </w:tc>
        <w:tc>
          <w:tcPr>
            <w:tcW w:w="168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考核id</w:t>
            </w:r>
          </w:p>
        </w:tc>
        <w:tc>
          <w:tcPr>
            <w:tcW w:w="1806"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uuid</w:t>
            </w:r>
          </w:p>
        </w:tc>
        <w:tc>
          <w:tcPr>
            <w:tcW w:w="1566" w:type="dxa"/>
          </w:tcPr>
          <w:p>
            <w:pPr>
              <w:tabs>
                <w:tab w:val="left" w:pos="886"/>
              </w:tabs>
              <w:spacing w:line="360" w:lineRule="auto"/>
              <w:rPr>
                <w:rFonts w:ascii="Times New Roman" w:hAnsi="Times New Roman" w:eastAsia="宋体" w:cs="Times New Roman"/>
                <w:sz w:val="24"/>
                <w:szCs w:val="20"/>
              </w:rPr>
            </w:pPr>
          </w:p>
        </w:tc>
        <w:tc>
          <w:tcPr>
            <w:tcW w:w="856"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1"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department_id</w:t>
            </w:r>
          </w:p>
        </w:tc>
        <w:tc>
          <w:tcPr>
            <w:tcW w:w="168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部门id</w:t>
            </w:r>
          </w:p>
        </w:tc>
        <w:tc>
          <w:tcPr>
            <w:tcW w:w="1806"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b</w:t>
            </w:r>
            <w:r>
              <w:rPr>
                <w:rFonts w:ascii="Times New Roman" w:hAnsi="Times New Roman" w:eastAsia="宋体" w:cs="Times New Roman"/>
                <w:sz w:val="24"/>
                <w:szCs w:val="20"/>
              </w:rPr>
              <w:t>igint</w:t>
            </w:r>
          </w:p>
        </w:tc>
        <w:tc>
          <w:tcPr>
            <w:tcW w:w="1566" w:type="dxa"/>
          </w:tcPr>
          <w:p>
            <w:pPr>
              <w:spacing w:line="360" w:lineRule="auto"/>
              <w:rPr>
                <w:rFonts w:ascii="Times New Roman" w:hAnsi="Times New Roman" w:eastAsia="宋体" w:cs="Times New Roman"/>
                <w:sz w:val="24"/>
                <w:szCs w:val="20"/>
              </w:rPr>
            </w:pPr>
          </w:p>
        </w:tc>
        <w:tc>
          <w:tcPr>
            <w:tcW w:w="856" w:type="dxa"/>
          </w:tcPr>
          <w:p>
            <w:pPr>
              <w:spacing w:line="360" w:lineRule="auto"/>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1" w:type="dxa"/>
          </w:tcPr>
          <w:p>
            <w:pPr>
              <w:spacing w:line="360" w:lineRule="auto"/>
              <w:rPr>
                <w:rFonts w:ascii="Times New Roman" w:hAnsi="Times New Roman" w:eastAsia="宋体" w:cs="Times New Roman"/>
                <w:sz w:val="24"/>
                <w:szCs w:val="20"/>
              </w:rPr>
            </w:pPr>
            <w:r>
              <w:rPr>
                <w:rFonts w:ascii="Times New Roman" w:hAnsi="Times New Roman" w:eastAsia="宋体" w:cs="Times New Roman"/>
                <w:sz w:val="24"/>
                <w:szCs w:val="20"/>
              </w:rPr>
              <w:t>personal_id</w:t>
            </w:r>
          </w:p>
        </w:tc>
        <w:tc>
          <w:tcPr>
            <w:tcW w:w="1683"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用户id</w:t>
            </w:r>
          </w:p>
        </w:tc>
        <w:tc>
          <w:tcPr>
            <w:tcW w:w="1806" w:type="dxa"/>
          </w:tcPr>
          <w:p>
            <w:pPr>
              <w:spacing w:line="360" w:lineRule="auto"/>
              <w:rPr>
                <w:rFonts w:ascii="Times New Roman" w:hAnsi="Times New Roman" w:eastAsia="宋体" w:cs="Times New Roman"/>
                <w:sz w:val="24"/>
                <w:szCs w:val="20"/>
              </w:rPr>
            </w:pPr>
            <w:r>
              <w:rPr>
                <w:rFonts w:hint="eastAsia" w:ascii="Times New Roman" w:hAnsi="Times New Roman" w:eastAsia="宋体" w:cs="Times New Roman"/>
                <w:sz w:val="24"/>
                <w:szCs w:val="20"/>
              </w:rPr>
              <w:t>varchar</w:t>
            </w:r>
            <w:r>
              <w:rPr>
                <w:rFonts w:ascii="Times New Roman" w:hAnsi="Times New Roman" w:eastAsia="宋体" w:cs="Times New Roman"/>
                <w:sz w:val="24"/>
                <w:szCs w:val="20"/>
              </w:rPr>
              <w:t>(255)</w:t>
            </w:r>
          </w:p>
        </w:tc>
        <w:tc>
          <w:tcPr>
            <w:tcW w:w="1566" w:type="dxa"/>
          </w:tcPr>
          <w:p>
            <w:pPr>
              <w:spacing w:line="360" w:lineRule="auto"/>
              <w:rPr>
                <w:rFonts w:ascii="Times New Roman" w:hAnsi="Times New Roman" w:eastAsia="宋体" w:cs="Times New Roman"/>
                <w:sz w:val="24"/>
                <w:szCs w:val="20"/>
              </w:rPr>
            </w:pPr>
          </w:p>
        </w:tc>
        <w:tc>
          <w:tcPr>
            <w:tcW w:w="856" w:type="dxa"/>
          </w:tcPr>
          <w:p>
            <w:pPr>
              <w:spacing w:line="360" w:lineRule="auto"/>
              <w:rPr>
                <w:rFonts w:ascii="Times New Roman" w:hAnsi="Times New Roman" w:eastAsia="宋体" w:cs="Times New Roman"/>
                <w:sz w:val="24"/>
              </w:rPr>
            </w:pPr>
          </w:p>
        </w:tc>
      </w:tr>
    </w:tbl>
    <w:p>
      <w:pPr>
        <w:spacing w:after="120" w:line="360" w:lineRule="auto"/>
        <w:rPr>
          <w:rFonts w:ascii="Times New Roman" w:hAnsi="Times New Roman" w:eastAsia="宋体" w:cs="Times New Roman"/>
          <w:sz w:val="24"/>
        </w:rPr>
      </w:pPr>
    </w:p>
    <w:bookmarkEnd w:id="28"/>
    <w:p>
      <w:pPr>
        <w:keepNext/>
        <w:keepLines/>
        <w:numPr>
          <w:ilvl w:val="1"/>
          <w:numId w:val="1"/>
        </w:numPr>
        <w:spacing w:before="260" w:after="260" w:line="413" w:lineRule="auto"/>
        <w:ind w:left="575" w:hanging="575"/>
        <w:outlineLvl w:val="1"/>
        <w:rPr>
          <w:rFonts w:ascii="Arial" w:hAnsi="Arial" w:eastAsia="黑体" w:cs="Times New Roman"/>
          <w:b/>
        </w:rPr>
      </w:pPr>
      <w:bookmarkStart w:id="29" w:name="_Toc17588"/>
      <w:bookmarkStart w:id="30" w:name="_Toc9926"/>
      <w:r>
        <w:rPr>
          <w:rFonts w:hint="eastAsia" w:ascii="Arial" w:hAnsi="Arial" w:eastAsia="黑体" w:cs="Times New Roman"/>
          <w:b/>
        </w:rPr>
        <w:t>应用支撑系统设计</w:t>
      </w:r>
      <w:bookmarkEnd w:id="23"/>
      <w:bookmarkEnd w:id="29"/>
      <w:bookmarkEnd w:id="30"/>
    </w:p>
    <w:p>
      <w:pPr>
        <w:keepNext/>
        <w:keepLines/>
        <w:numPr>
          <w:ilvl w:val="2"/>
          <w:numId w:val="1"/>
        </w:numPr>
        <w:spacing w:line="413" w:lineRule="auto"/>
        <w:ind w:firstLine="1044"/>
        <w:outlineLvl w:val="2"/>
        <w:rPr>
          <w:rFonts w:ascii="Times New Roman" w:hAnsi="Times New Roman" w:eastAsia="宋体" w:cs="Times New Roman"/>
          <w:b/>
        </w:rPr>
      </w:pPr>
      <w:bookmarkStart w:id="31" w:name="_Toc32131"/>
      <w:bookmarkStart w:id="32" w:name="_Toc31183"/>
      <w:bookmarkStart w:id="33" w:name="_Toc31041"/>
      <w:r>
        <w:rPr>
          <w:rFonts w:hint="eastAsia" w:ascii="Times New Roman" w:hAnsi="Times New Roman" w:eastAsia="宋体" w:cs="Times New Roman"/>
          <w:b/>
        </w:rPr>
        <w:t>统计业务支撑平台</w:t>
      </w:r>
      <w:bookmarkEnd w:id="31"/>
      <w:bookmarkEnd w:id="32"/>
    </w:p>
    <w:p>
      <w:pPr>
        <w:spacing w:line="360" w:lineRule="auto"/>
        <w:ind w:firstLine="480" w:firstLineChars="200"/>
        <w:rPr>
          <w:rFonts w:ascii="Times New Roman" w:hAnsi="Times New Roman" w:eastAsia="宋体" w:cs="Times New Roman"/>
          <w:color w:val="333333"/>
          <w:sz w:val="24"/>
          <w:szCs w:val="20"/>
          <w:shd w:val="clear" w:color="auto" w:fill="FFFFFF"/>
        </w:rPr>
      </w:pPr>
      <w:r>
        <w:rPr>
          <w:rFonts w:hint="eastAsia" w:ascii="Times New Roman" w:hAnsi="Times New Roman" w:eastAsia="宋体" w:cs="Times New Roman"/>
          <w:sz w:val="24"/>
          <w:szCs w:val="20"/>
        </w:rPr>
        <w:t>统计工作不是简单的对数字进行运算，而是需要依托专业模型，从特定维度开展的符合统计制度需要或能够满足特定场景需求的专业分析工作。统计业务支撑平台即用于支撑上层统计数字化应用的基础，本项目拟建设一套指标管理系统和报表分析系统，实现统计指标体系数字化管理和统计报表智能化分析应用。</w:t>
      </w:r>
    </w:p>
    <w:p>
      <w:pPr>
        <w:keepNext/>
        <w:keepLines/>
        <w:numPr>
          <w:ilvl w:val="3"/>
          <w:numId w:val="1"/>
        </w:numPr>
        <w:tabs>
          <w:tab w:val="left" w:pos="420"/>
        </w:tabs>
        <w:spacing w:before="120" w:after="120" w:line="372" w:lineRule="auto"/>
        <w:ind w:firstLine="1044"/>
        <w:outlineLvl w:val="3"/>
        <w:rPr>
          <w:rFonts w:ascii="Arial" w:hAnsi="Arial" w:eastAsia="黑体" w:cs="Times New Roman"/>
          <w:b/>
          <w:sz w:val="28"/>
        </w:rPr>
      </w:pPr>
      <w:r>
        <w:rPr>
          <w:rFonts w:hint="eastAsia" w:ascii="Arial" w:hAnsi="Arial" w:eastAsia="黑体" w:cs="Times New Roman"/>
          <w:b/>
          <w:sz w:val="28"/>
        </w:rPr>
        <w:t>指标管理系统建设</w:t>
      </w:r>
    </w:p>
    <w:p>
      <w:pPr>
        <w:adjustRightInd w:val="0"/>
        <w:snapToGrid w:val="0"/>
        <w:spacing w:line="360" w:lineRule="auto"/>
        <w:ind w:firstLine="480" w:firstLineChars="200"/>
        <w:rPr>
          <w:rFonts w:ascii="宋体" w:hAnsi="宋体" w:eastAsia="宋体" w:cs="Times New Roman"/>
          <w:color w:val="000000"/>
          <w:sz w:val="24"/>
          <w:szCs w:val="22"/>
        </w:rPr>
      </w:pPr>
      <w:r>
        <w:rPr>
          <w:rFonts w:hint="eastAsia" w:ascii="宋体" w:hAnsi="宋体" w:eastAsia="宋体" w:cs="Times New Roman"/>
          <w:color w:val="000000"/>
          <w:sz w:val="24"/>
          <w:szCs w:val="22"/>
        </w:rPr>
        <w:t>依据《统计法》和统计制度中针对统计工作的具体要求，充分考虑内蒙古自治区的实际统计业务运行情况，基于对国家统计局提出的统计指体系、指标项的清晰理解，通过信息化手段，建立符合内蒙古自治区统计业务数字化的统计指标管理体系。针对指标定义、指标描述信息、指标值、指标体系进行统一管理，设计并建设指标标准库体，设计指标的维度模型、创建每个维度的值域字典。</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color w:val="000000"/>
          <w:sz w:val="28"/>
        </w:rPr>
      </w:pPr>
      <w:r>
        <w:rPr>
          <w:rFonts w:hint="eastAsia" w:ascii="Times New Roman" w:hAnsi="Times New Roman" w:eastAsia="宋体" w:cs="Times New Roman"/>
          <w:b/>
          <w:color w:val="000000"/>
          <w:sz w:val="28"/>
        </w:rPr>
        <w:t>基础指标</w:t>
      </w:r>
    </w:p>
    <w:p>
      <w:pPr>
        <w:spacing w:after="120" w:line="360" w:lineRule="auto"/>
        <w:ind w:firstLine="480" w:firstLineChars="200"/>
        <w:rPr>
          <w:rFonts w:ascii="Times New Roman" w:hAnsi="Times New Roman" w:eastAsia="宋体" w:cs="Times New Roman"/>
          <w:color w:val="000000"/>
          <w:sz w:val="24"/>
        </w:rPr>
      </w:pPr>
      <w:r>
        <w:rPr>
          <w:rFonts w:hint="eastAsia" w:ascii="Times New Roman" w:hAnsi="Times New Roman" w:eastAsia="宋体" w:cs="Times New Roman"/>
          <w:color w:val="000000"/>
          <w:sz w:val="24"/>
        </w:rPr>
        <w:t>基础指标是指不区分专业领域的描述统计对象的最小粒度的某一个维度的描述，例如工业基础指标，主要反映自治区各盟市经济运行指标，包括工业总产值、销售产值、出口交货值、工业总产值、产品产量。为保障基础指标的时效性，能够反映某一时间周期的实际统计业务情况，系统将自动从统计数据中直接抽取并进行处理获得基础指标。</w:t>
      </w:r>
    </w:p>
    <w:p>
      <w:pPr>
        <w:keepNext/>
        <w:keepLines/>
        <w:numPr>
          <w:ilvl w:val="5"/>
          <w:numId w:val="1"/>
        </w:numPr>
        <w:tabs>
          <w:tab w:val="left" w:pos="420"/>
        </w:tabs>
        <w:spacing w:before="240" w:after="64" w:line="317" w:lineRule="auto"/>
        <w:ind w:firstLine="482"/>
        <w:outlineLvl w:val="5"/>
        <w:rPr>
          <w:rFonts w:ascii="Arial" w:hAnsi="Arial" w:eastAsia="黑体" w:cs="Times New Roman"/>
          <w:b/>
          <w:color w:val="000000"/>
          <w:sz w:val="24"/>
        </w:rPr>
      </w:pPr>
      <w:r>
        <w:rPr>
          <w:rFonts w:hint="eastAsia" w:ascii="Arial" w:hAnsi="Arial" w:eastAsia="黑体" w:cs="Times New Roman"/>
          <w:b/>
          <w:color w:val="000000"/>
          <w:sz w:val="24"/>
        </w:rPr>
        <w:t>指标模型设计</w:t>
      </w:r>
    </w:p>
    <w:p>
      <w:pPr>
        <w:spacing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为了保障后续的指标应用，需要对指标模型进行设计，包括指标代码、指标类型、指标解释、指标值域字典设置等。</w:t>
      </w:r>
    </w:p>
    <w:p>
      <w:pPr>
        <w:spacing w:line="360" w:lineRule="auto"/>
        <w:ind w:firstLine="480" w:firstLineChars="200"/>
        <w:rPr>
          <w:rFonts w:ascii="Arial" w:hAnsi="Arial" w:eastAsia="黑体" w:cs="Times New Roman"/>
          <w:b/>
          <w:color w:val="000000"/>
          <w:sz w:val="24"/>
          <w:szCs w:val="20"/>
        </w:rPr>
      </w:pPr>
      <w:r>
        <w:rPr>
          <w:rFonts w:hint="eastAsia" w:ascii="Times New Roman" w:hAnsi="Times New Roman" w:eastAsia="宋体" w:cs="Times New Roman"/>
          <w:color w:val="000000"/>
          <w:sz w:val="24"/>
          <w:szCs w:val="20"/>
        </w:rPr>
        <w:t>按照统计业务，将各类统计基础指标分为工业总产值、销售产值、出口交货值、工业产值，按照维度分类，分为本月、1－本月、上年同期本月、上年同期1－本月。</w:t>
      </w:r>
    </w:p>
    <w:p>
      <w:pPr>
        <w:keepNext/>
        <w:keepLines/>
        <w:numPr>
          <w:ilvl w:val="5"/>
          <w:numId w:val="1"/>
        </w:numPr>
        <w:tabs>
          <w:tab w:val="left" w:pos="420"/>
        </w:tabs>
        <w:spacing w:before="240" w:after="64" w:line="317" w:lineRule="auto"/>
        <w:ind w:firstLine="482"/>
        <w:outlineLvl w:val="5"/>
        <w:rPr>
          <w:rFonts w:ascii="Arial" w:hAnsi="Arial" w:eastAsia="黑体" w:cs="Times New Roman"/>
          <w:b/>
          <w:color w:val="000000"/>
          <w:sz w:val="24"/>
        </w:rPr>
      </w:pPr>
      <w:r>
        <w:rPr>
          <w:rFonts w:hint="eastAsia" w:ascii="Arial" w:hAnsi="Arial" w:eastAsia="黑体" w:cs="Times New Roman"/>
          <w:b/>
          <w:color w:val="000000"/>
          <w:sz w:val="24"/>
        </w:rPr>
        <w:t>指标转换对照表</w:t>
      </w:r>
    </w:p>
    <w:p>
      <w:pPr>
        <w:spacing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为了规范指标转换流程，针对指标原始数据的组织方式，以及统计业务的需求，针对各个指标建立指标转换规则，明确指标的组织关系、指标的分类标准，确保转换后的指标统一性、规范性、标准化。指标转换规则是根据数据实际情况和统计工作对指标的需要情况进行制作。</w:t>
      </w:r>
    </w:p>
    <w:p>
      <w:pPr>
        <w:keepNext/>
        <w:keepLines/>
        <w:numPr>
          <w:ilvl w:val="5"/>
          <w:numId w:val="1"/>
        </w:numPr>
        <w:tabs>
          <w:tab w:val="left" w:pos="420"/>
        </w:tabs>
        <w:spacing w:before="240" w:after="64" w:line="317" w:lineRule="auto"/>
        <w:ind w:firstLine="482"/>
        <w:outlineLvl w:val="5"/>
        <w:rPr>
          <w:rFonts w:ascii="Arial" w:hAnsi="Arial" w:eastAsia="黑体" w:cs="Times New Roman"/>
          <w:b/>
          <w:color w:val="000000"/>
          <w:sz w:val="24"/>
        </w:rPr>
      </w:pPr>
      <w:r>
        <w:rPr>
          <w:rFonts w:hint="eastAsia" w:ascii="Arial" w:hAnsi="Arial" w:eastAsia="黑体" w:cs="Times New Roman"/>
          <w:b/>
          <w:color w:val="000000"/>
          <w:sz w:val="24"/>
        </w:rPr>
        <w:t>指标转换</w:t>
      </w:r>
    </w:p>
    <w:p>
      <w:pPr>
        <w:spacing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指标转换就是将数据中的属性字段进行提取，存储到指定的指标表中，并对指标进行描述、添加指标释义等含义的过程。系统提供指标转换功能，基于指标转换对照表，可将部门数据的内容转换为统计使用指标。</w:t>
      </w:r>
    </w:p>
    <w:p>
      <w:pPr>
        <w:spacing w:line="360" w:lineRule="auto"/>
        <w:ind w:firstLine="480" w:firstLineChars="200"/>
        <w:rPr>
          <w:rFonts w:ascii="Times New Roman" w:hAnsi="Times New Roman" w:eastAsia="宋体" w:cs="Times New Roman"/>
          <w:color w:val="000000"/>
          <w:sz w:val="24"/>
          <w:szCs w:val="20"/>
          <w:shd w:val="clear" w:color="auto" w:fill="FFFFFF"/>
        </w:rPr>
      </w:pPr>
      <w:r>
        <w:rPr>
          <w:rFonts w:hint="eastAsia" w:ascii="Times New Roman" w:hAnsi="Times New Roman" w:eastAsia="宋体" w:cs="Times New Roman"/>
          <w:color w:val="000000"/>
          <w:sz w:val="24"/>
          <w:szCs w:val="20"/>
          <w:shd w:val="clear" w:color="auto" w:fill="FFFFFF"/>
        </w:rPr>
        <w:t>系统通过遍历数据库表的方式获取所有数据资源的指标项信息，根据指标转换对照表，通过指标转换功能完成基础指标转换。信息抽取支持设定条件进行指标项抽取，如按照部门数据抽取、按照统计数据类型抽取、根据时间段抽取等。</w:t>
      </w:r>
    </w:p>
    <w:p>
      <w:pPr>
        <w:keepNext/>
        <w:keepLines/>
        <w:numPr>
          <w:ilvl w:val="5"/>
          <w:numId w:val="1"/>
        </w:numPr>
        <w:tabs>
          <w:tab w:val="left" w:pos="420"/>
        </w:tabs>
        <w:spacing w:before="240" w:after="64" w:line="317" w:lineRule="auto"/>
        <w:ind w:firstLine="482"/>
        <w:outlineLvl w:val="5"/>
        <w:rPr>
          <w:rFonts w:ascii="Arial" w:hAnsi="Arial" w:eastAsia="黑体" w:cs="Times New Roman"/>
          <w:b/>
          <w:color w:val="000000"/>
          <w:sz w:val="24"/>
        </w:rPr>
      </w:pPr>
      <w:r>
        <w:rPr>
          <w:rFonts w:hint="eastAsia" w:ascii="Arial" w:hAnsi="Arial" w:eastAsia="黑体" w:cs="Times New Roman"/>
          <w:b/>
          <w:color w:val="000000"/>
          <w:sz w:val="24"/>
        </w:rPr>
        <w:t>指标对比整合</w:t>
      </w:r>
    </w:p>
    <w:p>
      <w:pPr>
        <w:spacing w:line="360" w:lineRule="auto"/>
        <w:ind w:firstLine="480" w:firstLineChars="200"/>
        <w:rPr>
          <w:rFonts w:ascii="宋体" w:hAnsi="宋体" w:eastAsia="宋体" w:cs="Times New Roman"/>
          <w:color w:val="000000"/>
          <w:sz w:val="24"/>
        </w:rPr>
      </w:pPr>
      <w:r>
        <w:rPr>
          <w:rFonts w:hint="eastAsia" w:ascii="宋体" w:hAnsi="宋体" w:eastAsia="宋体" w:cs="Times New Roman"/>
          <w:color w:val="000000"/>
          <w:sz w:val="24"/>
        </w:rPr>
        <w:t>由于统计数据来源较多，存在交叉重叠的情况，为了确保基础指标的唯一性、全面性，对转换的指标信息需要进行去重合并的指标清洗工作。去重合并是指对数据项的重构，删去不需要的运行信息、字段值的编码与译码，补充遗漏的信息，检查数据的完整性与相容性。</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color w:val="000000"/>
          <w:sz w:val="28"/>
        </w:rPr>
      </w:pPr>
      <w:r>
        <w:rPr>
          <w:rFonts w:hint="eastAsia" w:ascii="Times New Roman" w:hAnsi="Times New Roman" w:eastAsia="宋体" w:cs="Times New Roman"/>
          <w:b/>
          <w:color w:val="000000"/>
          <w:sz w:val="28"/>
        </w:rPr>
        <w:t>计算指标</w:t>
      </w:r>
    </w:p>
    <w:p>
      <w:pPr>
        <w:spacing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计算指标的数据来源是基础指标，是根据基础指标加上公式计算得来的指标。比如工业处的全区工业增加值、盟市工业增加值等。</w:t>
      </w:r>
    </w:p>
    <w:p>
      <w:pPr>
        <w:numPr>
          <w:ilvl w:val="0"/>
          <w:numId w:val="6"/>
        </w:numPr>
        <w:spacing w:after="120" w:line="360" w:lineRule="auto"/>
        <w:ind w:left="60" w:firstLine="420"/>
        <w:rPr>
          <w:rFonts w:ascii="Times New Roman" w:hAnsi="Times New Roman" w:eastAsia="宋体" w:cs="Times New Roman"/>
          <w:color w:val="000000"/>
          <w:sz w:val="24"/>
        </w:rPr>
      </w:pPr>
      <w:r>
        <w:rPr>
          <w:rFonts w:hint="eastAsia" w:ascii="Times New Roman" w:hAnsi="Times New Roman" w:eastAsia="宋体" w:cs="Times New Roman"/>
          <w:color w:val="000000"/>
          <w:sz w:val="24"/>
        </w:rPr>
        <w:t>添加计算指标</w:t>
      </w:r>
    </w:p>
    <w:p>
      <w:pPr>
        <w:spacing w:after="120" w:line="360" w:lineRule="auto"/>
        <w:ind w:firstLine="480"/>
        <w:rPr>
          <w:rFonts w:ascii="Times New Roman" w:hAnsi="Times New Roman" w:eastAsia="宋体" w:cs="Times New Roman"/>
          <w:color w:val="000000"/>
          <w:sz w:val="24"/>
        </w:rPr>
      </w:pPr>
      <w:r>
        <w:rPr>
          <w:rFonts w:hint="eastAsia" w:ascii="Times New Roman" w:hAnsi="Times New Roman" w:eastAsia="宋体" w:cs="Times New Roman"/>
          <w:color w:val="000000"/>
          <w:sz w:val="24"/>
        </w:rPr>
        <w:t>系统支持自定义添加计算指标，以及计算指标相关的指标项。添加指标项需要选择计算指标项值对应的计算公式。</w:t>
      </w:r>
    </w:p>
    <w:p>
      <w:pPr>
        <w:numPr>
          <w:ilvl w:val="0"/>
          <w:numId w:val="6"/>
        </w:numPr>
        <w:spacing w:after="120" w:line="360" w:lineRule="auto"/>
        <w:ind w:left="60" w:firstLine="420"/>
        <w:rPr>
          <w:rFonts w:ascii="Times New Roman" w:hAnsi="Times New Roman" w:eastAsia="宋体" w:cs="Times New Roman"/>
          <w:color w:val="000000"/>
          <w:sz w:val="24"/>
        </w:rPr>
      </w:pPr>
      <w:r>
        <w:rPr>
          <w:rFonts w:hint="eastAsia" w:ascii="Times New Roman" w:hAnsi="Times New Roman" w:eastAsia="宋体" w:cs="Times New Roman"/>
          <w:color w:val="000000"/>
          <w:sz w:val="24"/>
        </w:rPr>
        <w:t>删除计算指标</w:t>
      </w:r>
    </w:p>
    <w:p>
      <w:pPr>
        <w:spacing w:after="120" w:line="360" w:lineRule="auto"/>
        <w:ind w:firstLine="480"/>
        <w:jc w:val="left"/>
        <w:rPr>
          <w:rFonts w:ascii="Times New Roman" w:hAnsi="Times New Roman" w:eastAsia="宋体" w:cs="Times New Roman"/>
          <w:color w:val="000000"/>
          <w:sz w:val="24"/>
        </w:rPr>
      </w:pPr>
      <w:r>
        <w:rPr>
          <w:rFonts w:hint="eastAsia" w:ascii="Times New Roman" w:hAnsi="Times New Roman" w:eastAsia="宋体" w:cs="Times New Roman"/>
          <w:color w:val="000000"/>
          <w:sz w:val="24"/>
        </w:rPr>
        <w:t>对不需要的指标用户可以直接删除。</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color w:val="000000"/>
          <w:sz w:val="28"/>
        </w:rPr>
      </w:pPr>
      <w:r>
        <w:rPr>
          <w:rFonts w:hint="eastAsia" w:ascii="Times New Roman" w:hAnsi="Times New Roman" w:eastAsia="宋体" w:cs="Times New Roman"/>
          <w:b/>
          <w:color w:val="000000"/>
          <w:sz w:val="28"/>
        </w:rPr>
        <w:t>汇总指标</w:t>
      </w:r>
    </w:p>
    <w:p>
      <w:pPr>
        <w:spacing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汇总指标是根据各专业的业务需要归纳整理出的，是针对一些专业上需要经过多方取数，多次运算才能得到的指标，汇总指标通过选择指标和公式来生成数据结果，支持其自定义新增和修改，例如贸易处的社会消费品零售总额和工业处的增加值增速等。</w:t>
      </w:r>
    </w:p>
    <w:p>
      <w:pPr>
        <w:spacing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汇总指标支持通常的编辑操作：</w:t>
      </w:r>
    </w:p>
    <w:p>
      <w:pPr>
        <w:numPr>
          <w:ilvl w:val="0"/>
          <w:numId w:val="7"/>
        </w:numPr>
        <w:spacing w:after="120" w:line="360" w:lineRule="auto"/>
        <w:ind w:left="60" w:firstLine="420"/>
        <w:rPr>
          <w:rFonts w:ascii="Times New Roman" w:hAnsi="Times New Roman" w:eastAsia="宋体" w:cs="Times New Roman"/>
          <w:color w:val="000000"/>
          <w:sz w:val="24"/>
        </w:rPr>
      </w:pPr>
      <w:r>
        <w:rPr>
          <w:rFonts w:hint="eastAsia" w:ascii="Times New Roman" w:hAnsi="Times New Roman" w:eastAsia="宋体" w:cs="Times New Roman"/>
          <w:color w:val="000000"/>
          <w:sz w:val="24"/>
        </w:rPr>
        <w:t>添加汇总指标</w:t>
      </w:r>
    </w:p>
    <w:p>
      <w:pPr>
        <w:spacing w:after="120" w:line="360" w:lineRule="auto"/>
        <w:ind w:firstLine="480"/>
        <w:rPr>
          <w:rFonts w:ascii="Times New Roman" w:hAnsi="Times New Roman" w:eastAsia="宋体" w:cs="Times New Roman"/>
          <w:color w:val="000000"/>
          <w:sz w:val="24"/>
        </w:rPr>
      </w:pPr>
      <w:r>
        <w:rPr>
          <w:rFonts w:hint="eastAsia" w:ascii="Times New Roman" w:hAnsi="Times New Roman" w:eastAsia="宋体" w:cs="Times New Roman"/>
          <w:color w:val="000000"/>
          <w:sz w:val="24"/>
        </w:rPr>
        <w:t>系统支持自定义添加汇总指标以及相关的指标项。添加汇总指标项可通过选择对应的公式实现汇总指标的定义。</w:t>
      </w:r>
    </w:p>
    <w:p>
      <w:pPr>
        <w:numPr>
          <w:ilvl w:val="0"/>
          <w:numId w:val="7"/>
        </w:numPr>
        <w:spacing w:after="120" w:line="360" w:lineRule="auto"/>
        <w:ind w:left="60" w:firstLine="420"/>
        <w:rPr>
          <w:rFonts w:ascii="Times New Roman" w:hAnsi="Times New Roman" w:eastAsia="宋体" w:cs="Times New Roman"/>
          <w:color w:val="000000"/>
          <w:sz w:val="24"/>
        </w:rPr>
      </w:pPr>
      <w:r>
        <w:rPr>
          <w:rFonts w:hint="eastAsia" w:ascii="Times New Roman" w:hAnsi="Times New Roman" w:eastAsia="宋体" w:cs="Times New Roman"/>
          <w:color w:val="000000"/>
          <w:sz w:val="24"/>
        </w:rPr>
        <w:t>删除汇总指标</w:t>
      </w:r>
    </w:p>
    <w:p>
      <w:pPr>
        <w:spacing w:after="12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color w:val="000000"/>
          <w:sz w:val="24"/>
        </w:rPr>
        <w:t>对不需要的指标用户可以直接删除。</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color w:val="000000"/>
          <w:sz w:val="28"/>
        </w:rPr>
      </w:pPr>
      <w:r>
        <w:rPr>
          <w:rFonts w:hint="eastAsia" w:ascii="Times New Roman" w:hAnsi="Times New Roman" w:eastAsia="宋体" w:cs="Times New Roman"/>
          <w:b/>
          <w:color w:val="000000"/>
          <w:sz w:val="28"/>
        </w:rPr>
        <w:t>公式集</w:t>
      </w:r>
    </w:p>
    <w:p>
      <w:pPr>
        <w:spacing w:after="120"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国家制定统一的统计标准，以保障统计调查中采用的指标含义、计算方法、分类目录、调查表式和统计编码等方面的标准化。根据最新的统计制度和标准规范，对系统内的指标、维度、公式进行编辑维护，包括指标、维度、公式的新增、编辑、更新、删除等操作。系统内正在被使用的公式和内置公式不允许删除。常见的公式定义包括工业增加值现价、工业增加值可比价、贸易逐月累加、增速以及通用的数学计算公式等。</w:t>
      </w:r>
    </w:p>
    <w:p>
      <w:pPr>
        <w:spacing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公式集具备通常的管理功能：</w:t>
      </w:r>
    </w:p>
    <w:p>
      <w:pPr>
        <w:numPr>
          <w:ilvl w:val="0"/>
          <w:numId w:val="8"/>
        </w:numPr>
        <w:spacing w:after="120" w:line="360" w:lineRule="auto"/>
        <w:ind w:left="60" w:firstLine="420"/>
        <w:rPr>
          <w:rFonts w:ascii="Times New Roman" w:hAnsi="Times New Roman" w:eastAsia="宋体" w:cs="Times New Roman"/>
          <w:color w:val="000000"/>
          <w:sz w:val="24"/>
        </w:rPr>
      </w:pPr>
      <w:r>
        <w:rPr>
          <w:rFonts w:hint="eastAsia" w:ascii="Times New Roman" w:hAnsi="Times New Roman" w:eastAsia="宋体" w:cs="Times New Roman"/>
          <w:color w:val="000000"/>
          <w:sz w:val="24"/>
        </w:rPr>
        <w:t>新建公式</w:t>
      </w:r>
    </w:p>
    <w:p>
      <w:pPr>
        <w:spacing w:after="120" w:line="360" w:lineRule="auto"/>
        <w:ind w:firstLine="480"/>
        <w:rPr>
          <w:rFonts w:ascii="Times New Roman" w:hAnsi="Times New Roman" w:eastAsia="宋体" w:cs="Times New Roman"/>
          <w:color w:val="000000"/>
          <w:sz w:val="24"/>
        </w:rPr>
      </w:pPr>
      <w:r>
        <w:rPr>
          <w:rFonts w:hint="eastAsia" w:ascii="Times New Roman" w:hAnsi="Times New Roman" w:eastAsia="宋体" w:cs="Times New Roman"/>
          <w:color w:val="000000"/>
          <w:sz w:val="24"/>
        </w:rPr>
        <w:t>系统支持通过界面手工输入的方式定义一个公式，在定义公式的过程中可以指定该公式所使用的若干参数，并对参数进行说明。</w:t>
      </w:r>
    </w:p>
    <w:p>
      <w:pPr>
        <w:numPr>
          <w:ilvl w:val="0"/>
          <w:numId w:val="8"/>
        </w:numPr>
        <w:spacing w:after="120" w:line="360" w:lineRule="auto"/>
        <w:ind w:left="60" w:firstLine="420"/>
        <w:rPr>
          <w:rFonts w:ascii="Times New Roman" w:hAnsi="Times New Roman" w:eastAsia="宋体" w:cs="Times New Roman"/>
          <w:color w:val="000000"/>
          <w:sz w:val="24"/>
        </w:rPr>
      </w:pPr>
      <w:r>
        <w:rPr>
          <w:rFonts w:hint="eastAsia" w:ascii="Times New Roman" w:hAnsi="Times New Roman" w:eastAsia="宋体" w:cs="Times New Roman"/>
          <w:color w:val="000000"/>
          <w:sz w:val="24"/>
        </w:rPr>
        <w:t>编辑公式</w:t>
      </w:r>
    </w:p>
    <w:p>
      <w:pPr>
        <w:spacing w:after="120" w:line="360" w:lineRule="auto"/>
        <w:ind w:firstLine="480"/>
        <w:jc w:val="left"/>
        <w:rPr>
          <w:rFonts w:ascii="Times New Roman" w:hAnsi="Times New Roman" w:eastAsia="宋体" w:cs="Times New Roman"/>
          <w:color w:val="000000"/>
          <w:sz w:val="24"/>
        </w:rPr>
      </w:pPr>
      <w:r>
        <w:rPr>
          <w:rFonts w:hint="eastAsia" w:ascii="Times New Roman" w:hAnsi="Times New Roman" w:eastAsia="宋体" w:cs="Times New Roman"/>
          <w:color w:val="000000"/>
          <w:sz w:val="24"/>
        </w:rPr>
        <w:t>系统支持在界面上对已有的公式进行修改编辑。在一个公式被修改后，所有对该公式的使用将自动更改。</w:t>
      </w:r>
    </w:p>
    <w:p>
      <w:pPr>
        <w:numPr>
          <w:ilvl w:val="0"/>
          <w:numId w:val="8"/>
        </w:numPr>
        <w:spacing w:after="120" w:line="360" w:lineRule="auto"/>
        <w:ind w:left="60" w:firstLine="420"/>
        <w:rPr>
          <w:rFonts w:ascii="Times New Roman" w:hAnsi="Times New Roman" w:eastAsia="宋体" w:cs="Times New Roman"/>
          <w:color w:val="000000"/>
          <w:sz w:val="24"/>
        </w:rPr>
      </w:pPr>
      <w:r>
        <w:rPr>
          <w:rFonts w:hint="eastAsia" w:ascii="Times New Roman" w:hAnsi="Times New Roman" w:eastAsia="宋体" w:cs="Times New Roman"/>
          <w:color w:val="000000"/>
          <w:sz w:val="24"/>
        </w:rPr>
        <w:t>删除公式</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color w:val="000000"/>
          <w:sz w:val="24"/>
          <w:szCs w:val="20"/>
        </w:rPr>
        <w:t>对不需要的公式可以进行删除，在删除前会给出提示请用户确认。如该公式已经被使用，则不允许执行删除操作。</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color w:val="000000"/>
          <w:sz w:val="28"/>
        </w:rPr>
      </w:pPr>
      <w:r>
        <w:rPr>
          <w:rFonts w:hint="eastAsia" w:ascii="Times New Roman" w:hAnsi="Times New Roman" w:eastAsia="宋体" w:cs="Times New Roman"/>
          <w:b/>
          <w:color w:val="000000"/>
          <w:sz w:val="28"/>
        </w:rPr>
        <w:t>制度集</w:t>
      </w:r>
    </w:p>
    <w:p>
      <w:pPr>
        <w:spacing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统计制度是根据批准进行统计调查的项目，按统一制定的统计表式、填报范围、实施办法，以及统计标准、统计指标解释、计算方法，并有原始记录作依据，开展搜集整理汇总统计资料和进行综合分析工作的行动准则。当相关制度有变化时，需要及时做出对应措施。及时根据最新的统计制度和标准规范，对系统内的指标维度进行编辑维护。</w:t>
      </w:r>
    </w:p>
    <w:tbl>
      <w:tblPr>
        <w:tblStyle w:val="2"/>
        <w:tblW w:w="8245" w:type="dxa"/>
        <w:tblInd w:w="96" w:type="dxa"/>
        <w:tblLayout w:type="fixed"/>
        <w:tblCellMar>
          <w:top w:w="0" w:type="dxa"/>
          <w:left w:w="108" w:type="dxa"/>
          <w:bottom w:w="0" w:type="dxa"/>
          <w:right w:w="108" w:type="dxa"/>
        </w:tblCellMar>
      </w:tblPr>
      <w:tblGrid>
        <w:gridCol w:w="3370"/>
        <w:gridCol w:w="4875"/>
      </w:tblGrid>
      <w:tr>
        <w:tblPrEx>
          <w:tblLayout w:type="fixed"/>
          <w:tblCellMar>
            <w:top w:w="0" w:type="dxa"/>
            <w:left w:w="108" w:type="dxa"/>
            <w:bottom w:w="0" w:type="dxa"/>
            <w:right w:w="108" w:type="dxa"/>
          </w:tblCellMar>
        </w:tblPrEx>
        <w:trPr>
          <w:trHeight w:val="720" w:hRule="atLeast"/>
        </w:trPr>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ind w:firstLine="440" w:firstLineChars="200"/>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单位基本情况统计指标</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包括统一社会信用代码、行业类别、单位规模、行业代码、区划代码、城乡代码、机构类型、登记注册类型等</w:t>
            </w:r>
          </w:p>
        </w:tc>
      </w:tr>
      <w:tr>
        <w:tblPrEx>
          <w:tblLayout w:type="fixed"/>
          <w:tblCellMar>
            <w:top w:w="0" w:type="dxa"/>
            <w:left w:w="108" w:type="dxa"/>
            <w:bottom w:w="0" w:type="dxa"/>
            <w:right w:w="108" w:type="dxa"/>
          </w:tblCellMar>
        </w:tblPrEx>
        <w:trPr>
          <w:trHeight w:val="720" w:hRule="atLeast"/>
        </w:trPr>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ind w:firstLine="440" w:firstLineChars="200"/>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财务状况统计指标</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包括资产负债、损益及分配、工业企业成本费用、人工成本、其他费用及增值税等</w:t>
            </w:r>
          </w:p>
        </w:tc>
      </w:tr>
      <w:tr>
        <w:tblPrEx>
          <w:tblLayout w:type="fixed"/>
          <w:tblCellMar>
            <w:top w:w="0" w:type="dxa"/>
            <w:left w:w="108" w:type="dxa"/>
            <w:bottom w:w="0" w:type="dxa"/>
            <w:right w:w="108" w:type="dxa"/>
          </w:tblCellMar>
        </w:tblPrEx>
        <w:trPr>
          <w:trHeight w:val="720" w:hRule="atLeast"/>
        </w:trPr>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信息化及电子商务情况统计指标</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包括信息通信技术(ICT)、电子数据交换(EDI)、射频识别（RFID）技术、云计算服务、物联网、人工智能、大数据分析、增材层制造（3D打印）、区块链、电子商务销售金额、电子商务采购金额等</w:t>
            </w:r>
          </w:p>
        </w:tc>
      </w:tr>
      <w:tr>
        <w:tblPrEx>
          <w:tblLayout w:type="fixed"/>
          <w:tblCellMar>
            <w:top w:w="0" w:type="dxa"/>
            <w:left w:w="108" w:type="dxa"/>
            <w:bottom w:w="0" w:type="dxa"/>
            <w:right w:w="108" w:type="dxa"/>
          </w:tblCellMar>
        </w:tblPrEx>
        <w:trPr>
          <w:trHeight w:val="720" w:hRule="atLeast"/>
        </w:trPr>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ind w:firstLine="440" w:firstLineChars="200"/>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农业统计指标</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xml:space="preserve">包括户籍户数、承包（确权）耕地的户数、户籍人口、耕地面积、承包（确权）耕地面积、耕地流入户（个）数、耕地流出户（个）数、耕地流入面积、耕地流出面积、实际经营耕地面积、能繁殖母猪等 </w:t>
            </w:r>
          </w:p>
        </w:tc>
      </w:tr>
      <w:tr>
        <w:tblPrEx>
          <w:tblLayout w:type="fixed"/>
          <w:tblCellMar>
            <w:top w:w="0" w:type="dxa"/>
            <w:left w:w="108" w:type="dxa"/>
            <w:bottom w:w="0" w:type="dxa"/>
            <w:right w:w="108" w:type="dxa"/>
          </w:tblCellMar>
        </w:tblPrEx>
        <w:trPr>
          <w:trHeight w:val="720" w:hRule="atLeast"/>
        </w:trPr>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ind w:firstLine="440" w:firstLineChars="200"/>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工业统计指标</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包括工业总产值（当年价格）、工业销售产值（当年价格）、出口交货值、生产能力、产品产量、生产能力利用率、期末用工人数等</w:t>
            </w:r>
          </w:p>
        </w:tc>
      </w:tr>
      <w:tr>
        <w:tblPrEx>
          <w:tblLayout w:type="fixed"/>
          <w:tblCellMar>
            <w:top w:w="0" w:type="dxa"/>
            <w:left w:w="108" w:type="dxa"/>
            <w:bottom w:w="0" w:type="dxa"/>
            <w:right w:w="108" w:type="dxa"/>
          </w:tblCellMar>
        </w:tblPrEx>
        <w:trPr>
          <w:trHeight w:val="720" w:hRule="atLeast"/>
        </w:trPr>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ind w:firstLine="440" w:firstLineChars="200"/>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建筑业统计指标</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包括签订合同额、上年结转合同额、装配式建筑工程产值、装饰装修产值、直接从建设单位承揽工程完成的产值、自行完成施工产值、分包出去工程的产值、建筑业总产值、住宅房屋等</w:t>
            </w:r>
          </w:p>
        </w:tc>
      </w:tr>
      <w:tr>
        <w:tblPrEx>
          <w:tblLayout w:type="fixed"/>
          <w:tblCellMar>
            <w:top w:w="0" w:type="dxa"/>
            <w:left w:w="108" w:type="dxa"/>
            <w:bottom w:w="0" w:type="dxa"/>
            <w:right w:w="108" w:type="dxa"/>
          </w:tblCellMar>
        </w:tblPrEx>
        <w:trPr>
          <w:trHeight w:val="720" w:hRule="atLeast"/>
        </w:trPr>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ind w:firstLine="440" w:firstLineChars="200"/>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批发和零售业统计指标</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包括商品购进额、商品销售额、通过公共网络实现的商品销售额、批发额、零售额、通过公共网络实现的零售额、期末商品库存额、服务营业额、商品销售量、商品库存量、社会消费品零售总额等</w:t>
            </w:r>
          </w:p>
        </w:tc>
      </w:tr>
      <w:tr>
        <w:tblPrEx>
          <w:tblLayout w:type="fixed"/>
          <w:tblCellMar>
            <w:top w:w="0" w:type="dxa"/>
            <w:left w:w="108" w:type="dxa"/>
            <w:bottom w:w="0" w:type="dxa"/>
            <w:right w:w="108" w:type="dxa"/>
          </w:tblCellMar>
        </w:tblPrEx>
        <w:trPr>
          <w:trHeight w:val="720" w:hRule="atLeast"/>
        </w:trPr>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ind w:firstLine="440" w:firstLineChars="200"/>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住宿和餐饮业统计指标</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包括营业额、客房收入、通过公共网络实现的客房收入、餐费收入、通过公共网络实现的餐费收入、商品销售额、客房数、餐位数、住宿和餐饮业年末餐饮营业面积等</w:t>
            </w:r>
          </w:p>
        </w:tc>
      </w:tr>
      <w:tr>
        <w:tblPrEx>
          <w:tblLayout w:type="fixed"/>
          <w:tblCellMar>
            <w:top w:w="0" w:type="dxa"/>
            <w:left w:w="108" w:type="dxa"/>
            <w:bottom w:w="0" w:type="dxa"/>
            <w:right w:w="108" w:type="dxa"/>
          </w:tblCellMar>
        </w:tblPrEx>
        <w:trPr>
          <w:trHeight w:val="1020" w:hRule="atLeast"/>
        </w:trPr>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ind w:firstLine="440" w:firstLineChars="200"/>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房地产开发统计指标</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项目代码、项目名称、项目规划占地面积、容积率、项目规划建筑面积、规划住宅套数、房屋新开工面积、房屋竣工面积、不可销售面积、住宅竣工套数、房屋竣工价值、房屋出租面积、商品房销售面积、商品房销售额、商品住宅销售套数、银行贷款、非银行金融机构贷款、个人按揭贷款等</w:t>
            </w:r>
          </w:p>
        </w:tc>
      </w:tr>
      <w:tr>
        <w:tblPrEx>
          <w:tblLayout w:type="fixed"/>
          <w:tblCellMar>
            <w:top w:w="0" w:type="dxa"/>
            <w:left w:w="108" w:type="dxa"/>
            <w:bottom w:w="0" w:type="dxa"/>
            <w:right w:w="108" w:type="dxa"/>
          </w:tblCellMar>
        </w:tblPrEx>
        <w:trPr>
          <w:trHeight w:val="720" w:hRule="atLeast"/>
        </w:trPr>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ind w:firstLine="440" w:firstLineChars="200"/>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服务业统计指标</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ind w:firstLine="440" w:firstLineChars="20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包括规模以上服务业净服务收入、信息化和电子商务的平台交易额、互联网平台、互联网金融的非银行支付机构网络支付业务金额、网络借贷、网络借贷借款金额、网络借贷余额等</w:t>
            </w:r>
          </w:p>
        </w:tc>
      </w:tr>
      <w:tr>
        <w:tblPrEx>
          <w:tblLayout w:type="fixed"/>
          <w:tblCellMar>
            <w:top w:w="0" w:type="dxa"/>
            <w:left w:w="108" w:type="dxa"/>
            <w:bottom w:w="0" w:type="dxa"/>
            <w:right w:w="108" w:type="dxa"/>
          </w:tblCellMar>
        </w:tblPrEx>
        <w:trPr>
          <w:trHeight w:val="1160" w:hRule="atLeast"/>
        </w:trPr>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ind w:firstLine="440" w:firstLineChars="200"/>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能源统计指标</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包括能源购进、消费与库存、能源消费量、工业企业能源消费量、能源加工转换投入、火力发电的加工转换投入、供热的加工转换投入、原煤入洗的加工转换投入、炼焦的加工转换投入、主要耗能工业企业单位产品能源消费情况、洗煤电力单耗、原煤的计量、能源生产、销售与库存、重点能源商品经销情况等</w:t>
            </w:r>
          </w:p>
        </w:tc>
      </w:tr>
      <w:tr>
        <w:tblPrEx>
          <w:tblLayout w:type="fixed"/>
          <w:tblCellMar>
            <w:top w:w="0" w:type="dxa"/>
            <w:left w:w="108" w:type="dxa"/>
            <w:bottom w:w="0" w:type="dxa"/>
            <w:right w:w="108" w:type="dxa"/>
          </w:tblCellMar>
        </w:tblPrEx>
        <w:trPr>
          <w:trHeight w:val="720" w:hRule="atLeast"/>
        </w:trPr>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ind w:firstLine="440" w:firstLineChars="200"/>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固定资产投资统计指标</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项目名称、项目行业编码、控股情况、建设性质、单纯建造生活设施、期末项目建设状态、.固定资产投资额和新增固定资产、固定资产投资额、建设用地费等</w:t>
            </w:r>
          </w:p>
        </w:tc>
      </w:tr>
    </w:tbl>
    <w:p>
      <w:pPr>
        <w:spacing w:after="120" w:line="360" w:lineRule="auto"/>
        <w:rPr>
          <w:rFonts w:ascii="Times New Roman" w:hAnsi="Times New Roman" w:eastAsia="宋体" w:cs="Times New Roman"/>
          <w:sz w:val="24"/>
        </w:rPr>
      </w:pPr>
    </w:p>
    <w:p>
      <w:pPr>
        <w:keepNext/>
        <w:keepLines/>
        <w:numPr>
          <w:ilvl w:val="3"/>
          <w:numId w:val="1"/>
        </w:numPr>
        <w:tabs>
          <w:tab w:val="left" w:pos="420"/>
        </w:tabs>
        <w:spacing w:before="120" w:after="120" w:line="372" w:lineRule="auto"/>
        <w:ind w:firstLine="1044"/>
        <w:outlineLvl w:val="3"/>
        <w:rPr>
          <w:rFonts w:ascii="Arial" w:hAnsi="Arial" w:eastAsia="黑体" w:cs="Times New Roman"/>
          <w:b/>
          <w:color w:val="000000"/>
          <w:sz w:val="28"/>
        </w:rPr>
      </w:pPr>
      <w:r>
        <w:rPr>
          <w:rFonts w:hint="eastAsia" w:ascii="Arial" w:hAnsi="Arial" w:eastAsia="黑体" w:cs="Times New Roman"/>
          <w:b/>
          <w:color w:val="000000"/>
          <w:sz w:val="28"/>
        </w:rPr>
        <w:t>报表分析系统建设</w:t>
      </w:r>
    </w:p>
    <w:p>
      <w:pPr>
        <w:spacing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为了在现有智能报表系统基础上，更好地服务于局内各业务处室，保障对各类基础报表、月度报表、季度报表、年度报表的顺利绘制，降低系统的操作难度，现亟需从通用性、易用性方面建设报表分析系统，其核心在于应用数字化的统计指标体系，实现真正的智能报表。</w:t>
      </w:r>
    </w:p>
    <w:p>
      <w:pPr>
        <w:spacing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报表分析系统需替代原有软件全部功能并适配各业务处室，实现各业务处室全流程计算。打破传统的基于表格的方式进行数据统计汇总的操作，改为基于统计数据源、统计指标，以自定义报表、公式的方式构建智能报表，完成相应的智能计算、汇总统计等，在行业内具有极大的创新性。</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color w:val="000000"/>
          <w:sz w:val="28"/>
        </w:rPr>
      </w:pPr>
      <w:r>
        <w:rPr>
          <w:rFonts w:hint="eastAsia" w:ascii="Times New Roman" w:hAnsi="Times New Roman" w:eastAsia="宋体" w:cs="Times New Roman"/>
          <w:b/>
          <w:color w:val="000000"/>
          <w:sz w:val="28"/>
        </w:rPr>
        <w:t>统计汇总</w:t>
      </w:r>
    </w:p>
    <w:p>
      <w:pPr>
        <w:spacing w:line="360" w:lineRule="auto"/>
        <w:ind w:firstLine="480" w:firstLineChars="200"/>
        <w:rPr>
          <w:rFonts w:ascii="宋体" w:hAnsi="宋体" w:eastAsia="宋体" w:cs="Times New Roman"/>
          <w:color w:val="000000"/>
          <w:kern w:val="0"/>
          <w:sz w:val="24"/>
        </w:rPr>
      </w:pPr>
      <w:r>
        <w:rPr>
          <w:rFonts w:hint="eastAsia" w:ascii="宋体" w:hAnsi="宋体" w:eastAsia="宋体" w:cs="Times New Roman"/>
          <w:color w:val="000000"/>
          <w:kern w:val="0"/>
          <w:sz w:val="24"/>
        </w:rPr>
        <w:t>系统在使用过程中，存储的数据会逐渐丰富，为了提升数据的稳定性、不同子单位对数据获取的准确性和实时性，系统将不同指标分到不同的处室下，有严格的权限管理，系统支持各专业处室一些特殊情况的计算，再勾选要统计的维度信息和年月信息即可生成汇总结果，结果可保存为专业表。</w:t>
      </w:r>
    </w:p>
    <w:p>
      <w:pPr>
        <w:keepNext/>
        <w:keepLines/>
        <w:numPr>
          <w:ilvl w:val="5"/>
          <w:numId w:val="1"/>
        </w:numPr>
        <w:tabs>
          <w:tab w:val="left" w:pos="420"/>
        </w:tabs>
        <w:spacing w:before="240" w:after="64" w:line="317" w:lineRule="auto"/>
        <w:ind w:firstLine="482"/>
        <w:outlineLvl w:val="5"/>
        <w:rPr>
          <w:rFonts w:ascii="Arial" w:hAnsi="Arial" w:eastAsia="黑体" w:cs="Times New Roman"/>
          <w:b/>
          <w:color w:val="000000"/>
          <w:sz w:val="24"/>
        </w:rPr>
      </w:pPr>
      <w:r>
        <w:rPr>
          <w:rFonts w:hint="eastAsia" w:ascii="Arial" w:hAnsi="Arial" w:eastAsia="黑体" w:cs="Times New Roman"/>
          <w:b/>
          <w:color w:val="000000"/>
          <w:sz w:val="24"/>
        </w:rPr>
        <w:t>指标管理</w:t>
      </w:r>
    </w:p>
    <w:p>
      <w:pPr>
        <w:spacing w:line="360" w:lineRule="auto"/>
        <w:ind w:firstLine="480" w:firstLineChars="200"/>
        <w:rPr>
          <w:rFonts w:ascii="Times New Roman" w:hAnsi="Times New Roman" w:eastAsia="宋体" w:cs="Times New Roman"/>
          <w:color w:val="000000"/>
          <w:sz w:val="24"/>
        </w:rPr>
      </w:pPr>
      <w:r>
        <w:rPr>
          <w:rFonts w:hint="eastAsia" w:ascii="Times New Roman" w:hAnsi="Times New Roman" w:eastAsia="宋体" w:cs="Times New Roman"/>
          <w:color w:val="000000"/>
          <w:sz w:val="24"/>
        </w:rPr>
        <w:t>各个处室都有一套属于该处室的指标树，将各专业处室指标分为基础指标、计算指标和汇总指标三类，每一个计算指标和汇总指标都需要使用相应的公式，计算指标是由基础指标经过计算得到的，汇总指标是经过基础指标和计算指标经过汇总计算后得到的指标。在部分报表绘制的过程中，有的汇总指标创建公式十分复杂，甚至无法完成创建，通过这种方式极大地降低了汇总指标的编写难度。</w:t>
      </w:r>
    </w:p>
    <w:p>
      <w:pPr>
        <w:spacing w:line="360" w:lineRule="auto"/>
        <w:rPr>
          <w:rFonts w:ascii="Times New Roman" w:hAnsi="Times New Roman" w:eastAsia="宋体" w:cs="Times New Roman"/>
          <w:color w:val="000000"/>
          <w:sz w:val="24"/>
        </w:rPr>
      </w:pPr>
      <w:r>
        <w:rPr>
          <w:rFonts w:hint="eastAsia" w:ascii="Times New Roman" w:hAnsi="Times New Roman" w:eastAsia="宋体" w:cs="Times New Roman"/>
          <w:color w:val="000000"/>
          <w:sz w:val="24"/>
        </w:rPr>
        <w:t>基础指标不支持通过前端页面增删改查，支持计算指标、汇总指标及指标项的新增和删除，可灵活实现指标的定义。</w:t>
      </w:r>
    </w:p>
    <w:p>
      <w:pPr>
        <w:spacing w:after="120" w:line="360" w:lineRule="auto"/>
        <w:ind w:firstLine="480" w:firstLineChars="200"/>
        <w:rPr>
          <w:rFonts w:ascii="Times New Roman" w:hAnsi="Times New Roman" w:eastAsia="宋体" w:cs="Times New Roman"/>
          <w:color w:val="000000"/>
          <w:sz w:val="24"/>
        </w:rPr>
      </w:pPr>
      <w:r>
        <w:rPr>
          <w:rFonts w:hint="eastAsia" w:ascii="Times New Roman" w:hAnsi="Times New Roman" w:eastAsia="宋体" w:cs="Times New Roman"/>
          <w:color w:val="000000"/>
          <w:sz w:val="24"/>
        </w:rPr>
        <w:t>系统支持通过精准查询、模糊检索等方式对指标进行选取。系统支持指标的编辑功能，包括对指标的增、删，且编辑完后，系统中的数据可以及时更新。此功能需要由权限控制，例如工业处室只能增加工业处室的指标，不能增加其他处室的指标，这样可以避免大范围的数据编辑操作导致的数据混乱。</w:t>
      </w:r>
    </w:p>
    <w:p>
      <w:pPr>
        <w:keepNext/>
        <w:keepLines/>
        <w:numPr>
          <w:ilvl w:val="6"/>
          <w:numId w:val="1"/>
        </w:numPr>
        <w:tabs>
          <w:tab w:val="left" w:pos="420"/>
        </w:tabs>
        <w:spacing w:before="240" w:after="64" w:line="317" w:lineRule="auto"/>
        <w:ind w:firstLine="482" w:firstLineChars="200"/>
        <w:outlineLvl w:val="6"/>
        <w:rPr>
          <w:rFonts w:ascii="Times New Roman" w:hAnsi="Times New Roman" w:eastAsia="宋体" w:cs="Times New Roman"/>
          <w:b/>
          <w:color w:val="000000"/>
          <w:sz w:val="24"/>
        </w:rPr>
      </w:pPr>
      <w:r>
        <w:rPr>
          <w:rFonts w:hint="eastAsia" w:ascii="Times New Roman" w:hAnsi="Times New Roman" w:eastAsia="宋体" w:cs="Times New Roman"/>
          <w:b/>
          <w:color w:val="000000"/>
          <w:sz w:val="24"/>
        </w:rPr>
        <w:t>新增指标</w:t>
      </w:r>
    </w:p>
    <w:p>
      <w:pPr>
        <w:spacing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界面支持新增计算指标和汇总指标的指标信息和指标项，通用基础指标和各处室基础指标需要在后台添加。如现在系统已有的贸易处的计算指标逐月累加，添加完指标信息后，可以在指标信息下添加指标项，添加指标项时需要选择公式和公式里参数的数据来源，其中计算指标的数据来源包括通用基础指标和处室基础指标，汇总指标的数据来源除了通用基础指标和处室基础指标外还包括计算指标。</w:t>
      </w:r>
    </w:p>
    <w:p>
      <w:pPr>
        <w:keepNext/>
        <w:keepLines/>
        <w:numPr>
          <w:ilvl w:val="6"/>
          <w:numId w:val="1"/>
        </w:numPr>
        <w:tabs>
          <w:tab w:val="left" w:pos="420"/>
        </w:tabs>
        <w:spacing w:before="240" w:after="64" w:line="317" w:lineRule="auto"/>
        <w:ind w:firstLine="482" w:firstLineChars="200"/>
        <w:outlineLvl w:val="6"/>
        <w:rPr>
          <w:rFonts w:ascii="Times New Roman" w:hAnsi="Times New Roman" w:eastAsia="宋体" w:cs="Times New Roman"/>
          <w:b/>
          <w:color w:val="000000"/>
          <w:sz w:val="24"/>
        </w:rPr>
      </w:pPr>
      <w:r>
        <w:rPr>
          <w:rFonts w:hint="eastAsia" w:ascii="Times New Roman" w:hAnsi="Times New Roman" w:eastAsia="宋体" w:cs="Times New Roman"/>
          <w:b/>
          <w:color w:val="000000"/>
          <w:sz w:val="24"/>
        </w:rPr>
        <w:t>删除指标</w:t>
      </w:r>
    </w:p>
    <w:p>
      <w:pPr>
        <w:spacing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对于不需要的计算指标和汇总指标的指标信息和指标项可以在界面上删除，需要先删除完指标项，才能删除某指标信息。另外，对于被汇总指标依赖的计算指标，需要先删除汇总指标，才能删除计算指标。</w:t>
      </w:r>
    </w:p>
    <w:p>
      <w:pPr>
        <w:keepNext/>
        <w:keepLines/>
        <w:numPr>
          <w:ilvl w:val="6"/>
          <w:numId w:val="1"/>
        </w:numPr>
        <w:tabs>
          <w:tab w:val="left" w:pos="420"/>
        </w:tabs>
        <w:spacing w:before="240" w:after="64" w:line="317" w:lineRule="auto"/>
        <w:ind w:firstLine="482" w:firstLineChars="200"/>
        <w:outlineLvl w:val="6"/>
        <w:rPr>
          <w:rFonts w:ascii="Times New Roman" w:hAnsi="Times New Roman" w:eastAsia="宋体" w:cs="Times New Roman"/>
          <w:b/>
          <w:color w:val="000000"/>
          <w:sz w:val="24"/>
        </w:rPr>
      </w:pPr>
      <w:r>
        <w:rPr>
          <w:rFonts w:hint="eastAsia" w:ascii="Times New Roman" w:hAnsi="Times New Roman" w:eastAsia="宋体" w:cs="Times New Roman"/>
          <w:b/>
          <w:color w:val="000000"/>
          <w:sz w:val="24"/>
        </w:rPr>
        <w:t>查看指标</w:t>
      </w:r>
    </w:p>
    <w:p>
      <w:pPr>
        <w:spacing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可以看见创建的指标和指标项的详细信息，方便客户快速理解和使用。</w:t>
      </w:r>
    </w:p>
    <w:p>
      <w:pPr>
        <w:keepNext/>
        <w:keepLines/>
        <w:numPr>
          <w:ilvl w:val="5"/>
          <w:numId w:val="1"/>
        </w:numPr>
        <w:tabs>
          <w:tab w:val="left" w:pos="420"/>
        </w:tabs>
        <w:spacing w:before="240" w:after="64" w:line="317" w:lineRule="auto"/>
        <w:ind w:firstLine="482"/>
        <w:outlineLvl w:val="5"/>
        <w:rPr>
          <w:rFonts w:ascii="Arial" w:hAnsi="Arial" w:eastAsia="黑体" w:cs="Times New Roman"/>
          <w:b/>
          <w:color w:val="000000"/>
          <w:sz w:val="24"/>
        </w:rPr>
      </w:pPr>
      <w:r>
        <w:rPr>
          <w:rFonts w:hint="eastAsia" w:ascii="Arial" w:hAnsi="Arial" w:eastAsia="黑体" w:cs="Times New Roman"/>
          <w:b/>
          <w:color w:val="000000"/>
          <w:sz w:val="24"/>
        </w:rPr>
        <w:t>维度管理</w:t>
      </w:r>
    </w:p>
    <w:p>
      <w:pPr>
        <w:spacing w:after="120" w:line="360" w:lineRule="auto"/>
        <w:ind w:firstLine="480" w:firstLineChars="200"/>
        <w:rPr>
          <w:rFonts w:ascii="Times New Roman" w:hAnsi="Times New Roman" w:eastAsia="宋体" w:cs="Times New Roman"/>
          <w:color w:val="000000"/>
          <w:sz w:val="24"/>
        </w:rPr>
      </w:pPr>
      <w:r>
        <w:rPr>
          <w:rFonts w:hint="eastAsia" w:ascii="Times New Roman" w:hAnsi="Times New Roman" w:eastAsia="宋体" w:cs="Times New Roman"/>
          <w:color w:val="000000"/>
          <w:sz w:val="24"/>
        </w:rPr>
        <w:t>维度来自于201表，支持自定义维度，灵活实现东部地区、战新行业等特殊维度的统计。基于统计维度集合，系统支持从维度集合中选择多级维度参数，实时在主栏呈现，系统还支持通过拖拽的方式构造树状维度。</w:t>
      </w:r>
    </w:p>
    <w:p>
      <w:pPr>
        <w:keepNext/>
        <w:keepLines/>
        <w:numPr>
          <w:ilvl w:val="6"/>
          <w:numId w:val="1"/>
        </w:numPr>
        <w:tabs>
          <w:tab w:val="left" w:pos="420"/>
        </w:tabs>
        <w:spacing w:before="240" w:after="64" w:line="317" w:lineRule="auto"/>
        <w:ind w:firstLine="482" w:firstLineChars="200"/>
        <w:outlineLvl w:val="6"/>
        <w:rPr>
          <w:rFonts w:ascii="Times New Roman" w:hAnsi="Times New Roman" w:eastAsia="宋体" w:cs="Times New Roman"/>
          <w:b/>
          <w:color w:val="000000"/>
          <w:sz w:val="24"/>
        </w:rPr>
      </w:pPr>
      <w:r>
        <w:rPr>
          <w:rFonts w:hint="eastAsia" w:ascii="Times New Roman" w:hAnsi="Times New Roman" w:eastAsia="宋体" w:cs="Times New Roman"/>
          <w:b/>
          <w:color w:val="000000"/>
          <w:sz w:val="24"/>
        </w:rPr>
        <w:t>添加自定义维度</w:t>
      </w:r>
    </w:p>
    <w:p>
      <w:pPr>
        <w:spacing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对于一些特殊的维度统计，现在也可以完成，如战新行业和东部地区等，添加自定义维度时，需要写入公式内容，公式里参数的数据来源即可。</w:t>
      </w:r>
    </w:p>
    <w:p>
      <w:pPr>
        <w:keepNext/>
        <w:keepLines/>
        <w:numPr>
          <w:ilvl w:val="6"/>
          <w:numId w:val="1"/>
        </w:numPr>
        <w:tabs>
          <w:tab w:val="left" w:pos="420"/>
        </w:tabs>
        <w:spacing w:before="240" w:after="64" w:line="317" w:lineRule="auto"/>
        <w:ind w:firstLine="482" w:firstLineChars="200"/>
        <w:outlineLvl w:val="6"/>
        <w:rPr>
          <w:rFonts w:ascii="Times New Roman" w:hAnsi="Times New Roman" w:eastAsia="宋体" w:cs="Times New Roman"/>
          <w:b/>
          <w:color w:val="000000"/>
          <w:sz w:val="24"/>
        </w:rPr>
      </w:pPr>
      <w:r>
        <w:rPr>
          <w:rFonts w:hint="eastAsia" w:ascii="Times New Roman" w:hAnsi="Times New Roman" w:eastAsia="宋体" w:cs="Times New Roman"/>
          <w:b/>
          <w:color w:val="000000"/>
          <w:sz w:val="24"/>
        </w:rPr>
        <w:t>删除自定义维度</w:t>
      </w:r>
    </w:p>
    <w:p>
      <w:pPr>
        <w:spacing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因统计方式可能会有变化，即维度也会发生改变，旧的统计维度我们可以进行删除，需先删除维度项，当维度下没有挂载维度项时才能删除</w:t>
      </w:r>
    </w:p>
    <w:p>
      <w:pPr>
        <w:keepNext/>
        <w:keepLines/>
        <w:numPr>
          <w:ilvl w:val="6"/>
          <w:numId w:val="1"/>
        </w:numPr>
        <w:tabs>
          <w:tab w:val="left" w:pos="420"/>
        </w:tabs>
        <w:spacing w:before="240" w:after="64" w:line="317" w:lineRule="auto"/>
        <w:ind w:firstLine="482" w:firstLineChars="200"/>
        <w:outlineLvl w:val="6"/>
        <w:rPr>
          <w:rFonts w:ascii="Times New Roman" w:hAnsi="Times New Roman" w:eastAsia="宋体" w:cs="Times New Roman"/>
          <w:b/>
          <w:color w:val="000000"/>
          <w:sz w:val="24"/>
        </w:rPr>
      </w:pPr>
      <w:r>
        <w:rPr>
          <w:rFonts w:hint="eastAsia" w:ascii="Times New Roman" w:hAnsi="Times New Roman" w:eastAsia="宋体" w:cs="Times New Roman"/>
          <w:b/>
          <w:color w:val="000000"/>
          <w:sz w:val="24"/>
        </w:rPr>
        <w:t>修改已定义的维度</w:t>
      </w:r>
    </w:p>
    <w:p>
      <w:pPr>
        <w:spacing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为了方便使用，支持修改已定义的维度，可以按需更新公式内容以及公式参数的数据来源。</w:t>
      </w:r>
    </w:p>
    <w:p>
      <w:pPr>
        <w:keepNext/>
        <w:keepLines/>
        <w:numPr>
          <w:ilvl w:val="6"/>
          <w:numId w:val="1"/>
        </w:numPr>
        <w:tabs>
          <w:tab w:val="left" w:pos="420"/>
        </w:tabs>
        <w:spacing w:before="240" w:after="64" w:line="317" w:lineRule="auto"/>
        <w:ind w:firstLine="482" w:firstLineChars="200"/>
        <w:outlineLvl w:val="6"/>
        <w:rPr>
          <w:rFonts w:ascii="Times New Roman" w:hAnsi="Times New Roman" w:eastAsia="宋体" w:cs="Times New Roman"/>
          <w:b/>
          <w:color w:val="000000"/>
          <w:sz w:val="24"/>
        </w:rPr>
      </w:pPr>
      <w:r>
        <w:rPr>
          <w:rFonts w:hint="eastAsia" w:ascii="Times New Roman" w:hAnsi="Times New Roman" w:eastAsia="宋体" w:cs="Times New Roman"/>
          <w:b/>
          <w:color w:val="000000"/>
          <w:sz w:val="24"/>
        </w:rPr>
        <w:t>查看自定义维度</w:t>
      </w:r>
    </w:p>
    <w:p>
      <w:pPr>
        <w:spacing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可以看见创建的维度和维度项的详细信息，方便客户快速理解和使用。</w:t>
      </w:r>
    </w:p>
    <w:p>
      <w:pPr>
        <w:keepNext/>
        <w:keepLines/>
        <w:numPr>
          <w:ilvl w:val="6"/>
          <w:numId w:val="1"/>
        </w:numPr>
        <w:tabs>
          <w:tab w:val="left" w:pos="420"/>
        </w:tabs>
        <w:spacing w:before="240" w:after="64" w:line="317" w:lineRule="auto"/>
        <w:ind w:firstLine="482" w:firstLineChars="200"/>
        <w:outlineLvl w:val="6"/>
        <w:rPr>
          <w:rFonts w:ascii="Times New Roman" w:hAnsi="Times New Roman" w:eastAsia="宋体" w:cs="Times New Roman"/>
          <w:b/>
          <w:color w:val="000000"/>
          <w:sz w:val="24"/>
        </w:rPr>
      </w:pPr>
      <w:r>
        <w:rPr>
          <w:rFonts w:hint="eastAsia" w:ascii="Times New Roman" w:hAnsi="Times New Roman" w:eastAsia="宋体" w:cs="Times New Roman"/>
          <w:b/>
          <w:color w:val="000000"/>
          <w:sz w:val="24"/>
        </w:rPr>
        <w:t>树状维度</w:t>
      </w:r>
    </w:p>
    <w:p>
      <w:pPr>
        <w:spacing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支持通过拖拽的方式构造树状维度，支持三层及三层以内的树状维度。</w:t>
      </w:r>
    </w:p>
    <w:p>
      <w:pPr>
        <w:keepNext/>
        <w:keepLines/>
        <w:numPr>
          <w:ilvl w:val="5"/>
          <w:numId w:val="1"/>
        </w:numPr>
        <w:tabs>
          <w:tab w:val="left" w:pos="420"/>
        </w:tabs>
        <w:spacing w:before="240" w:after="64" w:line="317" w:lineRule="auto"/>
        <w:ind w:firstLine="482"/>
        <w:outlineLvl w:val="5"/>
        <w:rPr>
          <w:rFonts w:ascii="Arial" w:hAnsi="Arial" w:eastAsia="黑体" w:cs="Times New Roman"/>
          <w:b/>
          <w:color w:val="000000"/>
          <w:sz w:val="24"/>
        </w:rPr>
      </w:pPr>
      <w:r>
        <w:rPr>
          <w:rFonts w:hint="eastAsia" w:ascii="Arial" w:hAnsi="Arial" w:eastAsia="黑体" w:cs="Times New Roman"/>
          <w:b/>
          <w:color w:val="000000"/>
          <w:sz w:val="24"/>
        </w:rPr>
        <w:t>数据汇总</w:t>
      </w:r>
    </w:p>
    <w:p>
      <w:pPr>
        <w:spacing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鼠标勾选指标和维度，支持多级指标和多级维度、支持跨年份跨月份的一键查询，同时，支持单个月份条件下指标维度的转置功能和设置小数点位数功能。</w:t>
      </w:r>
    </w:p>
    <w:p>
      <w:pPr>
        <w:keepNext/>
        <w:keepLines/>
        <w:numPr>
          <w:ilvl w:val="5"/>
          <w:numId w:val="1"/>
        </w:numPr>
        <w:tabs>
          <w:tab w:val="left" w:pos="420"/>
        </w:tabs>
        <w:spacing w:before="240" w:after="64" w:line="317" w:lineRule="auto"/>
        <w:ind w:firstLine="482"/>
        <w:outlineLvl w:val="5"/>
        <w:rPr>
          <w:rFonts w:ascii="Arial" w:hAnsi="Arial" w:eastAsia="黑体" w:cs="Times New Roman"/>
          <w:b/>
          <w:color w:val="000000"/>
          <w:sz w:val="24"/>
        </w:rPr>
      </w:pPr>
      <w:r>
        <w:rPr>
          <w:rFonts w:hint="eastAsia" w:ascii="Arial" w:hAnsi="Arial" w:eastAsia="黑体" w:cs="Times New Roman"/>
          <w:b/>
          <w:color w:val="000000"/>
          <w:sz w:val="24"/>
        </w:rPr>
        <w:t>保存到专业表</w:t>
      </w:r>
    </w:p>
    <w:p>
      <w:pPr>
        <w:spacing w:after="120" w:line="360" w:lineRule="auto"/>
        <w:ind w:firstLine="480" w:firstLineChars="200"/>
        <w:rPr>
          <w:rFonts w:ascii="Times New Roman" w:hAnsi="Times New Roman" w:eastAsia="宋体" w:cs="Times New Roman"/>
          <w:color w:val="000000"/>
          <w:sz w:val="24"/>
        </w:rPr>
      </w:pPr>
      <w:r>
        <w:rPr>
          <w:rFonts w:hint="eastAsia" w:ascii="Times New Roman" w:hAnsi="Times New Roman" w:eastAsia="宋体" w:cs="Times New Roman"/>
          <w:color w:val="000000"/>
          <w:sz w:val="24"/>
        </w:rPr>
        <w:t>系统将实现基于多表取数的汇总指标的计算，支持一个汇总指标的获取既要满足主表于关联表的关联条件，又要满足关联表相互之间的关联条件。</w:t>
      </w:r>
    </w:p>
    <w:p>
      <w:pPr>
        <w:spacing w:after="120" w:line="360" w:lineRule="auto"/>
        <w:ind w:firstLine="480" w:firstLineChars="200"/>
        <w:jc w:val="left"/>
        <w:rPr>
          <w:rFonts w:ascii="Times New Roman" w:hAnsi="Times New Roman" w:eastAsia="宋体" w:cs="Times New Roman"/>
          <w:color w:val="000000"/>
          <w:sz w:val="24"/>
        </w:rPr>
      </w:pPr>
      <w:r>
        <w:rPr>
          <w:rFonts w:hint="eastAsia" w:ascii="Times New Roman" w:hAnsi="Times New Roman" w:eastAsia="宋体" w:cs="Times New Roman"/>
          <w:color w:val="000000"/>
          <w:sz w:val="24"/>
        </w:rPr>
        <w:t>系统根据每个汇总指标对源数据的要求定义出数据规则，界面上支持用户手动添加计算指标和汇总指标，汇总指标可依赖于计算指标和基础指标，每个汇总指标都需要选择相应的计算公式，然后指明计算公式中的参数的数据来源即可实现汇总指标的计算。</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color w:val="000000"/>
          <w:sz w:val="28"/>
        </w:rPr>
      </w:pPr>
      <w:r>
        <w:rPr>
          <w:rFonts w:ascii="Times New Roman" w:hAnsi="Times New Roman" w:eastAsia="宋体" w:cs="Times New Roman"/>
          <w:b/>
          <w:bCs/>
          <w:color w:val="000000"/>
          <w:sz w:val="28"/>
        </w:rPr>
        <w:t>公式管理</w:t>
      </w:r>
    </w:p>
    <w:p>
      <w:pPr>
        <w:spacing w:after="120" w:line="360" w:lineRule="auto"/>
        <w:ind w:firstLine="480" w:firstLineChars="200"/>
        <w:rPr>
          <w:rFonts w:ascii="Times New Roman" w:hAnsi="Times New Roman" w:eastAsia="宋体" w:cs="Times New Roman"/>
          <w:color w:val="000000"/>
          <w:sz w:val="24"/>
        </w:rPr>
      </w:pPr>
      <w:r>
        <w:rPr>
          <w:rFonts w:hint="eastAsia" w:ascii="Times New Roman" w:hAnsi="Times New Roman" w:eastAsia="宋体" w:cs="Times New Roman"/>
          <w:color w:val="000000"/>
          <w:sz w:val="24"/>
        </w:rPr>
        <w:t>统计系统各个专业的统计内容不同，计算方法也有不尽相同。为了满足不同专业的不同计算需求，因此要开发相对自定义程度较大的公式编辑器。编辑器提供灵活便捷的公式编辑能力，支持输入运算方法、判断条件等，也可以预制部分公式，并且同时可以通过前端在智能报表系统中的公式管理模块，按需自定义公式，如贸易处的逐月累加</w:t>
      </w:r>
      <w:r>
        <w:rPr>
          <w:rFonts w:hint="eastAsia" w:ascii="Times New Roman" w:hAnsi="Times New Roman" w:eastAsia="宋体" w:cs="Times New Roman"/>
          <w:color w:val="000000"/>
          <w:sz w:val="24"/>
          <w:lang w:eastAsia="zh-CN"/>
        </w:rPr>
        <w:t>、工业处的工业增加值、能源处的等价值能耗、核算处的GDP核算</w:t>
      </w:r>
      <w:r>
        <w:rPr>
          <w:rFonts w:hint="eastAsia" w:ascii="Times New Roman" w:hAnsi="Times New Roman" w:eastAsia="宋体" w:cs="Times New Roman"/>
          <w:color w:val="000000"/>
          <w:sz w:val="24"/>
        </w:rPr>
        <w:t>等，并对公式进行增加、删除、修改。在统计汇总模块中，新建计算指标和汇总指标时，可以选择需要的公式，同时指明公式参数的含义，再选择维度、年月份即可进行查询，也能一定程度的设置使用公式后返回数据的精度，极大程度地满足了要灵活运算和处理不同专业处室的特殊情况的要求。</w:t>
      </w:r>
    </w:p>
    <w:p>
      <w:pPr>
        <w:keepNext/>
        <w:keepLines/>
        <w:numPr>
          <w:ilvl w:val="5"/>
          <w:numId w:val="1"/>
        </w:numPr>
        <w:tabs>
          <w:tab w:val="left" w:pos="420"/>
        </w:tabs>
        <w:spacing w:before="240" w:after="64" w:line="317" w:lineRule="auto"/>
        <w:ind w:firstLine="482"/>
        <w:outlineLvl w:val="5"/>
        <w:rPr>
          <w:rFonts w:ascii="Arial" w:hAnsi="Arial" w:eastAsia="黑体" w:cs="Times New Roman"/>
          <w:b/>
          <w:color w:val="000000"/>
          <w:sz w:val="24"/>
        </w:rPr>
      </w:pPr>
      <w:r>
        <w:rPr>
          <w:rFonts w:hint="eastAsia" w:ascii="Arial" w:hAnsi="Arial" w:eastAsia="黑体" w:cs="Times New Roman"/>
          <w:b/>
          <w:color w:val="000000"/>
          <w:sz w:val="24"/>
        </w:rPr>
        <w:t>创建公式</w:t>
      </w:r>
    </w:p>
    <w:p>
      <w:pPr>
        <w:spacing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界面上支持创建非内置公式，有很多指标是需要经过一定的运算才可以得到的，例如逐月累加，需要创建一个公式来对其进行运算。点击添加公式，输入公式名称、公式内容、返回数据类型、公式里参数的类型即可完成创建。</w:t>
      </w:r>
    </w:p>
    <w:p>
      <w:pPr>
        <w:keepNext/>
        <w:keepLines/>
        <w:numPr>
          <w:ilvl w:val="5"/>
          <w:numId w:val="1"/>
        </w:numPr>
        <w:tabs>
          <w:tab w:val="left" w:pos="420"/>
        </w:tabs>
        <w:spacing w:before="240" w:after="64" w:line="317" w:lineRule="auto"/>
        <w:ind w:firstLine="482"/>
        <w:outlineLvl w:val="5"/>
        <w:rPr>
          <w:rFonts w:ascii="Arial" w:hAnsi="Arial" w:eastAsia="黑体" w:cs="Times New Roman"/>
          <w:b/>
          <w:color w:val="000000"/>
          <w:sz w:val="24"/>
        </w:rPr>
      </w:pPr>
      <w:r>
        <w:rPr>
          <w:rFonts w:hint="eastAsia" w:ascii="Arial" w:hAnsi="Arial" w:eastAsia="黑体" w:cs="Times New Roman"/>
          <w:b/>
          <w:color w:val="000000"/>
          <w:sz w:val="24"/>
        </w:rPr>
        <w:t>删除公式</w:t>
      </w:r>
    </w:p>
    <w:p>
      <w:pPr>
        <w:spacing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可以删除没有被使用的公式，被使用的公式不允许被删除。</w:t>
      </w:r>
    </w:p>
    <w:p>
      <w:pPr>
        <w:keepNext/>
        <w:keepLines/>
        <w:numPr>
          <w:ilvl w:val="5"/>
          <w:numId w:val="1"/>
        </w:numPr>
        <w:tabs>
          <w:tab w:val="left" w:pos="420"/>
        </w:tabs>
        <w:spacing w:before="240" w:after="64" w:line="317" w:lineRule="auto"/>
        <w:ind w:firstLine="482"/>
        <w:outlineLvl w:val="5"/>
        <w:rPr>
          <w:rFonts w:ascii="Arial" w:hAnsi="Arial" w:eastAsia="黑体" w:cs="Times New Roman"/>
          <w:b/>
          <w:color w:val="000000"/>
          <w:sz w:val="24"/>
        </w:rPr>
      </w:pPr>
      <w:r>
        <w:rPr>
          <w:rFonts w:hint="eastAsia" w:ascii="Arial" w:hAnsi="Arial" w:eastAsia="黑体" w:cs="Times New Roman"/>
          <w:b/>
          <w:color w:val="000000"/>
          <w:sz w:val="24"/>
        </w:rPr>
        <w:t>查看公式</w:t>
      </w:r>
    </w:p>
    <w:p>
      <w:pPr>
        <w:spacing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点击公式后面的“详情”按钮，可详细查看非内置公式的公式内容，对于内置公式，也可查看但不能查看公式内容。</w:t>
      </w:r>
    </w:p>
    <w:p>
      <w:pPr>
        <w:keepNext/>
        <w:keepLines/>
        <w:numPr>
          <w:ilvl w:val="5"/>
          <w:numId w:val="1"/>
        </w:numPr>
        <w:tabs>
          <w:tab w:val="left" w:pos="420"/>
        </w:tabs>
        <w:spacing w:before="240" w:after="64" w:line="317" w:lineRule="auto"/>
        <w:ind w:firstLine="482"/>
        <w:outlineLvl w:val="5"/>
        <w:rPr>
          <w:rFonts w:ascii="Arial" w:hAnsi="Arial" w:eastAsia="黑体" w:cs="Times New Roman"/>
          <w:b/>
          <w:color w:val="000000"/>
          <w:sz w:val="24"/>
        </w:rPr>
      </w:pPr>
      <w:r>
        <w:rPr>
          <w:rFonts w:hint="eastAsia" w:ascii="Arial" w:hAnsi="Arial" w:eastAsia="黑体" w:cs="Times New Roman"/>
          <w:b/>
          <w:color w:val="000000"/>
          <w:sz w:val="24"/>
        </w:rPr>
        <w:t>修改公式</w:t>
      </w:r>
    </w:p>
    <w:p>
      <w:pPr>
        <w:spacing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支持对公式进行修改。</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color w:val="000000"/>
          <w:sz w:val="28"/>
        </w:rPr>
      </w:pPr>
      <w:r>
        <w:rPr>
          <w:rFonts w:hint="eastAsia" w:ascii="Times New Roman" w:hAnsi="Times New Roman" w:eastAsia="宋体" w:cs="Times New Roman"/>
          <w:b/>
          <w:color w:val="000000"/>
          <w:sz w:val="28"/>
        </w:rPr>
        <w:t>专业数据管理</w:t>
      </w:r>
    </w:p>
    <w:p>
      <w:pPr>
        <w:keepNext/>
        <w:keepLines/>
        <w:numPr>
          <w:ilvl w:val="5"/>
          <w:numId w:val="1"/>
        </w:numPr>
        <w:tabs>
          <w:tab w:val="left" w:pos="420"/>
        </w:tabs>
        <w:spacing w:before="240" w:after="64" w:line="317" w:lineRule="auto"/>
        <w:ind w:firstLine="482"/>
        <w:outlineLvl w:val="5"/>
        <w:rPr>
          <w:rFonts w:ascii="Arial" w:hAnsi="Arial" w:eastAsia="黑体" w:cs="Times New Roman"/>
          <w:b/>
          <w:color w:val="000000"/>
          <w:sz w:val="24"/>
        </w:rPr>
      </w:pPr>
      <w:r>
        <w:rPr>
          <w:rFonts w:hint="eastAsia" w:ascii="Arial" w:hAnsi="Arial" w:eastAsia="黑体" w:cs="Times New Roman"/>
          <w:b/>
          <w:color w:val="000000"/>
          <w:sz w:val="24"/>
        </w:rPr>
        <w:t>专业表管理</w:t>
      </w:r>
    </w:p>
    <w:p>
      <w:pPr>
        <w:spacing w:after="120" w:line="360" w:lineRule="auto"/>
        <w:ind w:firstLine="480"/>
        <w:rPr>
          <w:rFonts w:ascii="Times New Roman" w:hAnsi="Times New Roman" w:eastAsia="宋体" w:cs="Times New Roman"/>
          <w:color w:val="000000"/>
          <w:sz w:val="24"/>
        </w:rPr>
      </w:pPr>
      <w:r>
        <w:rPr>
          <w:rFonts w:hint="eastAsia" w:ascii="Times New Roman" w:hAnsi="Times New Roman" w:eastAsia="宋体" w:cs="Times New Roman"/>
          <w:color w:val="000000"/>
          <w:sz w:val="24"/>
        </w:rPr>
        <w:t>专业报表管理是指对专业库的报表进行统一管理，包括添加专业表、编辑器需专业表、删除专业表信息以及查询专业表数据的功能。系统不仅支持查看专业报表数据，还支持用户根据实际情况调整报表数据。</w:t>
      </w:r>
    </w:p>
    <w:p>
      <w:pPr>
        <w:keepNext/>
        <w:keepLines/>
        <w:numPr>
          <w:ilvl w:val="5"/>
          <w:numId w:val="1"/>
        </w:numPr>
        <w:tabs>
          <w:tab w:val="left" w:pos="420"/>
        </w:tabs>
        <w:spacing w:before="240" w:after="64" w:line="317" w:lineRule="auto"/>
        <w:ind w:firstLine="482"/>
        <w:outlineLvl w:val="5"/>
        <w:rPr>
          <w:rFonts w:ascii="Arial" w:hAnsi="Arial" w:eastAsia="黑体" w:cs="Times New Roman"/>
          <w:b/>
          <w:color w:val="000000"/>
          <w:sz w:val="24"/>
        </w:rPr>
      </w:pPr>
      <w:r>
        <w:rPr>
          <w:rFonts w:hint="eastAsia" w:ascii="Arial" w:hAnsi="Arial" w:eastAsia="黑体" w:cs="Times New Roman"/>
          <w:b/>
          <w:color w:val="000000"/>
          <w:sz w:val="24"/>
        </w:rPr>
        <w:t>下载专业报表</w:t>
      </w:r>
    </w:p>
    <w:p>
      <w:pPr>
        <w:spacing w:after="120" w:line="360" w:lineRule="auto"/>
        <w:ind w:firstLine="480" w:firstLineChars="200"/>
        <w:rPr>
          <w:rFonts w:ascii="Times New Roman" w:hAnsi="Times New Roman" w:eastAsia="宋体" w:cs="Times New Roman"/>
          <w:color w:val="000000"/>
          <w:sz w:val="24"/>
        </w:rPr>
      </w:pPr>
      <w:r>
        <w:rPr>
          <w:rFonts w:hint="eastAsia" w:ascii="Times New Roman" w:hAnsi="Times New Roman" w:eastAsia="宋体" w:cs="Times New Roman"/>
          <w:color w:val="000000"/>
          <w:sz w:val="24"/>
        </w:rPr>
        <w:t>系统支持用户点击下载按钮一键下载专业报表到本地，用于备份或其他用途。</w:t>
      </w:r>
    </w:p>
    <w:p>
      <w:pPr>
        <w:keepNext/>
        <w:keepLines/>
        <w:numPr>
          <w:ilvl w:val="5"/>
          <w:numId w:val="1"/>
        </w:numPr>
        <w:tabs>
          <w:tab w:val="left" w:pos="420"/>
        </w:tabs>
        <w:spacing w:before="240" w:after="64" w:line="317" w:lineRule="auto"/>
        <w:ind w:firstLine="482"/>
        <w:outlineLvl w:val="5"/>
        <w:rPr>
          <w:rFonts w:ascii="Arial" w:hAnsi="Arial" w:eastAsia="黑体" w:cs="Times New Roman"/>
          <w:b/>
          <w:color w:val="000000"/>
          <w:sz w:val="24"/>
        </w:rPr>
      </w:pPr>
      <w:r>
        <w:rPr>
          <w:rFonts w:hint="eastAsia" w:ascii="Arial" w:hAnsi="Arial" w:eastAsia="黑体" w:cs="Times New Roman"/>
          <w:b/>
          <w:color w:val="000000"/>
          <w:sz w:val="24"/>
        </w:rPr>
        <w:t>上传专业报表</w:t>
      </w:r>
    </w:p>
    <w:p>
      <w:pPr>
        <w:spacing w:after="120" w:line="360" w:lineRule="auto"/>
        <w:ind w:firstLine="480" w:firstLineChars="200"/>
        <w:rPr>
          <w:rFonts w:ascii="Times New Roman" w:hAnsi="Times New Roman" w:eastAsia="宋体" w:cs="Times New Roman"/>
          <w:color w:val="000000"/>
          <w:sz w:val="24"/>
        </w:rPr>
      </w:pPr>
      <w:r>
        <w:rPr>
          <w:rFonts w:hint="eastAsia" w:ascii="Times New Roman" w:hAnsi="Times New Roman" w:eastAsia="宋体" w:cs="Times New Roman"/>
          <w:color w:val="000000"/>
          <w:sz w:val="24"/>
        </w:rPr>
        <w:t>每一张专业报表都有一定的格式要求：excel表名前面为年份，末尾为年月份；数据要放在sheet</w:t>
      </w:r>
      <w:r>
        <w:rPr>
          <w:rFonts w:ascii="Times New Roman" w:hAnsi="Times New Roman" w:eastAsia="宋体" w:cs="Times New Roman"/>
          <w:color w:val="000000"/>
          <w:sz w:val="24"/>
        </w:rPr>
        <w:t>1</w:t>
      </w:r>
      <w:r>
        <w:rPr>
          <w:rFonts w:hint="eastAsia" w:ascii="Times New Roman" w:hAnsi="Times New Roman" w:eastAsia="宋体" w:cs="Times New Roman"/>
          <w:color w:val="000000"/>
          <w:sz w:val="24"/>
        </w:rPr>
        <w:t>；第一行是表格名字，第二行是指标信息；表格以外的部分不要填信息。</w:t>
      </w:r>
    </w:p>
    <w:p>
      <w:pPr>
        <w:spacing w:after="120" w:line="360" w:lineRule="auto"/>
        <w:ind w:firstLine="480" w:firstLineChars="200"/>
        <w:rPr>
          <w:rFonts w:ascii="Times New Roman" w:hAnsi="Times New Roman" w:eastAsia="宋体" w:cs="Times New Roman"/>
          <w:color w:val="000000"/>
          <w:sz w:val="24"/>
        </w:rPr>
      </w:pPr>
      <w:r>
        <w:rPr>
          <w:rFonts w:hint="eastAsia" w:ascii="Times New Roman" w:hAnsi="Times New Roman" w:eastAsia="宋体" w:cs="Times New Roman"/>
          <w:color w:val="000000"/>
          <w:sz w:val="24"/>
        </w:rPr>
        <w:t>用户先在本地将数据填充到模板里，然后上传，上传时会自动解析表格名称和年月信息，只需要写入所属部门和可见部门，其中可见部门可以多选，同时，还支持在界面上及时进行修改内容，不用在本地的excel表格里修改后再进行上传。完成上传后，可以供后续综合数据管理使用。</w:t>
      </w:r>
    </w:p>
    <w:p>
      <w:pPr>
        <w:keepNext/>
        <w:keepLines/>
        <w:numPr>
          <w:ilvl w:val="5"/>
          <w:numId w:val="1"/>
        </w:numPr>
        <w:tabs>
          <w:tab w:val="left" w:pos="420"/>
        </w:tabs>
        <w:spacing w:before="240" w:after="64" w:line="317" w:lineRule="auto"/>
        <w:ind w:firstLine="482"/>
        <w:outlineLvl w:val="5"/>
        <w:rPr>
          <w:rFonts w:ascii="Arial" w:hAnsi="Arial" w:eastAsia="黑体" w:cs="Times New Roman"/>
          <w:b/>
          <w:color w:val="000000"/>
          <w:sz w:val="24"/>
        </w:rPr>
      </w:pPr>
      <w:r>
        <w:rPr>
          <w:rFonts w:hint="eastAsia" w:ascii="Arial" w:hAnsi="Arial" w:eastAsia="黑体" w:cs="Times New Roman"/>
          <w:b/>
          <w:color w:val="000000"/>
          <w:sz w:val="24"/>
        </w:rPr>
        <w:t>设置主栏宾栏</w:t>
      </w:r>
    </w:p>
    <w:p>
      <w:pPr>
        <w:spacing w:line="360" w:lineRule="auto"/>
        <w:ind w:firstLine="480" w:firstLineChars="200"/>
        <w:jc w:val="left"/>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专业报表数据如果需要同步到综合库，必须先完成主栏宾栏的配置。系统支持拖拽的方式将原始表头列表里的字段拖到主栏列表和宾栏列表，例如产品名称拖到主栏列表，增速等托到宾栏列表。一个同样的专业报表只需要配置一次主宾栏，要求维度指标没有改变，例如2022年7月份的“全社会用电量情况”配置一次主栏宾栏之后，上传的其他年月份的“全社会用电量情况”表不需要再次配置。</w:t>
      </w:r>
    </w:p>
    <w:p>
      <w:pPr>
        <w:keepNext/>
        <w:keepLines/>
        <w:numPr>
          <w:ilvl w:val="5"/>
          <w:numId w:val="1"/>
        </w:numPr>
        <w:tabs>
          <w:tab w:val="left" w:pos="420"/>
        </w:tabs>
        <w:spacing w:before="240" w:after="64" w:line="317" w:lineRule="auto"/>
        <w:ind w:firstLine="482"/>
        <w:outlineLvl w:val="5"/>
        <w:rPr>
          <w:rFonts w:ascii="Arial" w:hAnsi="Arial" w:eastAsia="黑体" w:cs="Times New Roman"/>
          <w:b/>
          <w:color w:val="000000"/>
          <w:sz w:val="24"/>
        </w:rPr>
      </w:pPr>
      <w:r>
        <w:rPr>
          <w:rFonts w:hint="eastAsia" w:ascii="Arial" w:hAnsi="Arial" w:eastAsia="黑体" w:cs="Times New Roman"/>
          <w:b/>
          <w:color w:val="000000"/>
          <w:sz w:val="24"/>
        </w:rPr>
        <w:t>修改专业表内容</w:t>
      </w:r>
    </w:p>
    <w:p>
      <w:pPr>
        <w:spacing w:line="360" w:lineRule="auto"/>
        <w:ind w:firstLine="480" w:firstLineChars="200"/>
        <w:jc w:val="left"/>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对于已经上传成功的专业报表，用户仍可以在界面上方便的对其进行修改内容，之后点击更新专业表即可，这可以避免操作重新上传的整个流程，简化使用步骤。</w:t>
      </w:r>
    </w:p>
    <w:p>
      <w:pPr>
        <w:keepNext/>
        <w:keepLines/>
        <w:numPr>
          <w:ilvl w:val="5"/>
          <w:numId w:val="1"/>
        </w:numPr>
        <w:tabs>
          <w:tab w:val="left" w:pos="420"/>
        </w:tabs>
        <w:spacing w:before="240" w:after="64" w:line="317" w:lineRule="auto"/>
        <w:ind w:firstLine="482"/>
        <w:outlineLvl w:val="5"/>
        <w:rPr>
          <w:rFonts w:ascii="Arial" w:hAnsi="Arial" w:eastAsia="黑体" w:cs="Times New Roman"/>
          <w:b/>
          <w:color w:val="000000"/>
          <w:sz w:val="24"/>
        </w:rPr>
      </w:pPr>
      <w:r>
        <w:rPr>
          <w:rFonts w:hint="eastAsia" w:ascii="Arial" w:hAnsi="Arial" w:eastAsia="黑体" w:cs="Times New Roman"/>
          <w:b/>
          <w:color w:val="000000"/>
          <w:sz w:val="24"/>
        </w:rPr>
        <w:t>同步到综合库</w:t>
      </w:r>
    </w:p>
    <w:p>
      <w:pPr>
        <w:spacing w:after="120" w:line="360" w:lineRule="auto"/>
        <w:ind w:firstLine="480" w:firstLineChars="200"/>
        <w:rPr>
          <w:rFonts w:ascii="Times New Roman" w:hAnsi="Times New Roman" w:eastAsia="宋体" w:cs="Times New Roman"/>
          <w:color w:val="000000"/>
          <w:sz w:val="24"/>
        </w:rPr>
      </w:pPr>
      <w:r>
        <w:rPr>
          <w:rFonts w:hint="eastAsia" w:ascii="Times New Roman" w:hAnsi="Times New Roman" w:eastAsia="宋体" w:cs="Times New Roman"/>
          <w:color w:val="000000"/>
          <w:sz w:val="24"/>
        </w:rPr>
        <w:t>专业报表完成主栏宾栏的配置后，还要经过评审，评审通过后才能同步到综合数据管理，供综合处使用。</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color w:val="000000"/>
          <w:sz w:val="28"/>
        </w:rPr>
      </w:pPr>
      <w:r>
        <w:rPr>
          <w:rFonts w:hint="eastAsia" w:ascii="Times New Roman" w:hAnsi="Times New Roman" w:eastAsia="宋体" w:cs="Times New Roman"/>
          <w:b/>
          <w:color w:val="000000"/>
          <w:sz w:val="28"/>
        </w:rPr>
        <w:t>集合管理</w:t>
      </w:r>
    </w:p>
    <w:p>
      <w:pPr>
        <w:spacing w:line="360" w:lineRule="auto"/>
        <w:ind w:firstLine="48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以列表的形式实现集合的管理，以多重目录树的形式展示集合下的各类元素、代码。该模块的作用是辅助统计汇总模块的，例如自定义维度里的战新行业的公式为a in ($战新产业)，而战新产业的子元素和子数据都显示在集合管理模块中。</w:t>
      </w:r>
    </w:p>
    <w:p>
      <w:pPr>
        <w:keepNext/>
        <w:keepLines/>
        <w:numPr>
          <w:ilvl w:val="5"/>
          <w:numId w:val="1"/>
        </w:numPr>
        <w:tabs>
          <w:tab w:val="left" w:pos="420"/>
        </w:tabs>
        <w:spacing w:before="240" w:after="64" w:line="317" w:lineRule="auto"/>
        <w:ind w:firstLine="482"/>
        <w:outlineLvl w:val="5"/>
        <w:rPr>
          <w:rFonts w:ascii="Arial" w:hAnsi="Arial" w:eastAsia="黑体" w:cs="Times New Roman"/>
          <w:b/>
          <w:color w:val="000000"/>
          <w:sz w:val="24"/>
        </w:rPr>
      </w:pPr>
      <w:r>
        <w:rPr>
          <w:rFonts w:hint="eastAsia" w:ascii="Arial" w:hAnsi="Arial" w:eastAsia="黑体" w:cs="Times New Roman"/>
          <w:b/>
          <w:color w:val="000000"/>
          <w:sz w:val="24"/>
        </w:rPr>
        <w:t>集合编辑</w:t>
      </w:r>
    </w:p>
    <w:p>
      <w:pPr>
        <w:spacing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支持新集合的创建、修改、删除。</w:t>
      </w:r>
    </w:p>
    <w:p>
      <w:pPr>
        <w:keepNext/>
        <w:keepLines/>
        <w:numPr>
          <w:ilvl w:val="6"/>
          <w:numId w:val="1"/>
        </w:numPr>
        <w:tabs>
          <w:tab w:val="left" w:pos="420"/>
        </w:tabs>
        <w:spacing w:before="240" w:after="64" w:line="317" w:lineRule="auto"/>
        <w:ind w:firstLine="482" w:firstLineChars="200"/>
        <w:outlineLvl w:val="6"/>
        <w:rPr>
          <w:rFonts w:ascii="Times New Roman" w:hAnsi="Times New Roman" w:eastAsia="宋体" w:cs="Times New Roman"/>
          <w:b/>
          <w:color w:val="000000"/>
          <w:sz w:val="24"/>
        </w:rPr>
      </w:pPr>
      <w:r>
        <w:rPr>
          <w:rFonts w:hint="eastAsia" w:ascii="Times New Roman" w:hAnsi="Times New Roman" w:eastAsia="宋体" w:cs="Times New Roman"/>
          <w:b/>
          <w:color w:val="000000"/>
          <w:sz w:val="24"/>
        </w:rPr>
        <w:tab/>
      </w:r>
      <w:r>
        <w:rPr>
          <w:rFonts w:hint="eastAsia" w:ascii="Times New Roman" w:hAnsi="Times New Roman" w:eastAsia="宋体" w:cs="Times New Roman"/>
          <w:b/>
          <w:color w:val="000000"/>
          <w:sz w:val="24"/>
        </w:rPr>
        <w:t>创建集合和元素</w:t>
      </w:r>
    </w:p>
    <w:p>
      <w:pPr>
        <w:spacing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可按需新增集合，点击添加集合，然后输入集合名称即可。在新集合下需要添加根元素，输入元素代码和元素名称即可，对于根子元素的创建也是一样的操作。例如集合：战新产业，该集合是根据《国务院关于加快培育和发展战略性新兴产业的决定》创建的，有九大根元素：新一代信息技术产业、高端装备制造产业、新材料产业、生物产业、新能源汽车产业、新能源产业、节能环保产业、数字创意产业、相关服务业。元素代码和元素名称都参考战略性新兴产业分类表。</w:t>
      </w:r>
    </w:p>
    <w:p>
      <w:pPr>
        <w:keepNext/>
        <w:keepLines/>
        <w:numPr>
          <w:ilvl w:val="6"/>
          <w:numId w:val="1"/>
        </w:numPr>
        <w:tabs>
          <w:tab w:val="left" w:pos="420"/>
        </w:tabs>
        <w:spacing w:before="240" w:after="64" w:line="317" w:lineRule="auto"/>
        <w:ind w:firstLine="482" w:firstLineChars="200"/>
        <w:outlineLvl w:val="6"/>
        <w:rPr>
          <w:rFonts w:ascii="Times New Roman" w:hAnsi="Times New Roman" w:eastAsia="宋体" w:cs="Times New Roman"/>
          <w:b/>
          <w:color w:val="000000"/>
          <w:sz w:val="24"/>
        </w:rPr>
      </w:pPr>
      <w:r>
        <w:rPr>
          <w:rFonts w:hint="eastAsia" w:ascii="Times New Roman" w:hAnsi="Times New Roman" w:eastAsia="宋体" w:cs="Times New Roman"/>
          <w:b/>
          <w:color w:val="000000"/>
          <w:sz w:val="24"/>
        </w:rPr>
        <w:t>删除集合和元素</w:t>
      </w:r>
    </w:p>
    <w:p>
      <w:pPr>
        <w:spacing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统计规则有变时，不需要的集合可以删除，需要先删除干净集合下的根元素才能删除集合。删除根元素时，也需要删除完根子元素才能删除根元素，这样设计的目的是避免出现误操作而导致所有内容都被删除的情况。</w:t>
      </w:r>
    </w:p>
    <w:p>
      <w:pPr>
        <w:keepNext/>
        <w:keepLines/>
        <w:numPr>
          <w:ilvl w:val="6"/>
          <w:numId w:val="1"/>
        </w:numPr>
        <w:tabs>
          <w:tab w:val="left" w:pos="420"/>
        </w:tabs>
        <w:spacing w:before="240" w:after="64" w:line="317" w:lineRule="auto"/>
        <w:ind w:firstLine="482" w:firstLineChars="200"/>
        <w:outlineLvl w:val="6"/>
        <w:rPr>
          <w:rFonts w:ascii="Times New Roman" w:hAnsi="Times New Roman" w:eastAsia="宋体" w:cs="Times New Roman"/>
          <w:b/>
          <w:color w:val="000000"/>
          <w:sz w:val="24"/>
        </w:rPr>
      </w:pPr>
      <w:r>
        <w:rPr>
          <w:rFonts w:hint="eastAsia" w:ascii="Times New Roman" w:hAnsi="Times New Roman" w:eastAsia="宋体" w:cs="Times New Roman"/>
          <w:b/>
          <w:color w:val="000000"/>
          <w:sz w:val="24"/>
        </w:rPr>
        <w:t>修改集合和元素</w:t>
      </w:r>
    </w:p>
    <w:p>
      <w:pPr>
        <w:spacing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仅支持修改集合的名字，各元素的元素代码和元素名称。</w:t>
      </w:r>
    </w:p>
    <w:p>
      <w:pPr>
        <w:keepNext/>
        <w:keepLines/>
        <w:numPr>
          <w:ilvl w:val="5"/>
          <w:numId w:val="1"/>
        </w:numPr>
        <w:tabs>
          <w:tab w:val="left" w:pos="420"/>
        </w:tabs>
        <w:spacing w:before="240" w:after="64" w:line="317" w:lineRule="auto"/>
        <w:ind w:firstLine="482"/>
        <w:outlineLvl w:val="5"/>
        <w:rPr>
          <w:rFonts w:ascii="Arial" w:hAnsi="Arial" w:eastAsia="黑体" w:cs="Times New Roman"/>
          <w:b/>
          <w:color w:val="000000"/>
          <w:sz w:val="24"/>
        </w:rPr>
      </w:pPr>
      <w:r>
        <w:rPr>
          <w:rFonts w:hint="eastAsia" w:ascii="Arial" w:hAnsi="Arial" w:eastAsia="黑体" w:cs="Times New Roman"/>
          <w:b/>
          <w:color w:val="000000"/>
          <w:sz w:val="24"/>
        </w:rPr>
        <w:t>数据编辑</w:t>
      </w:r>
    </w:p>
    <w:p>
      <w:pPr>
        <w:spacing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所有的数据都只能挂在最后一级子元素上，当某元素新增一级子元素时，原来元素的数据会被全部删除。支持数据的增删改查。</w:t>
      </w:r>
    </w:p>
    <w:p>
      <w:pPr>
        <w:keepNext/>
        <w:keepLines/>
        <w:numPr>
          <w:ilvl w:val="5"/>
          <w:numId w:val="1"/>
        </w:numPr>
        <w:tabs>
          <w:tab w:val="left" w:pos="420"/>
        </w:tabs>
        <w:spacing w:before="240" w:after="64" w:line="317" w:lineRule="auto"/>
        <w:ind w:firstLine="482"/>
        <w:outlineLvl w:val="5"/>
        <w:rPr>
          <w:rFonts w:ascii="Arial" w:hAnsi="Arial" w:eastAsia="黑体" w:cs="Times New Roman"/>
          <w:b/>
          <w:color w:val="000000"/>
          <w:sz w:val="24"/>
        </w:rPr>
      </w:pPr>
      <w:r>
        <w:rPr>
          <w:rFonts w:hint="eastAsia" w:ascii="Arial" w:hAnsi="Arial" w:eastAsia="黑体" w:cs="Times New Roman"/>
          <w:b/>
          <w:color w:val="000000"/>
          <w:sz w:val="24"/>
        </w:rPr>
        <w:t>元素编辑</w:t>
      </w:r>
    </w:p>
    <w:p>
      <w:pPr>
        <w:spacing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支持根子元素的添加、修改、删除操作。</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color w:val="000000"/>
          <w:sz w:val="28"/>
        </w:rPr>
      </w:pPr>
      <w:r>
        <w:rPr>
          <w:rFonts w:hint="eastAsia" w:ascii="Times New Roman" w:hAnsi="Times New Roman" w:eastAsia="宋体" w:cs="Times New Roman"/>
          <w:b/>
          <w:color w:val="000000"/>
          <w:sz w:val="28"/>
        </w:rPr>
        <w:t>外部数据</w:t>
      </w:r>
    </w:p>
    <w:p>
      <w:pPr>
        <w:spacing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外部数据是相对统计局内部数据而言的，其作用是辅助统计汇总的完成，针对需要参与计算的外部数据，提供入口，实现数据的导入、管理和浏览。</w:t>
      </w:r>
    </w:p>
    <w:p>
      <w:pPr>
        <w:keepNext/>
        <w:keepLines/>
        <w:numPr>
          <w:ilvl w:val="5"/>
          <w:numId w:val="1"/>
        </w:numPr>
        <w:tabs>
          <w:tab w:val="left" w:pos="420"/>
        </w:tabs>
        <w:spacing w:before="240" w:after="64" w:line="317" w:lineRule="auto"/>
        <w:ind w:firstLine="482"/>
        <w:outlineLvl w:val="5"/>
        <w:rPr>
          <w:rFonts w:ascii="Arial" w:hAnsi="Arial" w:eastAsia="黑体" w:cs="Times New Roman"/>
          <w:b/>
          <w:color w:val="000000"/>
          <w:sz w:val="24"/>
        </w:rPr>
      </w:pPr>
      <w:r>
        <w:rPr>
          <w:rFonts w:hint="eastAsia" w:ascii="Arial" w:hAnsi="Arial" w:eastAsia="黑体" w:cs="Times New Roman"/>
          <w:b/>
          <w:color w:val="000000"/>
          <w:sz w:val="24"/>
        </w:rPr>
        <w:t>外部数据管理</w:t>
      </w:r>
    </w:p>
    <w:p>
      <w:pPr>
        <w:spacing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以列表的形式实现外部数据的管理。</w:t>
      </w:r>
    </w:p>
    <w:p>
      <w:pPr>
        <w:keepNext/>
        <w:keepLines/>
        <w:numPr>
          <w:ilvl w:val="5"/>
          <w:numId w:val="1"/>
        </w:numPr>
        <w:tabs>
          <w:tab w:val="left" w:pos="420"/>
        </w:tabs>
        <w:spacing w:before="240" w:after="64" w:line="317" w:lineRule="auto"/>
        <w:ind w:firstLine="482"/>
        <w:outlineLvl w:val="5"/>
        <w:rPr>
          <w:rFonts w:ascii="Arial" w:hAnsi="Arial" w:eastAsia="黑体" w:cs="Times New Roman"/>
          <w:b/>
          <w:color w:val="000000"/>
          <w:sz w:val="24"/>
        </w:rPr>
      </w:pPr>
      <w:r>
        <w:rPr>
          <w:rFonts w:hint="eastAsia" w:ascii="Arial" w:hAnsi="Arial" w:eastAsia="黑体" w:cs="Times New Roman"/>
          <w:b/>
          <w:color w:val="000000"/>
          <w:sz w:val="24"/>
        </w:rPr>
        <w:t>外部数据导入</w:t>
      </w:r>
    </w:p>
    <w:p>
      <w:pPr>
        <w:spacing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在本地运用模板填写数据，然后再根据数据的年月份进行导入。支持从本地导入外部数据。</w:t>
      </w:r>
    </w:p>
    <w:p>
      <w:pPr>
        <w:keepNext/>
        <w:keepLines/>
        <w:numPr>
          <w:ilvl w:val="5"/>
          <w:numId w:val="1"/>
        </w:numPr>
        <w:tabs>
          <w:tab w:val="left" w:pos="420"/>
        </w:tabs>
        <w:spacing w:before="240" w:after="64" w:line="317" w:lineRule="auto"/>
        <w:ind w:firstLine="482"/>
        <w:outlineLvl w:val="5"/>
        <w:rPr>
          <w:rFonts w:ascii="Arial" w:hAnsi="Arial" w:eastAsia="黑体" w:cs="Times New Roman"/>
          <w:b/>
          <w:color w:val="000000"/>
          <w:sz w:val="24"/>
        </w:rPr>
      </w:pPr>
      <w:r>
        <w:rPr>
          <w:rFonts w:hint="eastAsia" w:ascii="Arial" w:hAnsi="Arial" w:eastAsia="黑体" w:cs="Times New Roman"/>
          <w:b/>
          <w:color w:val="000000"/>
          <w:sz w:val="24"/>
        </w:rPr>
        <w:t>外部数据浏览</w:t>
      </w:r>
    </w:p>
    <w:p>
      <w:pPr>
        <w:spacing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选择需要查看的外部数据，查询数据的年月份，以表格的形式展示外部数据。</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color w:val="000000"/>
          <w:sz w:val="28"/>
        </w:rPr>
      </w:pPr>
      <w:r>
        <w:rPr>
          <w:rFonts w:hint="eastAsia" w:ascii="Times New Roman" w:hAnsi="Times New Roman" w:eastAsia="宋体" w:cs="Times New Roman"/>
          <w:b/>
          <w:color w:val="000000"/>
          <w:sz w:val="28"/>
        </w:rPr>
        <w:t>综合数据管理</w:t>
      </w:r>
    </w:p>
    <w:p>
      <w:pPr>
        <w:spacing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针对跨专业需求汇总数据的需求，相应业务部门需要制作汇总报表，此类报表统一存储于综合数据库。存储内容包括报表名称、样式、报表中主栏和宾栏所引用的指标、指标值等。</w:t>
      </w:r>
    </w:p>
    <w:p>
      <w:pPr>
        <w:keepNext/>
        <w:keepLines/>
        <w:numPr>
          <w:ilvl w:val="5"/>
          <w:numId w:val="1"/>
        </w:numPr>
        <w:tabs>
          <w:tab w:val="left" w:pos="420"/>
        </w:tabs>
        <w:spacing w:before="240" w:after="64" w:line="317" w:lineRule="auto"/>
        <w:ind w:firstLine="482"/>
        <w:outlineLvl w:val="5"/>
        <w:rPr>
          <w:rFonts w:ascii="Arial" w:hAnsi="Arial" w:eastAsia="黑体" w:cs="Times New Roman"/>
          <w:b/>
          <w:color w:val="000000"/>
          <w:sz w:val="24"/>
        </w:rPr>
      </w:pPr>
      <w:r>
        <w:rPr>
          <w:rFonts w:hint="eastAsia" w:ascii="Arial" w:hAnsi="Arial" w:eastAsia="黑体" w:cs="Times New Roman"/>
          <w:b/>
          <w:color w:val="000000"/>
          <w:sz w:val="24"/>
        </w:rPr>
        <w:t>综合数据查询结果</w:t>
      </w:r>
    </w:p>
    <w:p>
      <w:pPr>
        <w:spacing w:line="360" w:lineRule="auto"/>
        <w:ind w:firstLine="480" w:firstLineChars="200"/>
        <w:jc w:val="left"/>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专业报表经过拆分指标维度后的数据存在综合数据库，指标按处室和报表分类，维度按报表分类，选择某个指标即可自动出现该指标关联的维度，支持查询多个年月份的数据。</w:t>
      </w:r>
    </w:p>
    <w:p>
      <w:pPr>
        <w:keepNext/>
        <w:keepLines/>
        <w:numPr>
          <w:ilvl w:val="5"/>
          <w:numId w:val="1"/>
        </w:numPr>
        <w:tabs>
          <w:tab w:val="left" w:pos="420"/>
        </w:tabs>
        <w:spacing w:before="240" w:after="64" w:line="317" w:lineRule="auto"/>
        <w:ind w:firstLine="482"/>
        <w:outlineLvl w:val="5"/>
        <w:rPr>
          <w:rFonts w:ascii="Arial" w:hAnsi="Arial" w:eastAsia="黑体" w:cs="Times New Roman"/>
          <w:b/>
          <w:color w:val="000000"/>
          <w:sz w:val="24"/>
        </w:rPr>
      </w:pPr>
      <w:r>
        <w:rPr>
          <w:rFonts w:hint="eastAsia" w:ascii="Arial" w:hAnsi="Arial" w:eastAsia="黑体" w:cs="Times New Roman"/>
          <w:b/>
          <w:color w:val="000000"/>
          <w:sz w:val="24"/>
        </w:rPr>
        <w:t>制作模板表表样</w:t>
      </w:r>
    </w:p>
    <w:p>
      <w:pPr>
        <w:spacing w:after="120" w:line="360" w:lineRule="auto"/>
        <w:ind w:firstLine="480" w:firstLineChars="200"/>
        <w:rPr>
          <w:rFonts w:ascii="Times New Roman" w:hAnsi="Times New Roman" w:eastAsia="宋体" w:cs="Times New Roman"/>
          <w:color w:val="000000"/>
          <w:sz w:val="24"/>
        </w:rPr>
      </w:pPr>
      <w:r>
        <w:rPr>
          <w:rFonts w:hint="eastAsia" w:ascii="Times New Roman" w:hAnsi="Times New Roman" w:eastAsia="宋体" w:cs="Times New Roman"/>
          <w:color w:val="000000"/>
          <w:sz w:val="24"/>
        </w:rPr>
        <w:t>Excel有着强大的制作表格功能，基本可以实现各种报表样式，用户可以通过excel提前制作月报、季报、年报模板样式。依次进行以下操作：输入模板名称、选择添加到某处室、选择可见部门，选择模板分类。完成后即可上传到模板库，此模板可以保存，方便以后重复使用。</w:t>
      </w:r>
    </w:p>
    <w:p>
      <w:pPr>
        <w:keepNext/>
        <w:keepLines/>
        <w:numPr>
          <w:ilvl w:val="6"/>
          <w:numId w:val="1"/>
        </w:numPr>
        <w:tabs>
          <w:tab w:val="left" w:pos="420"/>
        </w:tabs>
        <w:spacing w:before="240" w:after="64" w:line="317" w:lineRule="auto"/>
        <w:ind w:firstLine="482" w:firstLineChars="200"/>
        <w:outlineLvl w:val="6"/>
        <w:rPr>
          <w:rFonts w:ascii="Times New Roman" w:hAnsi="Times New Roman" w:eastAsia="宋体" w:cs="Times New Roman"/>
          <w:b/>
          <w:color w:val="000000"/>
          <w:sz w:val="24"/>
        </w:rPr>
      </w:pPr>
      <w:r>
        <w:rPr>
          <w:rFonts w:hint="eastAsia" w:ascii="Times New Roman" w:hAnsi="Times New Roman" w:eastAsia="宋体" w:cs="Times New Roman"/>
          <w:b/>
          <w:color w:val="000000"/>
          <w:sz w:val="24"/>
        </w:rPr>
        <w:t>浏览模板</w:t>
      </w:r>
    </w:p>
    <w:p>
      <w:pPr>
        <w:spacing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系统支持浏览已制作完成的模板。</w:t>
      </w:r>
    </w:p>
    <w:p>
      <w:pPr>
        <w:keepNext/>
        <w:keepLines/>
        <w:numPr>
          <w:ilvl w:val="6"/>
          <w:numId w:val="1"/>
        </w:numPr>
        <w:tabs>
          <w:tab w:val="left" w:pos="420"/>
        </w:tabs>
        <w:spacing w:before="240" w:after="64" w:line="317" w:lineRule="auto"/>
        <w:ind w:firstLine="482" w:firstLineChars="200"/>
        <w:outlineLvl w:val="6"/>
        <w:rPr>
          <w:rFonts w:ascii="Times New Roman" w:hAnsi="Times New Roman" w:eastAsia="宋体" w:cs="Times New Roman"/>
          <w:b/>
          <w:color w:val="000000"/>
          <w:sz w:val="24"/>
        </w:rPr>
      </w:pPr>
      <w:r>
        <w:rPr>
          <w:rFonts w:ascii="Times New Roman" w:hAnsi="Times New Roman" w:eastAsia="宋体" w:cs="Times New Roman"/>
          <w:b/>
          <w:color w:val="000000"/>
          <w:sz w:val="24"/>
        </w:rPr>
        <w:t>删除模板</w:t>
      </w:r>
    </w:p>
    <w:p>
      <w:pPr>
        <w:spacing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系统支持删除不符合要求的模板。</w:t>
      </w:r>
    </w:p>
    <w:p>
      <w:pPr>
        <w:keepNext/>
        <w:keepLines/>
        <w:numPr>
          <w:ilvl w:val="5"/>
          <w:numId w:val="1"/>
        </w:numPr>
        <w:tabs>
          <w:tab w:val="left" w:pos="420"/>
        </w:tabs>
        <w:spacing w:before="240" w:after="64" w:line="317" w:lineRule="auto"/>
        <w:ind w:firstLine="482"/>
        <w:outlineLvl w:val="5"/>
        <w:rPr>
          <w:rFonts w:ascii="Arial" w:hAnsi="Arial" w:eastAsia="黑体" w:cs="Times New Roman"/>
          <w:b/>
          <w:color w:val="000000"/>
          <w:sz w:val="24"/>
        </w:rPr>
      </w:pPr>
      <w:r>
        <w:rPr>
          <w:rFonts w:hint="eastAsia" w:ascii="Arial" w:hAnsi="Arial" w:eastAsia="黑体" w:cs="Times New Roman"/>
          <w:b/>
          <w:color w:val="000000"/>
          <w:sz w:val="24"/>
        </w:rPr>
        <w:t>制作月报</w:t>
      </w:r>
    </w:p>
    <w:p>
      <w:pPr>
        <w:spacing w:after="120" w:line="360" w:lineRule="auto"/>
        <w:ind w:firstLine="480" w:firstLineChars="200"/>
        <w:rPr>
          <w:rFonts w:ascii="Times New Roman" w:hAnsi="Times New Roman" w:eastAsia="宋体" w:cs="Times New Roman"/>
          <w:color w:val="000000"/>
          <w:sz w:val="24"/>
        </w:rPr>
      </w:pPr>
      <w:r>
        <w:rPr>
          <w:rFonts w:hint="eastAsia" w:ascii="Times New Roman" w:hAnsi="Times New Roman" w:eastAsia="宋体" w:cs="Times New Roman"/>
          <w:color w:val="000000"/>
          <w:sz w:val="24"/>
        </w:rPr>
        <w:t>采用在线excel完成，按需选择专报即可自动获取关联主栏树，下一步进入汇总操作，鼠标点击模板列表选择要制作的月报等（以月报为例），左侧是专业报表，右侧是要制作的月报，将月报需要的数据从专业报表中拷贝粘贴到月报里，支持批量拷贝粘贴，涉及多张专业表数据的月报同样进行如此操作，调整灵活，现阶段是手动进行汇总，下一步可实现部分一键自动汇总。</w:t>
      </w:r>
    </w:p>
    <w:p>
      <w:pPr>
        <w:keepNext/>
        <w:keepLines/>
        <w:numPr>
          <w:ilvl w:val="5"/>
          <w:numId w:val="1"/>
        </w:numPr>
        <w:tabs>
          <w:tab w:val="left" w:pos="420"/>
        </w:tabs>
        <w:spacing w:before="240" w:after="64" w:line="317" w:lineRule="auto"/>
        <w:ind w:firstLine="482"/>
        <w:outlineLvl w:val="5"/>
        <w:rPr>
          <w:rFonts w:ascii="Arial" w:hAnsi="Arial" w:eastAsia="黑体" w:cs="Times New Roman"/>
          <w:b/>
          <w:color w:val="000000"/>
          <w:sz w:val="24"/>
        </w:rPr>
      </w:pPr>
      <w:r>
        <w:rPr>
          <w:rFonts w:hint="eastAsia" w:ascii="Arial" w:hAnsi="Arial" w:eastAsia="黑体" w:cs="Times New Roman"/>
          <w:b/>
          <w:color w:val="000000"/>
          <w:sz w:val="24"/>
        </w:rPr>
        <w:t>月报年鉴等成果展示</w:t>
      </w:r>
    </w:p>
    <w:p>
      <w:pPr>
        <w:spacing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制作完成的月报年鉴都添加为成果表，所有制作完成的月报年鉴等都可在综合成果表里查看，可以模糊搜索月报名字查询完成的月报。</w:t>
      </w:r>
    </w:p>
    <w:p>
      <w:pPr>
        <w:keepNext/>
        <w:keepLines/>
        <w:numPr>
          <w:ilvl w:val="6"/>
          <w:numId w:val="1"/>
        </w:numPr>
        <w:tabs>
          <w:tab w:val="left" w:pos="420"/>
        </w:tabs>
        <w:spacing w:before="240" w:after="64" w:line="317" w:lineRule="auto"/>
        <w:ind w:firstLine="482" w:firstLineChars="200"/>
        <w:outlineLvl w:val="6"/>
        <w:rPr>
          <w:rFonts w:ascii="Times New Roman" w:hAnsi="Times New Roman" w:eastAsia="宋体" w:cs="Times New Roman"/>
          <w:b/>
          <w:color w:val="000000"/>
          <w:sz w:val="24"/>
        </w:rPr>
      </w:pPr>
      <w:r>
        <w:rPr>
          <w:rFonts w:hint="eastAsia" w:ascii="Times New Roman" w:hAnsi="Times New Roman" w:eastAsia="宋体" w:cs="Times New Roman"/>
          <w:b/>
          <w:color w:val="000000"/>
          <w:sz w:val="24"/>
        </w:rPr>
        <w:t>成果表重命名</w:t>
      </w:r>
    </w:p>
    <w:p>
      <w:pPr>
        <w:spacing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由于月报等模板为提前制作好的，数据是按需查询出来的，所以系统仅支持对成果表进行一定程度的修改，使更贴合用户实际需求。</w:t>
      </w:r>
    </w:p>
    <w:p>
      <w:pPr>
        <w:keepNext/>
        <w:keepLines/>
        <w:numPr>
          <w:ilvl w:val="6"/>
          <w:numId w:val="1"/>
        </w:numPr>
        <w:tabs>
          <w:tab w:val="left" w:pos="420"/>
        </w:tabs>
        <w:spacing w:before="240" w:after="64" w:line="317" w:lineRule="auto"/>
        <w:ind w:firstLine="482" w:firstLineChars="200"/>
        <w:outlineLvl w:val="6"/>
        <w:rPr>
          <w:rFonts w:ascii="Times New Roman" w:hAnsi="Times New Roman" w:eastAsia="宋体" w:cs="Times New Roman"/>
          <w:b/>
          <w:color w:val="000000"/>
          <w:sz w:val="24"/>
        </w:rPr>
      </w:pPr>
      <w:r>
        <w:rPr>
          <w:rFonts w:hint="eastAsia" w:ascii="Times New Roman" w:hAnsi="Times New Roman" w:eastAsia="宋体" w:cs="Times New Roman"/>
          <w:b/>
          <w:color w:val="000000"/>
          <w:sz w:val="24"/>
        </w:rPr>
        <w:t>下载成果表</w:t>
      </w:r>
    </w:p>
    <w:p>
      <w:pPr>
        <w:spacing w:line="360" w:lineRule="auto"/>
        <w:ind w:firstLine="480" w:firstLineChars="200"/>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4"/>
          <w:szCs w:val="20"/>
        </w:rPr>
        <w:t>系统支持将成果表下载到本地，方便客户用作汇报演示。</w:t>
      </w:r>
    </w:p>
    <w:p>
      <w:pPr>
        <w:keepNext/>
        <w:keepLines/>
        <w:numPr>
          <w:ilvl w:val="5"/>
          <w:numId w:val="1"/>
        </w:numPr>
        <w:tabs>
          <w:tab w:val="left" w:pos="420"/>
        </w:tabs>
        <w:spacing w:before="240" w:after="64" w:line="317" w:lineRule="auto"/>
        <w:ind w:firstLine="482"/>
        <w:outlineLvl w:val="5"/>
        <w:rPr>
          <w:rFonts w:ascii="Arial" w:hAnsi="Arial" w:eastAsia="黑体" w:cs="Times New Roman"/>
          <w:b/>
          <w:color w:val="000000"/>
          <w:sz w:val="24"/>
        </w:rPr>
      </w:pPr>
      <w:r>
        <w:rPr>
          <w:rFonts w:hint="eastAsia" w:ascii="Arial" w:hAnsi="Arial" w:eastAsia="黑体" w:cs="Times New Roman"/>
          <w:b/>
          <w:color w:val="000000"/>
          <w:sz w:val="24"/>
        </w:rPr>
        <w:t>指标维度关联</w:t>
      </w:r>
    </w:p>
    <w:p>
      <w:pPr>
        <w:spacing w:line="360" w:lineRule="auto"/>
        <w:ind w:firstLine="480" w:firstLineChars="200"/>
        <w:rPr>
          <w:rFonts w:ascii="Times New Roman" w:hAnsi="Times New Roman" w:eastAsia="宋体" w:cs="Times New Roman"/>
          <w:color w:val="000000"/>
          <w:sz w:val="24"/>
        </w:rPr>
      </w:pPr>
      <w:r>
        <w:rPr>
          <w:rFonts w:hint="eastAsia" w:ascii="Times New Roman" w:hAnsi="Times New Roman" w:eastAsia="宋体" w:cs="Times New Roman"/>
          <w:color w:val="000000"/>
          <w:sz w:val="24"/>
        </w:rPr>
        <w:t>维度可以说明数据，是指可指定不同值的对象的描述性属性或特征。指标可以衡量数据，是指可以按总数或比值衡量的具体维度元素。</w:t>
      </w:r>
    </w:p>
    <w:p>
      <w:pPr>
        <w:spacing w:line="360" w:lineRule="auto"/>
        <w:ind w:firstLine="480" w:firstLineChars="200"/>
        <w:rPr>
          <w:rFonts w:ascii="Times New Roman" w:hAnsi="Times New Roman" w:eastAsia="宋体" w:cs="Times New Roman"/>
          <w:color w:val="000000"/>
          <w:sz w:val="24"/>
        </w:rPr>
      </w:pPr>
      <w:r>
        <w:rPr>
          <w:rFonts w:hint="eastAsia" w:ascii="Times New Roman" w:hAnsi="Times New Roman" w:eastAsia="宋体" w:cs="Times New Roman"/>
          <w:color w:val="000000"/>
          <w:sz w:val="24"/>
        </w:rPr>
        <w:t>虽然维度和指标可以独立使用，但常见的还是相互结合使用。维度和指标的值以及这些值之间的关系，使您的数据具有了意义。为了挖掘尽可能多的深层次信息，维度通常与一个或多个指标关联在一起。</w:t>
      </w:r>
    </w:p>
    <w:p>
      <w:pPr>
        <w:spacing w:line="360" w:lineRule="auto"/>
        <w:ind w:firstLine="480" w:firstLineChars="200"/>
        <w:rPr>
          <w:rFonts w:ascii="Arial" w:hAnsi="Arial" w:eastAsia="宋体" w:cs="Times New Roman"/>
          <w:color w:val="000000"/>
          <w:sz w:val="24"/>
          <w:szCs w:val="20"/>
        </w:rPr>
      </w:pPr>
      <w:r>
        <w:rPr>
          <w:rFonts w:hint="eastAsia" w:ascii="Times New Roman" w:hAnsi="Times New Roman" w:eastAsia="宋体" w:cs="Times New Roman"/>
          <w:color w:val="000000"/>
          <w:sz w:val="24"/>
          <w:szCs w:val="20"/>
        </w:rPr>
        <w:t>将专业报表的指标维度打散，在配置专业报表的主栏宾栏时重新建立指标维度的关联关系。从专业数据管理处抽取指标对应维度数据形成的数据试图，满足不同场景统计数据的需要。</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多维表</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多维表是一种结构比较复杂的表格。与二维表不同，它的栏目名称并不都在第一行出现，而是随机出现在各行，数据也不总填写在名称下部，还可以出现在它的右边。本系统则支持这样的多维表功能。</w:t>
      </w:r>
    </w:p>
    <w:p>
      <w:pPr>
        <w:spacing w:after="12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一个多维表格内包含多个数据表，一个数据表可以有多个视图。同一个多维表格下的不同数据表之间可以通过跨表公式、关联字段、查找引用字段的方式进行跨表操作。同一个数据表下的不同视图基于同一份数据生成，即在任一视图下的操作和数据变更都会同步反映在同一数据表的所有视图中。</w:t>
      </w:r>
    </w:p>
    <w:p>
      <w:pPr>
        <w:keepNext/>
        <w:keepLines/>
        <w:numPr>
          <w:ilvl w:val="1"/>
          <w:numId w:val="1"/>
        </w:numPr>
        <w:spacing w:before="260" w:after="260" w:line="413" w:lineRule="auto"/>
        <w:ind w:left="575" w:hanging="575"/>
        <w:outlineLvl w:val="1"/>
        <w:rPr>
          <w:rFonts w:ascii="Arial" w:hAnsi="Arial" w:eastAsia="黑体" w:cs="Times New Roman"/>
          <w:b/>
        </w:rPr>
      </w:pPr>
      <w:bookmarkStart w:id="34" w:name="_Toc7780"/>
      <w:bookmarkStart w:id="35" w:name="_Toc13712"/>
      <w:r>
        <w:rPr>
          <w:rFonts w:hint="eastAsia" w:ascii="Arial" w:hAnsi="Arial" w:eastAsia="黑体" w:cs="Times New Roman"/>
          <w:b/>
        </w:rPr>
        <w:t>应用系统设计</w:t>
      </w:r>
      <w:bookmarkEnd w:id="33"/>
      <w:bookmarkEnd w:id="34"/>
      <w:bookmarkEnd w:id="35"/>
    </w:p>
    <w:p>
      <w:pPr>
        <w:keepNext/>
        <w:keepLines/>
        <w:numPr>
          <w:ilvl w:val="2"/>
          <w:numId w:val="1"/>
        </w:numPr>
        <w:spacing w:line="413" w:lineRule="auto"/>
        <w:ind w:firstLine="1044"/>
        <w:outlineLvl w:val="2"/>
        <w:rPr>
          <w:rFonts w:ascii="Times New Roman" w:hAnsi="Times New Roman" w:eastAsia="宋体" w:cs="Times New Roman"/>
          <w:b/>
        </w:rPr>
      </w:pPr>
      <w:bookmarkStart w:id="36" w:name="_Toc342339205"/>
      <w:bookmarkEnd w:id="36"/>
      <w:bookmarkStart w:id="37" w:name="_Toc342339206"/>
      <w:bookmarkEnd w:id="37"/>
      <w:bookmarkStart w:id="38" w:name="_Toc28810"/>
      <w:bookmarkStart w:id="39" w:name="_Toc31974"/>
      <w:bookmarkStart w:id="40" w:name="_Toc17409"/>
      <w:bookmarkStart w:id="41" w:name="_Toc7335"/>
      <w:r>
        <w:rPr>
          <w:rFonts w:hint="eastAsia" w:ascii="Times New Roman" w:hAnsi="Times New Roman" w:eastAsia="宋体" w:cs="Times New Roman"/>
          <w:b/>
        </w:rPr>
        <w:t>统计数字化应用平台</w:t>
      </w:r>
      <w:bookmarkEnd w:id="38"/>
      <w:bookmarkEnd w:id="39"/>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依托统计业务支撑平台，本项目拟建设一套统计数字化应用体系，包括但不限于统计智能应用系统和统计移动应用系统，并在盟市推广使用，为统计局专业业务工作精细化、便捷化、智能可视化提供更可靠的技术支撑，实现内蒙古统计数字化、智能化的推广应用。本平台包括但不限于以下建设内容，依据实际需求进行完善，确保提升统计局各专业处室的工作效率，全面提升统计信息化工作和服务水平。</w:t>
      </w:r>
    </w:p>
    <w:p>
      <w:pPr>
        <w:keepNext/>
        <w:keepLines/>
        <w:numPr>
          <w:ilvl w:val="3"/>
          <w:numId w:val="1"/>
        </w:numPr>
        <w:tabs>
          <w:tab w:val="left" w:pos="420"/>
        </w:tabs>
        <w:spacing w:before="120" w:after="120" w:line="372" w:lineRule="auto"/>
        <w:ind w:firstLine="1044"/>
        <w:outlineLvl w:val="3"/>
        <w:rPr>
          <w:rFonts w:ascii="Arial" w:hAnsi="Arial" w:eastAsia="黑体" w:cs="Times New Roman"/>
          <w:b/>
          <w:sz w:val="28"/>
        </w:rPr>
      </w:pPr>
      <w:bookmarkStart w:id="42" w:name="_Hlk111046042"/>
      <w:r>
        <w:rPr>
          <w:rFonts w:hint="eastAsia" w:ascii="Arial" w:hAnsi="Arial" w:eastAsia="黑体" w:cs="Times New Roman"/>
          <w:b/>
          <w:sz w:val="28"/>
        </w:rPr>
        <w:t>统计智能应用系统</w:t>
      </w:r>
      <w:bookmarkEnd w:id="42"/>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数据查询展示</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本地数据导入可视化</w:t>
      </w:r>
    </w:p>
    <w:p>
      <w:pPr>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1.单点图、热力图</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能够对导入的单点数据以单点图、热力图展示其空间分布。</w:t>
      </w:r>
    </w:p>
    <w:p>
      <w:pPr>
        <w:numPr>
          <w:ilvl w:val="0"/>
          <w:numId w:val="9"/>
        </w:numPr>
        <w:spacing w:after="12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生成圆饼统计地图</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能够对导入的单点统计数据按照设定的空间区域进行统计并以圆饼图形式展示统计信息，针对特定区域内的单点数据圆饼统计图可以下钻，从自治区级能下钻到乡镇级。</w:t>
      </w:r>
    </w:p>
    <w:p>
      <w:pPr>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3.生成色块地区地图</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能够根据导入的单指标、双指标（多指标更好）表格，按需设定待可视的单指标，生成分地区的地图，不同地域的颜色根据表格中的数字大小进行分级设置着色。能够分盟市、分旗县（区）、分乡镇查看指标在地域上的分布情况。</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叠加展示</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叠加展示是指将不同图层数据或地图数据叠加到同一个地图中进行显示的功能。支持两个或更多图层及地图数据进行叠加显示。例如热力图与色块图叠加。</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时间轴展示</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能够以时间序列在图上相同的地域显示同类型数据在不同时期的空间数据变化，显示方式可根据需要以热力图、聚合图等形式展示。</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智能检索</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提供智能检索功能，支持将用户上传的本地矢量文件作为查询范围对设定的空间数据集进行空间检索，极大地方便工作人员快速查询需要的内容；支持对上传图层进行前端管理，可以进行自由选择图层，作为叠加检索的空间查询范围图层。</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图表联动</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针对几何要素的查询结果支持图表联动，当选定表格中某一条结果信息时，若该结果属于某一特定区域的，在地图上联动显示该区域，包括高亮突出显示、将该区域放大居中至地图窗口等。</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图数关联</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系统将统计数据与地图相结合，根据地图数据的类型，可以为统计数据源新增空间属性关联的指标字段，比如行政区划、规划区域、土地用途区域等，新增的这类指标字段都是可以和空间进行关联的，这样在最终的汇总结果中，可以将每一项统计数值赋值进地图图层，以更直观的形式进行呈现。</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图式编辑</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系统生成的各种图样、图式，用户能够编辑图例显示位置、图例占整图的比例、调整图例展示的指标、图例指标数字字体和大小。可以全图下载或导出。</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数据导出</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允许用户对自定义显示的列、指标或自定义查询结果进行导出，能够设定导出的格式（含excel、csv等）。导出数据表兼容WPS。上级用户对下级用户关于该功能的使用权限有完全的控制能力。</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“准四上”专题展示</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针对“准四上”单位数据，提供专题展示模块，支持分期别、分专业显示。</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基于“准四上”单位照片库，可显示照片可展示、分期别显示单位照片、随时对单位照片进行增减。能够对照片进行下载或导出。</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在线演示</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数据源管理</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支持数据源管理，用户可以自定义数据源，为演示内容选择需要的数据。支持数据源的新增、删除、修改、检索。</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演示组件管理</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在线演示模块提供图、表、文本、文本域、图片等多类型的演示组件的新增、修改、删除、检索等功能，用户可以导入新组件，支持组件的编辑、预览。</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在线编辑</w:t>
      </w:r>
    </w:p>
    <w:p>
      <w:pPr>
        <w:spacing w:line="360" w:lineRule="auto"/>
        <w:ind w:firstLine="480" w:firstLineChars="200"/>
        <w:rPr>
          <w:rFonts w:ascii="宋体" w:hAnsi="宋体" w:eastAsia="宋体" w:cs="Times New Roman"/>
          <w:kern w:val="0"/>
          <w:sz w:val="24"/>
          <w:lang w:val="zh-CN"/>
        </w:rPr>
      </w:pPr>
      <w:r>
        <w:rPr>
          <w:rFonts w:hint="eastAsia" w:ascii="宋体" w:hAnsi="宋体" w:eastAsia="宋体" w:cs="Times New Roman"/>
          <w:kern w:val="0"/>
          <w:sz w:val="24"/>
          <w:lang w:val="zh-CN"/>
        </w:rPr>
        <w:t>基于统计局定期演示汇报工作需求，统计数字化平台需建设在线演示模块，能够高效地提取数据库中的统计表、图表、智能报表等数据，高效生成各类统计图，同时提供文字、图像、图表等内容的编辑功能，提升用户单位汇报工作效率。</w:t>
      </w:r>
    </w:p>
    <w:p>
      <w:pPr>
        <w:spacing w:line="360" w:lineRule="auto"/>
        <w:ind w:firstLine="480" w:firstLineChars="200"/>
        <w:rPr>
          <w:rFonts w:ascii="宋体" w:hAnsi="宋体" w:eastAsia="宋体" w:cs="Times New Roman"/>
          <w:kern w:val="0"/>
          <w:sz w:val="24"/>
          <w:lang w:val="zh-CN"/>
        </w:rPr>
      </w:pPr>
      <w:r>
        <w:rPr>
          <w:rFonts w:hint="eastAsia" w:ascii="宋体" w:hAnsi="宋体" w:eastAsia="宋体" w:cs="Times New Roman"/>
          <w:kern w:val="0"/>
          <w:sz w:val="24"/>
          <w:lang w:val="zh-CN"/>
        </w:rPr>
        <w:t>在线演示</w:t>
      </w:r>
      <w:r>
        <w:rPr>
          <w:rFonts w:hint="eastAsia" w:ascii="宋体" w:hAnsi="宋体" w:eastAsia="宋体" w:cs="Times New Roman"/>
          <w:kern w:val="0"/>
          <w:sz w:val="24"/>
        </w:rPr>
        <w:t>应</w:t>
      </w:r>
      <w:r>
        <w:rPr>
          <w:rFonts w:hint="eastAsia" w:ascii="宋体" w:hAnsi="宋体" w:eastAsia="宋体" w:cs="Times New Roman"/>
          <w:kern w:val="0"/>
          <w:sz w:val="24"/>
          <w:lang w:val="zh-CN"/>
        </w:rPr>
        <w:t>具备</w:t>
      </w:r>
      <w:r>
        <w:rPr>
          <w:rFonts w:hint="eastAsia" w:ascii="宋体" w:hAnsi="宋体" w:eastAsia="宋体" w:cs="Times New Roman"/>
          <w:kern w:val="0"/>
          <w:sz w:val="24"/>
        </w:rPr>
        <w:t>如下功能</w:t>
      </w:r>
      <w:r>
        <w:rPr>
          <w:rFonts w:hint="eastAsia" w:ascii="宋体" w:hAnsi="宋体" w:eastAsia="宋体" w:cs="Times New Roman"/>
          <w:kern w:val="0"/>
          <w:sz w:val="24"/>
          <w:lang w:val="zh-CN"/>
        </w:rPr>
        <w:t>：</w:t>
      </w:r>
    </w:p>
    <w:p>
      <w:pPr>
        <w:numPr>
          <w:ilvl w:val="0"/>
          <w:numId w:val="10"/>
        </w:numPr>
        <w:spacing w:line="360" w:lineRule="auto"/>
        <w:rPr>
          <w:rFonts w:ascii="宋体" w:hAnsi="宋体" w:eastAsia="宋体" w:cs="Times New Roman"/>
          <w:kern w:val="0"/>
          <w:sz w:val="24"/>
        </w:rPr>
      </w:pPr>
      <w:r>
        <w:rPr>
          <w:rFonts w:hint="eastAsia" w:ascii="宋体" w:hAnsi="宋体" w:eastAsia="宋体" w:cs="Times New Roman"/>
          <w:kern w:val="0"/>
          <w:sz w:val="24"/>
        </w:rPr>
        <w:t>有着强大的制作功能、文字编辑功能强、段落格式丰富、文件格式多样、绘图手段齐全、色彩表现力强等。</w:t>
      </w:r>
    </w:p>
    <w:p>
      <w:pPr>
        <w:numPr>
          <w:ilvl w:val="0"/>
          <w:numId w:val="10"/>
        </w:numPr>
        <w:spacing w:line="360" w:lineRule="auto"/>
        <w:rPr>
          <w:rFonts w:ascii="宋体" w:hAnsi="宋体" w:eastAsia="宋体" w:cs="Times New Roman"/>
          <w:kern w:val="0"/>
          <w:sz w:val="24"/>
        </w:rPr>
      </w:pPr>
      <w:r>
        <w:rPr>
          <w:rFonts w:hint="eastAsia" w:ascii="宋体" w:hAnsi="宋体" w:eastAsia="宋体" w:cs="Times New Roman"/>
          <w:kern w:val="0"/>
          <w:sz w:val="24"/>
        </w:rPr>
        <w:t>支持组件的复制粘贴、拖动、放大缩小等操作，支持数据单元格复制粘贴操作，粘贴数据单元格时，支持数据校验；</w:t>
      </w:r>
    </w:p>
    <w:p>
      <w:pPr>
        <w:numPr>
          <w:ilvl w:val="0"/>
          <w:numId w:val="10"/>
        </w:numPr>
        <w:spacing w:line="360" w:lineRule="auto"/>
        <w:rPr>
          <w:rFonts w:ascii="宋体" w:hAnsi="宋体" w:eastAsia="宋体" w:cs="Times New Roman"/>
          <w:kern w:val="0"/>
          <w:sz w:val="24"/>
        </w:rPr>
      </w:pPr>
      <w:r>
        <w:rPr>
          <w:rFonts w:hint="eastAsia" w:ascii="宋体" w:hAnsi="宋体" w:eastAsia="宋体" w:cs="Times New Roman"/>
          <w:kern w:val="0"/>
          <w:sz w:val="24"/>
        </w:rPr>
        <w:t>单元格通用性极强，易学易用。</w:t>
      </w:r>
    </w:p>
    <w:p>
      <w:pPr>
        <w:numPr>
          <w:ilvl w:val="0"/>
          <w:numId w:val="10"/>
        </w:numPr>
        <w:spacing w:line="360" w:lineRule="auto"/>
        <w:rPr>
          <w:rFonts w:ascii="宋体" w:hAnsi="宋体" w:eastAsia="宋体" w:cs="Times New Roman"/>
          <w:kern w:val="0"/>
          <w:sz w:val="24"/>
        </w:rPr>
      </w:pPr>
      <w:r>
        <w:rPr>
          <w:rFonts w:hint="eastAsia" w:ascii="宋体" w:hAnsi="宋体" w:eastAsia="宋体" w:cs="Times New Roman"/>
          <w:kern w:val="0"/>
          <w:sz w:val="24"/>
        </w:rPr>
        <w:t>有强大的多媒体展示功能。</w:t>
      </w:r>
      <w:r>
        <w:rPr>
          <w:rFonts w:ascii="宋体" w:hAnsi="宋体" w:eastAsia="宋体" w:cs="Times New Roman"/>
          <w:kern w:val="0"/>
          <w:sz w:val="24"/>
        </w:rPr>
        <w:t>演示的内容可以是文本、图形、图表、图片或有声图像，并具有较好的交互功能和演示效果。</w:t>
      </w:r>
    </w:p>
    <w:p>
      <w:pPr>
        <w:numPr>
          <w:ilvl w:val="0"/>
          <w:numId w:val="10"/>
        </w:numPr>
        <w:spacing w:line="360" w:lineRule="auto"/>
        <w:rPr>
          <w:rFonts w:ascii="宋体" w:hAnsi="宋体" w:eastAsia="宋体" w:cs="Times New Roman"/>
          <w:kern w:val="0"/>
          <w:sz w:val="24"/>
        </w:rPr>
      </w:pPr>
      <w:r>
        <w:rPr>
          <w:rFonts w:hint="eastAsia" w:ascii="宋体" w:hAnsi="宋体" w:eastAsia="宋体" w:cs="Times New Roman"/>
          <w:kern w:val="0"/>
          <w:sz w:val="24"/>
        </w:rPr>
        <w:t>较好的</w:t>
      </w:r>
      <w:r>
        <w:rPr>
          <w:rFonts w:ascii="宋体" w:hAnsi="宋体" w:eastAsia="宋体" w:cs="Times New Roman"/>
          <w:kern w:val="0"/>
          <w:sz w:val="24"/>
        </w:rPr>
        <w:t>Web支持功能。</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报表导入</w:t>
      </w:r>
    </w:p>
    <w:p>
      <w:pPr>
        <w:spacing w:line="360" w:lineRule="auto"/>
        <w:ind w:firstLine="480" w:firstLineChars="200"/>
        <w:rPr>
          <w:rFonts w:ascii="宋体" w:hAnsi="宋体" w:eastAsia="宋体" w:cs="Times New Roman"/>
          <w:kern w:val="0"/>
          <w:sz w:val="24"/>
          <w:lang w:val="zh-CN"/>
        </w:rPr>
      </w:pPr>
      <w:r>
        <w:rPr>
          <w:rFonts w:hint="eastAsia" w:ascii="宋体" w:hAnsi="宋体" w:eastAsia="宋体" w:cs="Times New Roman"/>
          <w:kern w:val="0"/>
          <w:sz w:val="24"/>
          <w:lang w:val="zh-CN"/>
        </w:rPr>
        <w:t>演示系统支持对接专题展示、智能报表、复杂报表模块数据，可在线生成各类统计图表并导入在线演示模块中，支持通过工具栏对图表的数据、样式进行修改。提供基础图表样式库，支持用户自定义，支持用户导入或新建图表，包含并不限于以下图表：</w:t>
      </w:r>
    </w:p>
    <w:p>
      <w:pPr>
        <w:numPr>
          <w:ilvl w:val="0"/>
          <w:numId w:val="11"/>
        </w:numPr>
        <w:spacing w:line="360" w:lineRule="auto"/>
        <w:rPr>
          <w:rFonts w:ascii="宋体" w:hAnsi="宋体" w:eastAsia="宋体" w:cs="Times New Roman"/>
          <w:kern w:val="0"/>
          <w:sz w:val="24"/>
        </w:rPr>
      </w:pPr>
      <w:r>
        <w:rPr>
          <w:rFonts w:hint="eastAsia" w:ascii="宋体" w:hAnsi="宋体" w:eastAsia="宋体" w:cs="Times New Roman"/>
          <w:kern w:val="0"/>
          <w:sz w:val="24"/>
        </w:rPr>
        <w:t>柱状图：它的适用场合是二维数据集</w:t>
      </w:r>
      <w:r>
        <w:rPr>
          <w:rFonts w:ascii="宋体" w:hAnsi="宋体" w:eastAsia="宋体" w:cs="Times New Roman"/>
          <w:kern w:val="0"/>
          <w:sz w:val="24"/>
        </w:rPr>
        <w:t>，但只有一个维度需要比较</w:t>
      </w:r>
      <w:r>
        <w:rPr>
          <w:rFonts w:hint="eastAsia" w:ascii="宋体" w:hAnsi="宋体" w:eastAsia="宋体" w:cs="Times New Roman"/>
          <w:kern w:val="0"/>
          <w:sz w:val="24"/>
        </w:rPr>
        <w:t>；</w:t>
      </w:r>
    </w:p>
    <w:p>
      <w:pPr>
        <w:numPr>
          <w:ilvl w:val="0"/>
          <w:numId w:val="11"/>
        </w:numPr>
        <w:spacing w:line="360" w:lineRule="auto"/>
        <w:rPr>
          <w:rFonts w:ascii="宋体" w:hAnsi="宋体" w:eastAsia="宋体" w:cs="Times New Roman"/>
          <w:kern w:val="0"/>
          <w:sz w:val="24"/>
        </w:rPr>
      </w:pPr>
      <w:r>
        <w:rPr>
          <w:rFonts w:hint="eastAsia" w:ascii="宋体" w:hAnsi="宋体" w:eastAsia="宋体" w:cs="Times New Roman"/>
          <w:kern w:val="0"/>
          <w:sz w:val="24"/>
        </w:rPr>
        <w:t>折线图：折适合二维的大数据集，尤其是那些趋势比单个数据点更重要的场合；</w:t>
      </w:r>
    </w:p>
    <w:p>
      <w:pPr>
        <w:numPr>
          <w:ilvl w:val="0"/>
          <w:numId w:val="11"/>
        </w:numPr>
        <w:spacing w:line="360" w:lineRule="auto"/>
        <w:rPr>
          <w:rFonts w:ascii="宋体" w:hAnsi="宋体" w:eastAsia="宋体" w:cs="Times New Roman"/>
          <w:kern w:val="0"/>
          <w:sz w:val="24"/>
        </w:rPr>
      </w:pPr>
      <w:r>
        <w:rPr>
          <w:rFonts w:hint="eastAsia" w:ascii="宋体" w:hAnsi="宋体" w:eastAsia="宋体" w:cs="Times New Roman"/>
          <w:kern w:val="0"/>
          <w:sz w:val="24"/>
        </w:rPr>
        <w:t>饼图：适用简单的占比图，在不要求数据精细的情况下可以适用；</w:t>
      </w:r>
    </w:p>
    <w:p>
      <w:pPr>
        <w:numPr>
          <w:ilvl w:val="0"/>
          <w:numId w:val="11"/>
        </w:numPr>
        <w:spacing w:line="360" w:lineRule="auto"/>
        <w:rPr>
          <w:rFonts w:ascii="宋体" w:hAnsi="宋体" w:eastAsia="宋体" w:cs="Times New Roman"/>
          <w:kern w:val="0"/>
          <w:sz w:val="24"/>
        </w:rPr>
      </w:pPr>
      <w:r>
        <w:rPr>
          <w:rFonts w:hint="eastAsia" w:ascii="宋体" w:hAnsi="宋体" w:eastAsia="宋体" w:cs="Times New Roman"/>
          <w:kern w:val="0"/>
          <w:sz w:val="24"/>
        </w:rPr>
        <w:t>漏斗图：适用于业务流程比较规范、周期长、环节多的流程分析，通过漏斗各环节业务数据的比较，能够直观地发现和说明问题所在；</w:t>
      </w:r>
    </w:p>
    <w:p>
      <w:pPr>
        <w:numPr>
          <w:ilvl w:val="0"/>
          <w:numId w:val="11"/>
        </w:numPr>
        <w:spacing w:line="360" w:lineRule="auto"/>
        <w:rPr>
          <w:rFonts w:ascii="宋体" w:hAnsi="宋体" w:eastAsia="宋体" w:cs="Times New Roman"/>
          <w:kern w:val="0"/>
          <w:sz w:val="24"/>
        </w:rPr>
      </w:pPr>
      <w:r>
        <w:rPr>
          <w:rFonts w:hint="eastAsia" w:ascii="宋体" w:hAnsi="宋体" w:eastAsia="宋体" w:cs="Times New Roman"/>
          <w:kern w:val="0"/>
          <w:sz w:val="24"/>
        </w:rPr>
        <w:t>地图：适用于有空间位置的数据集；</w:t>
      </w:r>
    </w:p>
    <w:p>
      <w:pPr>
        <w:numPr>
          <w:ilvl w:val="0"/>
          <w:numId w:val="11"/>
        </w:numPr>
        <w:spacing w:line="360" w:lineRule="auto"/>
        <w:rPr>
          <w:rFonts w:ascii="宋体" w:hAnsi="宋体" w:eastAsia="宋体" w:cs="Times New Roman"/>
          <w:kern w:val="0"/>
          <w:sz w:val="24"/>
        </w:rPr>
      </w:pPr>
      <w:r>
        <w:rPr>
          <w:rFonts w:hint="eastAsia" w:ascii="宋体" w:hAnsi="宋体" w:eastAsia="宋体" w:cs="Times New Roman"/>
          <w:kern w:val="0"/>
          <w:sz w:val="24"/>
        </w:rPr>
        <w:t>雷达图：雷达图是一种类似蜘蛛网的网状图，可以对两组项目的多种变量的项目进行对比，它可以反映数据相对中心点和其他数据点的变化情况，可以清楚地反映事物的整体情况。雷达图适用于多维数据（四维以上），且每个维度必须可以排序。</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报表动态可视化管理</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演示系统支持在演示方案编辑及放映过程中对图表进行动态可视化管理，即在设置数据源之后，图表具有动态效果播放，如加载的柱状图中，柱子能够由下而上逐渐显示的播放效果，饼图中饼能够由内而外的逐渐显示的播放效果等，且对于各类图表可进行图例、名称、颜色等动态配置，最大限度地满足用户应用场景的需求。</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演示放映</w:t>
      </w:r>
    </w:p>
    <w:p>
      <w:pPr>
        <w:spacing w:line="360" w:lineRule="auto"/>
        <w:ind w:firstLine="480" w:firstLineChars="200"/>
        <w:rPr>
          <w:rFonts w:ascii="宋体" w:hAnsi="宋体" w:eastAsia="宋体" w:cs="Times New Roman"/>
          <w:kern w:val="0"/>
          <w:sz w:val="24"/>
          <w:lang w:val="zh-CN"/>
        </w:rPr>
      </w:pPr>
      <w:r>
        <w:rPr>
          <w:rFonts w:hint="eastAsia" w:ascii="宋体" w:hAnsi="宋体" w:eastAsia="宋体" w:cs="Times New Roman"/>
          <w:kern w:val="0"/>
          <w:sz w:val="24"/>
          <w:lang w:val="zh-CN"/>
        </w:rPr>
        <w:t>系统可协助用户创建具有特殊内容的演示文稿。它增强了多媒体支持功能，利用在线演示功能制作的演示文稿，可将演示文稿制作成一页一页的幻灯片，使用幻灯片机或投影仪播放，并可在幻灯片放映过程中插入图表与图片。为了增强演示效果、帮助用户表达逻辑、突出重点，支持动画效果播放和个性化的页面切换效果。同时对用户界面进行了改进并增强了对智能标记的支持，可以更加便捷地查看和创建高品质的演示文稿。</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演示模板</w:t>
      </w:r>
    </w:p>
    <w:p>
      <w:pPr>
        <w:spacing w:line="360" w:lineRule="auto"/>
        <w:ind w:firstLine="480" w:firstLineChars="200"/>
        <w:rPr>
          <w:rFonts w:ascii="宋体" w:hAnsi="宋体" w:eastAsia="宋体" w:cs="Times New Roman"/>
          <w:kern w:val="0"/>
          <w:sz w:val="24"/>
          <w:lang w:val="zh-CN"/>
        </w:rPr>
      </w:pPr>
      <w:r>
        <w:rPr>
          <w:rFonts w:hint="eastAsia" w:ascii="宋体" w:hAnsi="宋体" w:eastAsia="宋体" w:cs="Times New Roman"/>
          <w:kern w:val="0"/>
          <w:sz w:val="24"/>
          <w:lang w:val="zh-CN"/>
        </w:rPr>
        <w:t>演示模板功能</w:t>
      </w:r>
      <w:r>
        <w:rPr>
          <w:rFonts w:hint="eastAsia" w:ascii="宋体" w:hAnsi="宋体" w:eastAsia="宋体" w:cs="Times New Roman"/>
          <w:kern w:val="0"/>
          <w:sz w:val="24"/>
        </w:rPr>
        <w:t>提供基于角色的模板管理功能，</w:t>
      </w:r>
      <w:r>
        <w:rPr>
          <w:rFonts w:ascii="宋体" w:hAnsi="宋体" w:eastAsia="宋体" w:cs="Times New Roman"/>
          <w:kern w:val="0"/>
          <w:sz w:val="24"/>
          <w:lang w:val="zh-CN"/>
        </w:rPr>
        <w:t>不同行业、部门、专业的</w:t>
      </w:r>
      <w:r>
        <w:rPr>
          <w:rFonts w:hint="eastAsia" w:ascii="宋体" w:hAnsi="宋体" w:eastAsia="宋体" w:cs="Times New Roman"/>
          <w:kern w:val="0"/>
          <w:sz w:val="24"/>
          <w:lang w:val="zh-CN"/>
        </w:rPr>
        <w:t>工作人员可根据自身常用数据与版式，制作对应的演示文稿模板并存储。演示文稿模板支持数据自定义、样式自定义、排版自定义。用户进行在线编辑时，可通过导入模板，实现智能化对接数据与演示文稿高效渲染，提升工作效率。</w:t>
      </w:r>
    </w:p>
    <w:p>
      <w:pPr>
        <w:keepNext/>
        <w:keepLines/>
        <w:numPr>
          <w:ilvl w:val="5"/>
          <w:numId w:val="1"/>
        </w:numPr>
        <w:spacing w:before="240" w:after="64" w:line="317" w:lineRule="auto"/>
        <w:ind w:firstLine="482" w:firstLineChars="200"/>
        <w:outlineLvl w:val="5"/>
        <w:rPr>
          <w:rFonts w:ascii="Arial" w:hAnsi="Arial" w:eastAsia="黑体" w:cs="Times New Roman"/>
          <w:b/>
          <w:sz w:val="24"/>
        </w:rPr>
      </w:pPr>
      <w:r>
        <w:rPr>
          <w:rFonts w:hint="eastAsia" w:ascii="Arial" w:hAnsi="Arial" w:eastAsia="黑体" w:cs="Times New Roman"/>
          <w:b/>
          <w:sz w:val="24"/>
        </w:rPr>
        <w:t>文件导入</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支持演示系统自定义格式和通过WPS、Office等软件创建的PPTX格式的演示文稿导入到在线演示系统中，支持文本、表格、图片、图形、图表等组件的解析。可基于导入文稿进行文本、表格、图片、图形、图表等内容的二次编辑，通过补充完善初始文稿以形成最终的演示方案。</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文件导出</w:t>
      </w:r>
    </w:p>
    <w:p>
      <w:pPr>
        <w:spacing w:line="360" w:lineRule="auto"/>
        <w:ind w:firstLine="480" w:firstLineChars="200"/>
        <w:rPr>
          <w:rFonts w:ascii="宋体" w:hAnsi="宋体" w:eastAsia="宋体" w:cs="Times New Roman"/>
          <w:kern w:val="0"/>
          <w:sz w:val="24"/>
        </w:rPr>
      </w:pPr>
      <w:r>
        <w:rPr>
          <w:rFonts w:hint="eastAsia" w:ascii="宋体" w:hAnsi="宋体" w:eastAsia="宋体" w:cs="Times New Roman"/>
          <w:kern w:val="0"/>
          <w:sz w:val="24"/>
          <w:lang w:val="zh-CN"/>
        </w:rPr>
        <w:t>支持演示文稿在线导出功能</w:t>
      </w:r>
      <w:r>
        <w:rPr>
          <w:rFonts w:hint="eastAsia" w:ascii="宋体" w:hAnsi="宋体" w:eastAsia="宋体" w:cs="Times New Roman"/>
          <w:kern w:val="0"/>
          <w:sz w:val="24"/>
        </w:rPr>
        <w:t>，</w:t>
      </w:r>
      <w:r>
        <w:rPr>
          <w:rFonts w:hint="eastAsia" w:ascii="宋体" w:hAnsi="宋体" w:eastAsia="宋体" w:cs="Times New Roman"/>
          <w:kern w:val="0"/>
          <w:sz w:val="24"/>
          <w:lang w:val="zh-CN"/>
        </w:rPr>
        <w:t>可导出为</w:t>
      </w:r>
      <w:r>
        <w:rPr>
          <w:rFonts w:ascii="宋体" w:hAnsi="宋体" w:eastAsia="宋体" w:cs="Times New Roman"/>
          <w:kern w:val="0"/>
          <w:sz w:val="24"/>
        </w:rPr>
        <w:t>ppt</w:t>
      </w:r>
      <w:r>
        <w:rPr>
          <w:rFonts w:hint="eastAsia" w:ascii="宋体" w:hAnsi="宋体" w:eastAsia="宋体" w:cs="Times New Roman"/>
          <w:kern w:val="0"/>
          <w:sz w:val="24"/>
        </w:rPr>
        <w:t>、</w:t>
      </w:r>
      <w:r>
        <w:rPr>
          <w:rFonts w:ascii="宋体" w:hAnsi="宋体" w:eastAsia="宋体" w:cs="Times New Roman"/>
          <w:kern w:val="0"/>
          <w:sz w:val="24"/>
        </w:rPr>
        <w:t>pptx</w:t>
      </w:r>
      <w:r>
        <w:rPr>
          <w:rFonts w:hint="eastAsia" w:ascii="宋体" w:hAnsi="宋体" w:eastAsia="宋体" w:cs="Times New Roman"/>
          <w:kern w:val="0"/>
          <w:sz w:val="24"/>
        </w:rPr>
        <w:t>等文件格式，支持在线下载。导出的文件可用于离线使用WPS、Office等软件查看。</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执法检查</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执法检查系统是自治区统计行政执法</w:t>
      </w:r>
      <w:r>
        <w:rPr>
          <w:rFonts w:hint="eastAsia" w:ascii="Times New Roman" w:hAnsi="Times New Roman" w:eastAsia="宋体" w:cs="Times New Roman"/>
          <w:sz w:val="24"/>
          <w:szCs w:val="20"/>
          <w:lang w:eastAsia="zh-Hans"/>
        </w:rPr>
        <w:t>的</w:t>
      </w:r>
      <w:r>
        <w:rPr>
          <w:rFonts w:hint="eastAsia" w:ascii="Times New Roman" w:hAnsi="Times New Roman" w:eastAsia="宋体" w:cs="Times New Roman"/>
          <w:sz w:val="24"/>
          <w:szCs w:val="20"/>
        </w:rPr>
        <w:t>综合平台，能够</w:t>
      </w:r>
      <w:r>
        <w:rPr>
          <w:rFonts w:ascii="Times New Roman" w:hAnsi="Times New Roman" w:eastAsia="宋体" w:cs="Times New Roman"/>
          <w:sz w:val="24"/>
          <w:szCs w:val="20"/>
        </w:rPr>
        <w:t>实现统计执法全流程信息化，检查方案制定，检查任务生成、现场检查、整改处罚、执法人员管理、资料管理等一系列功能，对基础数据、执法业务流程、执法数据、执法辅助业务进行信息化管理。实现统计执法监督检查业务全流程信息化为目标，坚持安全、便捷、稳定原则，兼容统计云标准办公设备和网络以及“统计云”总体环境，建设满足内蒙</w:t>
      </w:r>
      <w:r>
        <w:rPr>
          <w:rFonts w:hint="eastAsia" w:ascii="Times New Roman" w:hAnsi="Times New Roman" w:eastAsia="宋体" w:cs="Times New Roman"/>
          <w:sz w:val="24"/>
          <w:szCs w:val="20"/>
        </w:rPr>
        <w:t>古</w:t>
      </w:r>
      <w:r>
        <w:rPr>
          <w:rFonts w:ascii="Times New Roman" w:hAnsi="Times New Roman" w:eastAsia="宋体" w:cs="Times New Roman"/>
          <w:sz w:val="24"/>
          <w:szCs w:val="20"/>
        </w:rPr>
        <w:t>统计执法监督业务需求的信息化平台。内蒙统计执法监督检查信息化平台建设包括</w:t>
      </w:r>
      <w:r>
        <w:rPr>
          <w:rFonts w:hint="eastAsia" w:ascii="Times New Roman" w:hAnsi="Times New Roman" w:eastAsia="宋体" w:cs="Times New Roman"/>
          <w:sz w:val="24"/>
          <w:szCs w:val="20"/>
          <w:lang w:eastAsia="zh-Hans"/>
        </w:rPr>
        <w:t>法律法规管理</w:t>
      </w:r>
      <w:r>
        <w:rPr>
          <w:rFonts w:ascii="Times New Roman" w:hAnsi="Times New Roman" w:eastAsia="宋体" w:cs="Times New Roman"/>
          <w:sz w:val="24"/>
          <w:szCs w:val="20"/>
          <w:lang w:eastAsia="zh-Hans"/>
        </w:rPr>
        <w:t>、</w:t>
      </w:r>
      <w:r>
        <w:rPr>
          <w:rFonts w:hint="eastAsia" w:ascii="Times New Roman" w:hAnsi="Times New Roman" w:eastAsia="宋体" w:cs="Times New Roman"/>
          <w:sz w:val="24"/>
          <w:szCs w:val="20"/>
          <w:lang w:eastAsia="zh-Hans"/>
        </w:rPr>
        <w:t>执法人员管理</w:t>
      </w:r>
      <w:r>
        <w:rPr>
          <w:rFonts w:ascii="Times New Roman" w:hAnsi="Times New Roman" w:eastAsia="宋体" w:cs="Times New Roman"/>
          <w:sz w:val="24"/>
          <w:szCs w:val="20"/>
          <w:lang w:eastAsia="zh-Hans"/>
        </w:rPr>
        <w:t>、</w:t>
      </w:r>
      <w:r>
        <w:rPr>
          <w:rFonts w:hint="eastAsia" w:ascii="Times New Roman" w:hAnsi="Times New Roman" w:eastAsia="宋体" w:cs="Times New Roman"/>
          <w:sz w:val="24"/>
          <w:szCs w:val="20"/>
          <w:lang w:eastAsia="zh-Hans"/>
        </w:rPr>
        <w:t>案源管理</w:t>
      </w:r>
      <w:r>
        <w:rPr>
          <w:rFonts w:ascii="Times New Roman" w:hAnsi="Times New Roman" w:eastAsia="宋体" w:cs="Times New Roman"/>
          <w:sz w:val="24"/>
          <w:szCs w:val="20"/>
          <w:lang w:eastAsia="zh-Hans"/>
        </w:rPr>
        <w:t>、</w:t>
      </w:r>
      <w:r>
        <w:rPr>
          <w:rFonts w:hint="eastAsia" w:ascii="Times New Roman" w:hAnsi="Times New Roman" w:eastAsia="宋体" w:cs="Times New Roman"/>
          <w:sz w:val="24"/>
          <w:szCs w:val="20"/>
          <w:lang w:eastAsia="zh-Hans"/>
        </w:rPr>
        <w:t>监督检查</w:t>
      </w:r>
      <w:r>
        <w:rPr>
          <w:rFonts w:ascii="Times New Roman" w:hAnsi="Times New Roman" w:eastAsia="宋体" w:cs="Times New Roman"/>
          <w:sz w:val="24"/>
          <w:szCs w:val="20"/>
          <w:lang w:eastAsia="zh-Hans"/>
        </w:rPr>
        <w:t>、</w:t>
      </w:r>
      <w:r>
        <w:rPr>
          <w:rFonts w:hint="eastAsia" w:ascii="Times New Roman" w:hAnsi="Times New Roman" w:eastAsia="宋体" w:cs="Times New Roman"/>
          <w:sz w:val="24"/>
          <w:szCs w:val="20"/>
          <w:lang w:eastAsia="zh-Hans"/>
        </w:rPr>
        <w:t>行政处罚</w:t>
      </w:r>
      <w:r>
        <w:rPr>
          <w:rFonts w:ascii="Times New Roman" w:hAnsi="Times New Roman" w:eastAsia="宋体" w:cs="Times New Roman"/>
          <w:sz w:val="24"/>
          <w:szCs w:val="20"/>
          <w:lang w:eastAsia="zh-Hans"/>
        </w:rPr>
        <w:t>、</w:t>
      </w:r>
      <w:r>
        <w:rPr>
          <w:rFonts w:hint="eastAsia" w:ascii="Times New Roman" w:hAnsi="Times New Roman" w:eastAsia="宋体" w:cs="Times New Roman"/>
          <w:sz w:val="24"/>
          <w:szCs w:val="20"/>
          <w:lang w:eastAsia="zh-Hans"/>
        </w:rPr>
        <w:t>统计分析</w:t>
      </w:r>
      <w:r>
        <w:rPr>
          <w:rFonts w:ascii="Times New Roman" w:hAnsi="Times New Roman" w:eastAsia="宋体" w:cs="Times New Roman"/>
          <w:sz w:val="24"/>
          <w:szCs w:val="20"/>
          <w:lang w:eastAsia="zh-Hans"/>
        </w:rPr>
        <w:t>、</w:t>
      </w:r>
      <w:r>
        <w:rPr>
          <w:rFonts w:hint="eastAsia" w:ascii="Times New Roman" w:hAnsi="Times New Roman" w:eastAsia="宋体" w:cs="Times New Roman"/>
          <w:sz w:val="24"/>
          <w:szCs w:val="20"/>
          <w:lang w:eastAsia="zh-Hans"/>
        </w:rPr>
        <w:t>执法业务引擎</w:t>
      </w:r>
      <w:r>
        <w:rPr>
          <w:rFonts w:ascii="Times New Roman" w:hAnsi="Times New Roman" w:eastAsia="宋体" w:cs="Times New Roman"/>
          <w:sz w:val="24"/>
          <w:szCs w:val="20"/>
        </w:rPr>
        <w:t>等。</w:t>
      </w:r>
    </w:p>
    <w:p>
      <w:pPr>
        <w:spacing w:line="360" w:lineRule="auto"/>
        <w:ind w:firstLine="480" w:firstLineChars="200"/>
        <w:rPr>
          <w:rFonts w:ascii="Times New Roman" w:hAnsi="Times New Roman" w:eastAsia="宋体" w:cs="Times New Roman"/>
          <w:sz w:val="24"/>
          <w:szCs w:val="20"/>
          <w:lang w:eastAsia="zh-Hans"/>
        </w:rPr>
      </w:pPr>
      <w:r>
        <w:rPr>
          <w:rFonts w:hint="eastAsia" w:ascii="Times New Roman" w:hAnsi="Times New Roman" w:eastAsia="宋体" w:cs="Times New Roman"/>
          <w:sz w:val="24"/>
          <w:szCs w:val="20"/>
        </w:rPr>
        <w:t>执法检查系统综合应用云计算、大数据、地理信息等现代信息技术，全面落实国家、自治区关于法治政府建设相关政策文件要求，构建了内蒙统计执法特色全过程记录模式。系统实现了对行政执法人员、行政执法事项和行政执法对象的规范化、标准化、编码化和动态化监管。</w:t>
      </w:r>
    </w:p>
    <w:p>
      <w:pPr>
        <w:spacing w:line="360" w:lineRule="auto"/>
        <w:ind w:firstLine="480" w:firstLineChars="200"/>
        <w:rPr>
          <w:rFonts w:ascii="Times New Roman" w:hAnsi="Times New Roman" w:eastAsia="宋体" w:cs="Times New Roman"/>
          <w:sz w:val="24"/>
          <w:szCs w:val="20"/>
          <w:lang w:eastAsia="zh-Hans"/>
        </w:rPr>
      </w:pPr>
      <w:r>
        <w:rPr>
          <w:rFonts w:hint="eastAsia" w:ascii="Times New Roman" w:hAnsi="Times New Roman" w:eastAsia="宋体" w:cs="Times New Roman"/>
          <w:sz w:val="24"/>
          <w:szCs w:val="20"/>
        </w:rPr>
        <w:t>执法检查系统包括</w:t>
      </w:r>
      <w:r>
        <w:rPr>
          <w:rFonts w:hint="eastAsia" w:ascii="Times New Roman" w:hAnsi="Times New Roman" w:eastAsia="宋体" w:cs="Times New Roman"/>
          <w:sz w:val="24"/>
          <w:szCs w:val="20"/>
          <w:lang w:eastAsia="zh-Hans"/>
        </w:rPr>
        <w:t>法律法规管理</w:t>
      </w:r>
      <w:r>
        <w:rPr>
          <w:rFonts w:ascii="Times New Roman" w:hAnsi="Times New Roman" w:eastAsia="宋体" w:cs="Times New Roman"/>
          <w:sz w:val="24"/>
          <w:szCs w:val="20"/>
          <w:lang w:eastAsia="zh-Hans"/>
        </w:rPr>
        <w:t>、</w:t>
      </w:r>
      <w:r>
        <w:rPr>
          <w:rFonts w:hint="eastAsia" w:ascii="Times New Roman" w:hAnsi="Times New Roman" w:eastAsia="宋体" w:cs="Times New Roman"/>
          <w:sz w:val="24"/>
          <w:szCs w:val="20"/>
          <w:lang w:eastAsia="zh-Hans"/>
        </w:rPr>
        <w:t>执法人员管理</w:t>
      </w:r>
      <w:r>
        <w:rPr>
          <w:rFonts w:ascii="Times New Roman" w:hAnsi="Times New Roman" w:eastAsia="宋体" w:cs="Times New Roman"/>
          <w:sz w:val="24"/>
          <w:szCs w:val="20"/>
          <w:lang w:eastAsia="zh-Hans"/>
        </w:rPr>
        <w:t>、</w:t>
      </w:r>
      <w:r>
        <w:rPr>
          <w:rFonts w:hint="eastAsia" w:ascii="Times New Roman" w:hAnsi="Times New Roman" w:eastAsia="宋体" w:cs="Times New Roman"/>
          <w:sz w:val="24"/>
          <w:szCs w:val="20"/>
          <w:lang w:eastAsia="zh-Hans"/>
        </w:rPr>
        <w:t>案源管理</w:t>
      </w:r>
      <w:r>
        <w:rPr>
          <w:rFonts w:ascii="Times New Roman" w:hAnsi="Times New Roman" w:eastAsia="宋体" w:cs="Times New Roman"/>
          <w:sz w:val="24"/>
          <w:szCs w:val="20"/>
          <w:lang w:eastAsia="zh-Hans"/>
        </w:rPr>
        <w:t>、</w:t>
      </w:r>
      <w:r>
        <w:rPr>
          <w:rFonts w:hint="eastAsia" w:ascii="Times New Roman" w:hAnsi="Times New Roman" w:eastAsia="宋体" w:cs="Times New Roman"/>
          <w:sz w:val="24"/>
          <w:szCs w:val="20"/>
          <w:lang w:eastAsia="zh-Hans"/>
        </w:rPr>
        <w:t>监督检查</w:t>
      </w:r>
      <w:r>
        <w:rPr>
          <w:rFonts w:ascii="Times New Roman" w:hAnsi="Times New Roman" w:eastAsia="宋体" w:cs="Times New Roman"/>
          <w:sz w:val="24"/>
          <w:szCs w:val="20"/>
          <w:lang w:eastAsia="zh-Hans"/>
        </w:rPr>
        <w:t>、</w:t>
      </w:r>
      <w:r>
        <w:rPr>
          <w:rFonts w:hint="eastAsia" w:ascii="Times New Roman" w:hAnsi="Times New Roman" w:eastAsia="宋体" w:cs="Times New Roman"/>
          <w:sz w:val="24"/>
          <w:szCs w:val="20"/>
          <w:lang w:eastAsia="zh-Hans"/>
        </w:rPr>
        <w:t>行政处罚</w:t>
      </w:r>
      <w:r>
        <w:rPr>
          <w:rFonts w:ascii="Times New Roman" w:hAnsi="Times New Roman" w:eastAsia="宋体" w:cs="Times New Roman"/>
          <w:sz w:val="24"/>
          <w:szCs w:val="20"/>
          <w:lang w:eastAsia="zh-Hans"/>
        </w:rPr>
        <w:t>、</w:t>
      </w:r>
      <w:r>
        <w:rPr>
          <w:rFonts w:hint="eastAsia" w:ascii="Times New Roman" w:hAnsi="Times New Roman" w:eastAsia="宋体" w:cs="Times New Roman"/>
          <w:sz w:val="24"/>
          <w:szCs w:val="20"/>
          <w:lang w:eastAsia="zh-Hans"/>
        </w:rPr>
        <w:t>统计分析</w:t>
      </w:r>
      <w:r>
        <w:rPr>
          <w:rFonts w:ascii="Times New Roman" w:hAnsi="Times New Roman" w:eastAsia="宋体" w:cs="Times New Roman"/>
          <w:sz w:val="24"/>
          <w:szCs w:val="20"/>
          <w:lang w:eastAsia="zh-Hans"/>
        </w:rPr>
        <w:t>、</w:t>
      </w:r>
      <w:r>
        <w:rPr>
          <w:rFonts w:hint="eastAsia" w:ascii="Times New Roman" w:hAnsi="Times New Roman" w:eastAsia="宋体" w:cs="Times New Roman"/>
          <w:sz w:val="24"/>
          <w:szCs w:val="20"/>
          <w:lang w:eastAsia="zh-Hans"/>
        </w:rPr>
        <w:t>执法业务引擎</w:t>
      </w:r>
      <w:r>
        <w:rPr>
          <w:rFonts w:ascii="Times New Roman" w:hAnsi="Times New Roman" w:eastAsia="宋体" w:cs="Times New Roman"/>
          <w:sz w:val="24"/>
          <w:szCs w:val="20"/>
          <w:lang w:eastAsia="zh-Hans"/>
        </w:rPr>
        <w:t>。</w:t>
      </w:r>
    </w:p>
    <w:p>
      <w:pPr>
        <w:spacing w:line="360" w:lineRule="auto"/>
        <w:ind w:firstLine="480" w:firstLineChars="200"/>
        <w:rPr>
          <w:rFonts w:ascii="宋体" w:hAnsi="宋体" w:eastAsia="宋体" w:cs="Times New Roman"/>
          <w:sz w:val="24"/>
          <w:szCs w:val="20"/>
        </w:rPr>
      </w:pPr>
      <w:r>
        <w:rPr>
          <w:rFonts w:hint="eastAsia" w:ascii="Times New Roman" w:hAnsi="Times New Roman" w:eastAsia="宋体" w:cs="Times New Roman"/>
          <w:sz w:val="24"/>
          <w:szCs w:val="20"/>
        </w:rPr>
        <w:t>执法检查系统</w:t>
      </w:r>
      <w:r>
        <w:rPr>
          <w:rFonts w:hint="eastAsia" w:ascii="Times New Roman" w:hAnsi="Times New Roman" w:eastAsia="宋体" w:cs="Times New Roman"/>
          <w:sz w:val="24"/>
          <w:szCs w:val="20"/>
          <w:lang w:eastAsia="zh-Hans"/>
        </w:rPr>
        <w:t>实现</w:t>
      </w:r>
      <w:r>
        <w:rPr>
          <w:rFonts w:hint="eastAsia" w:ascii="宋体" w:hAnsi="宋体" w:eastAsia="宋体" w:cs="Times New Roman"/>
          <w:sz w:val="24"/>
          <w:szCs w:val="20"/>
        </w:rPr>
        <w:t>与各级执法检查平台</w:t>
      </w:r>
      <w:r>
        <w:rPr>
          <w:rFonts w:hint="eastAsia" w:ascii="宋体" w:hAnsi="宋体" w:eastAsia="宋体" w:cs="Times New Roman"/>
          <w:sz w:val="24"/>
          <w:szCs w:val="20"/>
          <w:lang w:eastAsia="zh-Hans"/>
        </w:rPr>
        <w:t>的案源</w:t>
      </w:r>
      <w:r>
        <w:rPr>
          <w:rFonts w:hint="eastAsia" w:ascii="宋体" w:hAnsi="宋体" w:eastAsia="宋体" w:cs="Times New Roman"/>
          <w:sz w:val="24"/>
          <w:szCs w:val="20"/>
        </w:rPr>
        <w:t>对接</w:t>
      </w:r>
      <w:r>
        <w:rPr>
          <w:rFonts w:hint="eastAsia" w:ascii="宋体" w:hAnsi="宋体" w:eastAsia="宋体" w:cs="Times New Roman"/>
          <w:sz w:val="24"/>
          <w:szCs w:val="20"/>
          <w:lang w:eastAsia="zh-Hans"/>
        </w:rPr>
        <w:t>及督办对接</w:t>
      </w:r>
      <w:r>
        <w:rPr>
          <w:rFonts w:hint="eastAsia" w:ascii="宋体" w:hAnsi="宋体" w:eastAsia="宋体" w:cs="Times New Roman"/>
          <w:sz w:val="24"/>
          <w:szCs w:val="20"/>
        </w:rPr>
        <w:t>，包括国家统计局执法平台，和开放给各盟市旗县使用的执法平台</w:t>
      </w:r>
      <w:r>
        <w:rPr>
          <w:rFonts w:ascii="宋体" w:hAnsi="宋体" w:eastAsia="宋体" w:cs="Times New Roman"/>
          <w:sz w:val="24"/>
          <w:szCs w:val="20"/>
        </w:rPr>
        <w:t>。</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平台建设要在匹配国家局执法系统功能和数据的基础上，能够向下级统计机构开放，保证盟市、旗县统计机构数据的互联互通，比如能够实现上传执法检查信息、维护执法人员库等功能。</w:t>
      </w:r>
    </w:p>
    <w:p>
      <w:pPr>
        <w:spacing w:line="360" w:lineRule="auto"/>
        <w:ind w:firstLine="480" w:firstLineChars="200"/>
        <w:rPr>
          <w:rFonts w:ascii="Times New Roman" w:hAnsi="Times New Roman" w:eastAsia="宋体" w:cs="Times New Roman"/>
          <w:sz w:val="24"/>
          <w:szCs w:val="20"/>
          <w:lang w:eastAsia="zh-Hans"/>
        </w:rPr>
      </w:pPr>
      <w:r>
        <w:rPr>
          <w:rFonts w:hint="eastAsia" w:ascii="Times New Roman" w:hAnsi="Times New Roman" w:eastAsia="宋体" w:cs="Times New Roman"/>
          <w:sz w:val="24"/>
          <w:szCs w:val="20"/>
        </w:rPr>
        <w:t>执法检查系统</w:t>
      </w:r>
      <w:r>
        <w:rPr>
          <w:rFonts w:hint="eastAsia" w:ascii="Times New Roman" w:hAnsi="Times New Roman" w:eastAsia="宋体" w:cs="Times New Roman"/>
          <w:sz w:val="24"/>
          <w:szCs w:val="20"/>
          <w:lang w:eastAsia="zh-Hans"/>
        </w:rPr>
        <w:t>支持</w:t>
      </w:r>
      <w:r>
        <w:rPr>
          <w:rFonts w:hint="eastAsia" w:ascii="Times New Roman" w:hAnsi="Times New Roman" w:eastAsia="宋体" w:cs="Times New Roman"/>
          <w:sz w:val="24"/>
          <w:szCs w:val="20"/>
        </w:rPr>
        <w:t>“一企业一台账”与平台功能的衔接</w:t>
      </w:r>
      <w:r>
        <w:rPr>
          <w:rFonts w:ascii="Times New Roman" w:hAnsi="Times New Roman" w:eastAsia="宋体" w:cs="Times New Roman"/>
          <w:sz w:val="24"/>
          <w:szCs w:val="20"/>
        </w:rPr>
        <w:t>，</w:t>
      </w:r>
      <w:r>
        <w:rPr>
          <w:rFonts w:hint="eastAsia" w:ascii="Times New Roman" w:hAnsi="Times New Roman" w:eastAsia="宋体" w:cs="Times New Roman"/>
          <w:sz w:val="24"/>
          <w:szCs w:val="20"/>
          <w:lang w:eastAsia="zh-Hans"/>
        </w:rPr>
        <w:t>支持</w:t>
      </w:r>
      <w:r>
        <w:rPr>
          <w:rFonts w:hint="eastAsia" w:ascii="Times New Roman" w:hAnsi="Times New Roman" w:eastAsia="宋体" w:cs="Times New Roman"/>
          <w:sz w:val="24"/>
          <w:szCs w:val="20"/>
        </w:rPr>
        <w:t>与执法专题数据对接，实现可自动上图展示。</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lang w:eastAsia="zh-Hans"/>
        </w:rPr>
      </w:pPr>
      <w:r>
        <w:rPr>
          <w:rFonts w:hint="eastAsia" w:ascii="Arial" w:hAnsi="Arial" w:eastAsia="黑体" w:cs="Times New Roman"/>
          <w:b/>
          <w:sz w:val="24"/>
          <w:lang w:eastAsia="zh-Hans"/>
        </w:rPr>
        <w:t>法律法规管理</w:t>
      </w:r>
    </w:p>
    <w:p>
      <w:pPr>
        <w:spacing w:line="360" w:lineRule="auto"/>
        <w:ind w:firstLine="480" w:firstLineChars="200"/>
        <w:rPr>
          <w:rFonts w:ascii="Times New Roman" w:hAnsi="Times New Roman" w:eastAsia="宋体" w:cs="Times New Roman"/>
          <w:sz w:val="24"/>
          <w:szCs w:val="20"/>
          <w:lang w:eastAsia="zh-Hans"/>
        </w:rPr>
      </w:pPr>
      <w:r>
        <w:rPr>
          <w:rFonts w:hint="eastAsia" w:ascii="Times New Roman" w:hAnsi="Times New Roman" w:eastAsia="宋体" w:cs="Times New Roman"/>
          <w:sz w:val="24"/>
          <w:szCs w:val="20"/>
          <w:lang w:eastAsia="zh-Hans"/>
        </w:rPr>
        <w:t>法律法规管理子系统主要实现法律法规的分组、法律法规的基本信息以及法律法规文本自动化编码等功能</w:t>
      </w:r>
      <w:r>
        <w:rPr>
          <w:rFonts w:ascii="Times New Roman" w:hAnsi="Times New Roman" w:eastAsia="宋体" w:cs="Times New Roman"/>
          <w:sz w:val="24"/>
          <w:szCs w:val="20"/>
          <w:lang w:eastAsia="zh-Hans"/>
        </w:rPr>
        <w:t>，</w:t>
      </w:r>
      <w:r>
        <w:rPr>
          <w:rFonts w:hint="eastAsia" w:ascii="Times New Roman" w:hAnsi="Times New Roman" w:eastAsia="宋体" w:cs="Times New Roman"/>
          <w:sz w:val="24"/>
          <w:szCs w:val="20"/>
          <w:lang w:eastAsia="zh-Hans"/>
        </w:rPr>
        <w:t>为实现法律法规的编码化，为执法业务系统的运行提供数据支撑。系统包括法律法规</w:t>
      </w:r>
      <w:r>
        <w:rPr>
          <w:rFonts w:ascii="Times New Roman" w:hAnsi="Times New Roman" w:eastAsia="宋体" w:cs="Times New Roman"/>
          <w:sz w:val="24"/>
          <w:szCs w:val="20"/>
          <w:lang w:eastAsia="zh-Hans"/>
        </w:rPr>
        <w:t>、</w:t>
      </w:r>
      <w:r>
        <w:rPr>
          <w:rFonts w:hint="eastAsia" w:ascii="Times New Roman" w:hAnsi="Times New Roman" w:eastAsia="宋体" w:cs="Times New Roman"/>
          <w:sz w:val="24"/>
          <w:szCs w:val="20"/>
          <w:lang w:eastAsia="zh-Hans"/>
        </w:rPr>
        <w:t>事由管理等模块。</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lang w:eastAsia="zh-Hans"/>
        </w:rPr>
      </w:pPr>
      <w:r>
        <w:rPr>
          <w:rFonts w:hint="eastAsia" w:ascii="Times New Roman" w:hAnsi="Times New Roman" w:eastAsia="宋体" w:cs="Times New Roman"/>
          <w:b/>
          <w:sz w:val="24"/>
        </w:rPr>
        <w:t>法律</w:t>
      </w:r>
      <w:r>
        <w:rPr>
          <w:rFonts w:hint="eastAsia" w:ascii="Times New Roman" w:hAnsi="Times New Roman" w:eastAsia="宋体" w:cs="Times New Roman"/>
          <w:b/>
          <w:sz w:val="24"/>
          <w:lang w:eastAsia="zh-Hans"/>
        </w:rPr>
        <w:t>法规</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能够管理法律法规的基础信息，包括法律法规版本代码、法律法规名称、发文字号、发布部门、批准部门、批准日期、发布日期、实施日期、时效性、效力级别等信息。</w:t>
      </w:r>
    </w:p>
    <w:p>
      <w:pPr>
        <w:keepNext/>
        <w:keepLines/>
        <w:numPr>
          <w:ilvl w:val="6"/>
          <w:numId w:val="1"/>
        </w:numPr>
        <w:tabs>
          <w:tab w:val="left" w:pos="420"/>
        </w:tabs>
        <w:spacing w:before="240" w:after="64" w:line="317" w:lineRule="auto"/>
        <w:ind w:firstLine="482" w:firstLineChars="200"/>
        <w:outlineLvl w:val="6"/>
        <w:rPr>
          <w:rFonts w:ascii="Times New Roman" w:hAnsi="Times New Roman" w:eastAsia="宋体" w:cs="Times New Roman"/>
          <w:b/>
          <w:sz w:val="24"/>
          <w:lang w:eastAsia="zh-Hans"/>
        </w:rPr>
      </w:pPr>
      <w:bookmarkStart w:id="43" w:name="_Toc53054123"/>
      <w:bookmarkEnd w:id="43"/>
      <w:bookmarkStart w:id="44" w:name="_Toc53054122"/>
      <w:bookmarkEnd w:id="44"/>
      <w:bookmarkStart w:id="45" w:name="_Toc31885"/>
      <w:bookmarkStart w:id="46" w:name="_Toc77707796"/>
      <w:r>
        <w:rPr>
          <w:rFonts w:hint="eastAsia" w:ascii="Times New Roman" w:hAnsi="Times New Roman" w:eastAsia="宋体" w:cs="Times New Roman"/>
          <w:b/>
          <w:sz w:val="24"/>
          <w:lang w:eastAsia="zh-Hans"/>
        </w:rPr>
        <w:t>事由</w:t>
      </w:r>
      <w:bookmarkEnd w:id="45"/>
      <w:bookmarkEnd w:id="46"/>
      <w:r>
        <w:rPr>
          <w:rFonts w:hint="eastAsia" w:ascii="Times New Roman" w:hAnsi="Times New Roman" w:eastAsia="宋体" w:cs="Times New Roman"/>
          <w:b/>
          <w:sz w:val="24"/>
          <w:lang w:eastAsia="zh-Hans"/>
        </w:rPr>
        <w:t>管理</w:t>
      </w:r>
    </w:p>
    <w:p>
      <w:pPr>
        <w:spacing w:line="360" w:lineRule="auto"/>
        <w:ind w:firstLine="480" w:firstLineChars="200"/>
        <w:rPr>
          <w:rFonts w:ascii="Times New Roman" w:hAnsi="Times New Roman" w:eastAsia="宋体" w:cs="Times New Roman"/>
          <w:sz w:val="24"/>
          <w:szCs w:val="20"/>
          <w:lang w:eastAsia="zh-Hans"/>
        </w:rPr>
      </w:pPr>
      <w:r>
        <w:rPr>
          <w:rFonts w:hint="eastAsia" w:ascii="宋体" w:hAnsi="宋体" w:eastAsia="宋体" w:cs="Times New Roman"/>
          <w:sz w:val="24"/>
        </w:rPr>
        <w:t>法律法规编码化的基础上，通过执法事由管理子系统能够将法律法规拆分为执法事由。可以查看执法事由的基本信息、执法依据、自由裁量范围以及使用部门等。</w:t>
      </w:r>
    </w:p>
    <w:p>
      <w:pPr>
        <w:keepNext/>
        <w:keepLines/>
        <w:numPr>
          <w:ilvl w:val="5"/>
          <w:numId w:val="1"/>
        </w:numPr>
        <w:tabs>
          <w:tab w:val="left" w:pos="420"/>
        </w:tabs>
        <w:spacing w:before="240" w:after="64" w:line="317" w:lineRule="auto"/>
        <w:ind w:firstLine="1044"/>
        <w:outlineLvl w:val="5"/>
        <w:rPr>
          <w:rFonts w:ascii="Arial" w:hAnsi="Arial" w:eastAsia="黑体" w:cs="Times New Roman"/>
          <w:b/>
          <w:sz w:val="24"/>
          <w:lang w:eastAsia="zh-Hans"/>
        </w:rPr>
      </w:pPr>
      <w:r>
        <w:rPr>
          <w:rFonts w:hint="eastAsia" w:ascii="Arial" w:hAnsi="Arial" w:eastAsia="黑体" w:cs="Times New Roman"/>
          <w:b/>
          <w:sz w:val="24"/>
          <w:lang w:eastAsia="zh-Hans"/>
        </w:rPr>
        <w:t>执法人员</w:t>
      </w:r>
      <w:r>
        <w:rPr>
          <w:rFonts w:hint="eastAsia" w:ascii="Arial" w:hAnsi="Arial" w:eastAsia="黑体" w:cs="Times New Roman"/>
          <w:b/>
          <w:sz w:val="24"/>
        </w:rPr>
        <w:t>管理</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lang w:eastAsia="zh-Hans"/>
        </w:rPr>
        <w:t>执法人员</w:t>
      </w:r>
      <w:r>
        <w:rPr>
          <w:rFonts w:hint="eastAsia" w:ascii="Times New Roman" w:hAnsi="Times New Roman" w:eastAsia="宋体" w:cs="Times New Roman"/>
          <w:sz w:val="24"/>
          <w:szCs w:val="20"/>
        </w:rPr>
        <w:t>管理是对执法</w:t>
      </w:r>
      <w:r>
        <w:rPr>
          <w:rFonts w:hint="eastAsia" w:ascii="Times New Roman" w:hAnsi="Times New Roman" w:eastAsia="宋体" w:cs="Times New Roman"/>
          <w:sz w:val="24"/>
          <w:szCs w:val="20"/>
          <w:lang w:eastAsia="zh-Hans"/>
        </w:rPr>
        <w:t>人员</w:t>
      </w:r>
      <w:r>
        <w:rPr>
          <w:rFonts w:hint="eastAsia" w:ascii="Times New Roman" w:hAnsi="Times New Roman" w:eastAsia="宋体" w:cs="Times New Roman"/>
          <w:sz w:val="24"/>
          <w:szCs w:val="20"/>
        </w:rPr>
        <w:t>的姓名、职级、联系电话、身份证号、出生日期、性别、政治面貌、最高学历、学历专业等基础信息进行管理</w:t>
      </w:r>
      <w:r>
        <w:rPr>
          <w:rFonts w:ascii="Times New Roman" w:hAnsi="Times New Roman" w:eastAsia="宋体" w:cs="Times New Roman"/>
          <w:sz w:val="24"/>
          <w:szCs w:val="20"/>
        </w:rPr>
        <w:t>，</w:t>
      </w:r>
      <w:r>
        <w:rPr>
          <w:rFonts w:hint="eastAsia" w:ascii="Times New Roman" w:hAnsi="Times New Roman" w:eastAsia="宋体" w:cs="Times New Roman"/>
          <w:sz w:val="24"/>
          <w:szCs w:val="20"/>
        </w:rPr>
        <w:t>提供新增、编辑、删除、查询等功能。</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lang w:eastAsia="zh-Hans"/>
        </w:rPr>
      </w:pPr>
      <w:r>
        <w:rPr>
          <w:rFonts w:hint="eastAsia" w:ascii="Times New Roman" w:hAnsi="Times New Roman" w:eastAsia="宋体" w:cs="Times New Roman"/>
          <w:b/>
          <w:sz w:val="24"/>
          <w:lang w:eastAsia="zh-Hans"/>
        </w:rPr>
        <w:t>法治人员管理</w:t>
      </w:r>
    </w:p>
    <w:p>
      <w:pPr>
        <w:spacing w:line="360" w:lineRule="auto"/>
        <w:ind w:firstLine="480" w:firstLineChars="200"/>
        <w:rPr>
          <w:rFonts w:ascii="Times New Roman" w:hAnsi="Times New Roman" w:eastAsia="宋体" w:cs="Times New Roman"/>
          <w:sz w:val="24"/>
          <w:szCs w:val="20"/>
          <w:lang w:eastAsia="zh-Hans"/>
        </w:rPr>
      </w:pPr>
      <w:r>
        <w:rPr>
          <w:rFonts w:hint="eastAsia" w:ascii="Times New Roman" w:hAnsi="Times New Roman" w:eastAsia="宋体" w:cs="Times New Roman"/>
          <w:sz w:val="24"/>
          <w:szCs w:val="20"/>
          <w:lang w:eastAsia="zh-Hans"/>
        </w:rPr>
        <w:t>支持法治人员基本信息管理</w:t>
      </w:r>
      <w:r>
        <w:rPr>
          <w:rFonts w:ascii="Times New Roman" w:hAnsi="Times New Roman" w:eastAsia="宋体" w:cs="Times New Roman"/>
          <w:sz w:val="24"/>
          <w:szCs w:val="20"/>
          <w:lang w:eastAsia="zh-Hans"/>
        </w:rPr>
        <w:t>。</w:t>
      </w:r>
      <w:r>
        <w:rPr>
          <w:rFonts w:hint="eastAsia" w:ascii="Times New Roman" w:hAnsi="Times New Roman" w:eastAsia="宋体" w:cs="Times New Roman"/>
          <w:sz w:val="24"/>
          <w:szCs w:val="20"/>
        </w:rPr>
        <w:t>人员基本信息主要包括：姓名、身份证号、性别、出生日期、照片、民族、政治面貌、单位层级名称、地市、县（区）、工作单位、工作岗位、职务、编制类别、毕业院校、所学专业、最高学历、学位、座机号码、手机号码、电子邮箱、执法证号、证件有效期</w:t>
      </w:r>
      <w:r>
        <w:rPr>
          <w:rFonts w:hint="eastAsia" w:ascii="Times New Roman" w:hAnsi="Times New Roman" w:eastAsia="宋体" w:cs="Times New Roman"/>
          <w:sz w:val="24"/>
          <w:szCs w:val="20"/>
          <w:lang w:eastAsia="zh-Hans"/>
        </w:rPr>
        <w:t>等</w:t>
      </w:r>
      <w:r>
        <w:rPr>
          <w:rFonts w:hint="eastAsia" w:ascii="Times New Roman" w:hAnsi="Times New Roman" w:eastAsia="宋体" w:cs="Times New Roman"/>
          <w:sz w:val="24"/>
          <w:szCs w:val="20"/>
        </w:rPr>
        <w:t>。</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lang w:eastAsia="zh-Hans"/>
        </w:rPr>
      </w:pPr>
      <w:r>
        <w:rPr>
          <w:rFonts w:hint="eastAsia" w:ascii="Times New Roman" w:hAnsi="Times New Roman" w:eastAsia="宋体" w:cs="Times New Roman"/>
          <w:b/>
          <w:sz w:val="24"/>
          <w:lang w:eastAsia="zh-Hans"/>
        </w:rPr>
        <w:t>持证人员查询</w:t>
      </w:r>
    </w:p>
    <w:p>
      <w:pPr>
        <w:spacing w:line="360" w:lineRule="auto"/>
        <w:ind w:firstLine="480" w:firstLineChars="200"/>
        <w:rPr>
          <w:rFonts w:ascii="Times New Roman" w:hAnsi="Times New Roman" w:eastAsia="宋体" w:cs="Times New Roman"/>
          <w:sz w:val="24"/>
          <w:szCs w:val="20"/>
          <w:lang w:eastAsia="zh-Hans"/>
        </w:rPr>
      </w:pPr>
      <w:r>
        <w:rPr>
          <w:rFonts w:hint="eastAsia" w:ascii="Times New Roman" w:hAnsi="Times New Roman" w:eastAsia="宋体" w:cs="Times New Roman"/>
          <w:sz w:val="24"/>
          <w:szCs w:val="20"/>
        </w:rPr>
        <w:t>主要实现持证人员的查询功能。查询条件主要包括：</w:t>
      </w:r>
      <w:r>
        <w:rPr>
          <w:rFonts w:hint="eastAsia" w:ascii="Times New Roman" w:hAnsi="Times New Roman" w:eastAsia="宋体" w:cs="Times New Roman"/>
          <w:sz w:val="24"/>
          <w:szCs w:val="20"/>
          <w:lang w:eastAsia="zh-Hans"/>
        </w:rPr>
        <w:t>单位层级</w:t>
      </w:r>
      <w:r>
        <w:rPr>
          <w:rFonts w:ascii="Times New Roman" w:hAnsi="Times New Roman" w:eastAsia="宋体" w:cs="Times New Roman"/>
          <w:sz w:val="24"/>
          <w:szCs w:val="20"/>
          <w:lang w:eastAsia="zh-Hans"/>
        </w:rPr>
        <w:t>、</w:t>
      </w:r>
      <w:r>
        <w:rPr>
          <w:rFonts w:hint="eastAsia" w:ascii="Times New Roman" w:hAnsi="Times New Roman" w:eastAsia="宋体" w:cs="Times New Roman"/>
          <w:sz w:val="24"/>
          <w:szCs w:val="20"/>
          <w:lang w:eastAsia="zh-Hans"/>
        </w:rPr>
        <w:t>所属盟市</w:t>
      </w:r>
      <w:r>
        <w:rPr>
          <w:rFonts w:hint="eastAsia" w:ascii="Times New Roman" w:hAnsi="Times New Roman" w:eastAsia="宋体" w:cs="Times New Roman"/>
          <w:sz w:val="24"/>
          <w:szCs w:val="20"/>
        </w:rPr>
        <w:t>、</w:t>
      </w:r>
      <w:r>
        <w:rPr>
          <w:rFonts w:hint="eastAsia" w:ascii="Times New Roman" w:hAnsi="Times New Roman" w:eastAsia="宋体" w:cs="Times New Roman"/>
          <w:sz w:val="24"/>
          <w:szCs w:val="20"/>
          <w:lang w:eastAsia="zh-Hans"/>
        </w:rPr>
        <w:t>姓名</w:t>
      </w:r>
      <w:r>
        <w:rPr>
          <w:rFonts w:ascii="Times New Roman" w:hAnsi="Times New Roman" w:eastAsia="宋体" w:cs="Times New Roman"/>
          <w:sz w:val="24"/>
          <w:szCs w:val="20"/>
          <w:lang w:eastAsia="zh-Hans"/>
        </w:rPr>
        <w:t>、</w:t>
      </w:r>
      <w:r>
        <w:rPr>
          <w:rFonts w:hint="eastAsia" w:ascii="Times New Roman" w:hAnsi="Times New Roman" w:eastAsia="宋体" w:cs="Times New Roman"/>
          <w:sz w:val="24"/>
          <w:szCs w:val="20"/>
          <w:lang w:eastAsia="zh-Hans"/>
        </w:rPr>
        <w:t>执法证号</w:t>
      </w:r>
      <w:r>
        <w:rPr>
          <w:rFonts w:ascii="Times New Roman" w:hAnsi="Times New Roman" w:eastAsia="宋体" w:cs="Times New Roman"/>
          <w:sz w:val="24"/>
          <w:szCs w:val="20"/>
          <w:lang w:eastAsia="zh-Hans"/>
        </w:rPr>
        <w:t>、</w:t>
      </w:r>
      <w:r>
        <w:rPr>
          <w:rFonts w:hint="eastAsia" w:ascii="Times New Roman" w:hAnsi="Times New Roman" w:eastAsia="宋体" w:cs="Times New Roman"/>
          <w:sz w:val="24"/>
          <w:szCs w:val="20"/>
          <w:lang w:eastAsia="zh-Hans"/>
        </w:rPr>
        <w:t>有效期</w:t>
      </w:r>
      <w:r>
        <w:rPr>
          <w:rFonts w:hint="eastAsia" w:ascii="Times New Roman" w:hAnsi="Times New Roman" w:eastAsia="宋体" w:cs="Times New Roman"/>
          <w:sz w:val="24"/>
          <w:szCs w:val="20"/>
        </w:rPr>
        <w:t>等。</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lang w:eastAsia="zh-Hans"/>
        </w:rPr>
        <w:t>案源管理</w:t>
      </w:r>
    </w:p>
    <w:p>
      <w:pPr>
        <w:spacing w:line="360" w:lineRule="auto"/>
        <w:ind w:firstLine="480" w:firstLineChars="200"/>
        <w:rPr>
          <w:rFonts w:ascii="Times New Roman" w:hAnsi="Times New Roman" w:eastAsia="宋体" w:cs="Times New Roman"/>
          <w:sz w:val="24"/>
          <w:szCs w:val="20"/>
          <w:lang w:eastAsia="zh-Hans"/>
        </w:rPr>
      </w:pPr>
      <w:r>
        <w:rPr>
          <w:rFonts w:hint="eastAsia" w:ascii="Times New Roman" w:hAnsi="Times New Roman" w:eastAsia="宋体" w:cs="Times New Roman"/>
          <w:sz w:val="24"/>
          <w:szCs w:val="20"/>
          <w:lang w:eastAsia="zh-Hans"/>
        </w:rPr>
        <w:t>系统支持</w:t>
      </w:r>
      <w:r>
        <w:rPr>
          <w:rFonts w:hint="eastAsia" w:ascii="Times New Roman" w:hAnsi="Times New Roman" w:eastAsia="宋体" w:cs="Times New Roman"/>
          <w:sz w:val="24"/>
          <w:szCs w:val="20"/>
        </w:rPr>
        <w:t>电话、邮件、信件、专栏等线索来源</w:t>
      </w:r>
      <w:r>
        <w:rPr>
          <w:rFonts w:hint="eastAsia" w:ascii="Times New Roman" w:hAnsi="Times New Roman" w:eastAsia="宋体" w:cs="Times New Roman"/>
          <w:sz w:val="24"/>
          <w:szCs w:val="20"/>
          <w:lang w:eastAsia="zh-Hans"/>
        </w:rPr>
        <w:t>的违法举报录入</w:t>
      </w:r>
      <w:r>
        <w:rPr>
          <w:rFonts w:ascii="Times New Roman" w:hAnsi="Times New Roman" w:eastAsia="宋体" w:cs="Times New Roman"/>
          <w:sz w:val="24"/>
          <w:szCs w:val="20"/>
          <w:lang w:eastAsia="zh-Hans"/>
        </w:rPr>
        <w:t>、</w:t>
      </w:r>
      <w:r>
        <w:rPr>
          <w:rFonts w:hint="eastAsia" w:ascii="Times New Roman" w:hAnsi="Times New Roman" w:eastAsia="宋体" w:cs="Times New Roman"/>
          <w:sz w:val="24"/>
          <w:szCs w:val="20"/>
          <w:lang w:eastAsia="zh-Hans"/>
        </w:rPr>
        <w:t>修改</w:t>
      </w:r>
      <w:r>
        <w:rPr>
          <w:rFonts w:ascii="Times New Roman" w:hAnsi="Times New Roman" w:eastAsia="宋体" w:cs="Times New Roman"/>
          <w:sz w:val="24"/>
          <w:szCs w:val="20"/>
          <w:lang w:eastAsia="zh-Hans"/>
        </w:rPr>
        <w:t>、</w:t>
      </w:r>
      <w:r>
        <w:rPr>
          <w:rFonts w:hint="eastAsia" w:ascii="Times New Roman" w:hAnsi="Times New Roman" w:eastAsia="宋体" w:cs="Times New Roman"/>
          <w:sz w:val="24"/>
          <w:szCs w:val="20"/>
          <w:lang w:eastAsia="zh-Hans"/>
        </w:rPr>
        <w:t>更新及删除</w:t>
      </w:r>
      <w:r>
        <w:rPr>
          <w:rFonts w:ascii="Times New Roman" w:hAnsi="Times New Roman" w:eastAsia="宋体" w:cs="Times New Roman"/>
          <w:sz w:val="24"/>
          <w:szCs w:val="20"/>
          <w:lang w:eastAsia="zh-Hans"/>
        </w:rPr>
        <w:t>。</w:t>
      </w:r>
      <w:r>
        <w:rPr>
          <w:rFonts w:hint="eastAsia" w:ascii="Times New Roman" w:hAnsi="Times New Roman" w:eastAsia="宋体" w:cs="Times New Roman"/>
          <w:sz w:val="24"/>
          <w:szCs w:val="20"/>
        </w:rPr>
        <w:t>系统提供可定制的案源管理流程，可以根据执法部门执法业务的不同实施定制符合执法规范的案源流程</w:t>
      </w:r>
      <w:r>
        <w:rPr>
          <w:rFonts w:ascii="Times New Roman" w:hAnsi="Times New Roman" w:eastAsia="宋体" w:cs="Times New Roman"/>
          <w:sz w:val="24"/>
          <w:szCs w:val="20"/>
        </w:rPr>
        <w:t>。</w:t>
      </w:r>
      <w:r>
        <w:rPr>
          <w:rFonts w:hint="eastAsia" w:ascii="Times New Roman" w:hAnsi="Times New Roman" w:eastAsia="宋体" w:cs="Times New Roman"/>
          <w:sz w:val="24"/>
          <w:szCs w:val="20"/>
          <w:lang w:eastAsia="zh-Hans"/>
        </w:rPr>
        <w:t>系统包括案源登记</w:t>
      </w:r>
      <w:r>
        <w:rPr>
          <w:rFonts w:ascii="Times New Roman" w:hAnsi="Times New Roman" w:eastAsia="宋体" w:cs="Times New Roman"/>
          <w:sz w:val="24"/>
          <w:szCs w:val="20"/>
          <w:lang w:eastAsia="zh-Hans"/>
        </w:rPr>
        <w:t>、</w:t>
      </w:r>
      <w:r>
        <w:rPr>
          <w:rFonts w:hint="eastAsia" w:ascii="Times New Roman" w:hAnsi="Times New Roman" w:eastAsia="宋体" w:cs="Times New Roman"/>
          <w:sz w:val="24"/>
          <w:szCs w:val="20"/>
          <w:lang w:eastAsia="zh-Hans"/>
        </w:rPr>
        <w:t>征求意见</w:t>
      </w:r>
      <w:r>
        <w:rPr>
          <w:rFonts w:ascii="Times New Roman" w:hAnsi="Times New Roman" w:eastAsia="宋体" w:cs="Times New Roman"/>
          <w:sz w:val="24"/>
          <w:szCs w:val="20"/>
          <w:lang w:eastAsia="zh-Hans"/>
        </w:rPr>
        <w:t>、</w:t>
      </w:r>
      <w:r>
        <w:rPr>
          <w:rFonts w:hint="eastAsia" w:ascii="Times New Roman" w:hAnsi="Times New Roman" w:eastAsia="宋体" w:cs="Times New Roman"/>
          <w:sz w:val="24"/>
          <w:szCs w:val="20"/>
          <w:lang w:eastAsia="zh-Hans"/>
        </w:rPr>
        <w:t>案源转办</w:t>
      </w:r>
      <w:r>
        <w:rPr>
          <w:rFonts w:ascii="Times New Roman" w:hAnsi="Times New Roman" w:eastAsia="宋体" w:cs="Times New Roman"/>
          <w:sz w:val="24"/>
          <w:szCs w:val="20"/>
          <w:lang w:eastAsia="zh-Hans"/>
        </w:rPr>
        <w:t>、</w:t>
      </w:r>
      <w:r>
        <w:rPr>
          <w:rFonts w:hint="eastAsia" w:ascii="Times New Roman" w:hAnsi="Times New Roman" w:eastAsia="宋体" w:cs="Times New Roman"/>
          <w:sz w:val="24"/>
          <w:szCs w:val="20"/>
          <w:lang w:eastAsia="zh-Hans"/>
        </w:rPr>
        <w:t>案源办结等功能</w:t>
      </w:r>
      <w:r>
        <w:rPr>
          <w:rFonts w:ascii="Times New Roman" w:hAnsi="Times New Roman" w:eastAsia="宋体" w:cs="Times New Roman"/>
          <w:sz w:val="24"/>
          <w:szCs w:val="20"/>
          <w:lang w:eastAsia="zh-Hans"/>
        </w:rPr>
        <w:t>。</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lang w:eastAsia="zh-Hans"/>
        </w:rPr>
      </w:pPr>
      <w:r>
        <w:rPr>
          <w:rFonts w:hint="eastAsia" w:ascii="Times New Roman" w:hAnsi="Times New Roman" w:eastAsia="宋体" w:cs="Times New Roman"/>
          <w:b/>
          <w:sz w:val="24"/>
          <w:lang w:eastAsia="zh-Hans"/>
        </w:rPr>
        <w:t>案源登记</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当接收到群众举报线索或领导交办任务后，系统提供案源登记功能，将案源数据入库，录入信息包括案件来源、举报日期、接收日期、地市、县（区）、专业、其他专业、案源事项、案源内容、举报人、邮箱、联系电话及附件等内容。</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对已录入的案源数据还可以进行修改和删除。</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rPr>
      </w:pPr>
      <w:r>
        <w:rPr>
          <w:rFonts w:hint="eastAsia" w:ascii="Times New Roman" w:hAnsi="Times New Roman" w:eastAsia="宋体" w:cs="Times New Roman"/>
          <w:b/>
          <w:sz w:val="24"/>
        </w:rPr>
        <w:t>征求意见</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案源数据登记后，可以向各处征求意见，确定案源的处理方式。</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各处在反馈意见时，需包含案源的处理方式以及提出建议的理由。</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lang w:eastAsia="zh-Hans"/>
        </w:rPr>
      </w:pPr>
      <w:r>
        <w:rPr>
          <w:rFonts w:hint="eastAsia" w:ascii="Times New Roman" w:hAnsi="Times New Roman" w:eastAsia="宋体" w:cs="Times New Roman"/>
          <w:b/>
          <w:sz w:val="24"/>
          <w:lang w:eastAsia="zh-Hans"/>
        </w:rPr>
        <w:t>案源转办</w:t>
      </w:r>
    </w:p>
    <w:p>
      <w:pPr>
        <w:spacing w:line="360" w:lineRule="auto"/>
        <w:ind w:firstLine="480" w:firstLineChars="200"/>
        <w:rPr>
          <w:rFonts w:ascii="Times New Roman" w:hAnsi="Times New Roman" w:eastAsia="宋体" w:cs="Times New Roman"/>
          <w:sz w:val="24"/>
          <w:szCs w:val="20"/>
          <w:lang w:eastAsia="zh-Hans"/>
        </w:rPr>
      </w:pPr>
      <w:r>
        <w:rPr>
          <w:rFonts w:hint="eastAsia" w:ascii="Times New Roman" w:hAnsi="Times New Roman" w:eastAsia="宋体" w:cs="Times New Roman"/>
          <w:sz w:val="24"/>
          <w:szCs w:val="20"/>
          <w:lang w:eastAsia="zh-Hans"/>
        </w:rPr>
        <w:t>系统支持将案源转交至相关部门进行处理</w:t>
      </w:r>
      <w:r>
        <w:rPr>
          <w:rFonts w:ascii="Times New Roman" w:hAnsi="Times New Roman" w:eastAsia="宋体" w:cs="Times New Roman"/>
          <w:sz w:val="24"/>
          <w:szCs w:val="20"/>
          <w:lang w:eastAsia="zh-Hans"/>
        </w:rPr>
        <w:t>。</w:t>
      </w:r>
      <w:r>
        <w:rPr>
          <w:rFonts w:hint="eastAsia" w:ascii="Times New Roman" w:hAnsi="Times New Roman" w:eastAsia="宋体" w:cs="Times New Roman"/>
          <w:sz w:val="24"/>
        </w:rPr>
        <w:t>如果处理方式为立案调查或直接核查，需要将案源批到监督检查阶段</w:t>
      </w:r>
      <w:r>
        <w:rPr>
          <w:rFonts w:ascii="Times New Roman" w:hAnsi="Times New Roman" w:eastAsia="宋体" w:cs="Times New Roman"/>
          <w:sz w:val="24"/>
        </w:rPr>
        <w:t>。</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lang w:eastAsia="zh-Hans"/>
        </w:rPr>
      </w:pPr>
      <w:r>
        <w:rPr>
          <w:rFonts w:hint="eastAsia" w:ascii="Times New Roman" w:hAnsi="Times New Roman" w:eastAsia="宋体" w:cs="Times New Roman"/>
          <w:b/>
          <w:sz w:val="24"/>
          <w:lang w:eastAsia="zh-Hans"/>
        </w:rPr>
        <w:t>案源办结</w:t>
      </w:r>
    </w:p>
    <w:p>
      <w:pPr>
        <w:spacing w:line="360" w:lineRule="auto"/>
        <w:ind w:firstLine="480" w:firstLineChars="200"/>
        <w:rPr>
          <w:rFonts w:ascii="Times New Roman" w:hAnsi="Times New Roman" w:eastAsia="宋体" w:cs="Times New Roman"/>
          <w:sz w:val="24"/>
          <w:szCs w:val="20"/>
          <w:lang w:eastAsia="zh-Hans"/>
        </w:rPr>
      </w:pPr>
      <w:r>
        <w:rPr>
          <w:rFonts w:hint="eastAsia" w:ascii="Times New Roman" w:hAnsi="Times New Roman" w:eastAsia="宋体" w:cs="Times New Roman"/>
          <w:sz w:val="24"/>
          <w:szCs w:val="20"/>
          <w:lang w:eastAsia="zh-Hans"/>
        </w:rPr>
        <w:t>系统支持案源办理完成后进行办结</w:t>
      </w:r>
      <w:r>
        <w:rPr>
          <w:rFonts w:ascii="Times New Roman" w:hAnsi="Times New Roman" w:eastAsia="宋体" w:cs="Times New Roman"/>
          <w:sz w:val="24"/>
          <w:szCs w:val="20"/>
          <w:lang w:eastAsia="zh-Hans"/>
        </w:rPr>
        <w:t>。</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lang w:eastAsia="zh-Hans"/>
        </w:rPr>
        <w:t>监督检查</w:t>
      </w:r>
    </w:p>
    <w:p>
      <w:pPr>
        <w:spacing w:line="360" w:lineRule="auto"/>
        <w:ind w:firstLine="480" w:firstLineChars="200"/>
        <w:rPr>
          <w:rFonts w:ascii="Times New Roman" w:hAnsi="Times New Roman" w:eastAsia="宋体" w:cs="Times New Roman"/>
          <w:sz w:val="24"/>
          <w:szCs w:val="20"/>
          <w:lang w:eastAsia="zh-Hans"/>
        </w:rPr>
      </w:pPr>
      <w:r>
        <w:rPr>
          <w:rFonts w:hint="eastAsia" w:ascii="Times New Roman" w:hAnsi="Times New Roman" w:eastAsia="宋体" w:cs="Times New Roman"/>
          <w:sz w:val="24"/>
          <w:szCs w:val="20"/>
          <w:lang w:eastAsia="zh-Hans"/>
        </w:rPr>
        <w:t>监督检查是统计执法的核心平台，支持检查方案制定及下发，执法过程管理及人员管理等，功能模块包含检查方案，检查地区，现场检查及人员评价模块。</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rPr>
      </w:pPr>
      <w:r>
        <w:rPr>
          <w:rFonts w:hint="eastAsia" w:ascii="Times New Roman" w:hAnsi="Times New Roman" w:eastAsia="宋体" w:cs="Times New Roman"/>
          <w:b/>
          <w:sz w:val="24"/>
        </w:rPr>
        <w:t>检查方案</w:t>
      </w:r>
    </w:p>
    <w:p>
      <w:pPr>
        <w:spacing w:line="360" w:lineRule="auto"/>
        <w:ind w:firstLine="480" w:firstLineChars="200"/>
        <w:rPr>
          <w:rFonts w:ascii="Times New Roman" w:hAnsi="Times New Roman" w:eastAsia="宋体" w:cs="Times New Roman"/>
          <w:sz w:val="24"/>
          <w:szCs w:val="20"/>
          <w:lang w:eastAsia="zh-Hans"/>
        </w:rPr>
      </w:pPr>
      <w:r>
        <w:rPr>
          <w:rFonts w:hint="eastAsia" w:ascii="Times New Roman" w:hAnsi="Times New Roman" w:eastAsia="宋体" w:cs="Times New Roman"/>
          <w:sz w:val="24"/>
          <w:szCs w:val="20"/>
          <w:lang w:eastAsia="zh-Hans"/>
        </w:rPr>
        <w:t>支持统计局收到群众举报或转发的统计违法线索</w:t>
      </w:r>
      <w:r>
        <w:rPr>
          <w:rFonts w:hint="eastAsia" w:ascii="Times New Roman" w:hAnsi="Times New Roman" w:eastAsia="宋体" w:cs="Times New Roman"/>
          <w:sz w:val="24"/>
          <w:szCs w:val="20"/>
        </w:rPr>
        <w:t>后</w:t>
      </w:r>
      <w:r>
        <w:rPr>
          <w:rFonts w:hint="eastAsia" w:ascii="Times New Roman" w:hAnsi="Times New Roman" w:eastAsia="宋体" w:cs="Times New Roman"/>
          <w:sz w:val="24"/>
          <w:szCs w:val="20"/>
          <w:lang w:eastAsia="zh-Hans"/>
        </w:rPr>
        <w:t>，依据线索对违法企业执行检查。同时支持根据年度执法检查工作计划，开展日常检查或“双随机”执法检查。根据事先确定的原则和要求，</w:t>
      </w:r>
      <w:r>
        <w:rPr>
          <w:rFonts w:hint="eastAsia" w:ascii="Times New Roman" w:hAnsi="Times New Roman" w:eastAsia="宋体" w:cs="Times New Roman"/>
          <w:sz w:val="24"/>
          <w:szCs w:val="20"/>
        </w:rPr>
        <w:t>系统为用户提供在线</w:t>
      </w:r>
      <w:r>
        <w:rPr>
          <w:rFonts w:hint="eastAsia" w:ascii="Times New Roman" w:hAnsi="Times New Roman" w:eastAsia="宋体" w:cs="Times New Roman"/>
          <w:sz w:val="24"/>
          <w:szCs w:val="20"/>
          <w:lang w:eastAsia="zh-Hans"/>
        </w:rPr>
        <w:t>制定检查</w:t>
      </w:r>
      <w:r>
        <w:rPr>
          <w:rFonts w:hint="eastAsia" w:ascii="Times New Roman" w:hAnsi="Times New Roman" w:eastAsia="宋体" w:cs="Times New Roman"/>
          <w:sz w:val="24"/>
          <w:szCs w:val="20"/>
        </w:rPr>
        <w:t>方案功能</w:t>
      </w:r>
      <w:r>
        <w:rPr>
          <w:rFonts w:hint="eastAsia" w:ascii="Times New Roman" w:hAnsi="Times New Roman" w:eastAsia="宋体" w:cs="Times New Roman"/>
          <w:sz w:val="24"/>
          <w:szCs w:val="20"/>
          <w:lang w:eastAsia="zh-Hans"/>
        </w:rPr>
        <w:t>，确定</w:t>
      </w:r>
      <w:r>
        <w:rPr>
          <w:rFonts w:hint="eastAsia" w:ascii="Times New Roman" w:hAnsi="Times New Roman" w:eastAsia="宋体" w:cs="Times New Roman"/>
          <w:sz w:val="24"/>
          <w:szCs w:val="20"/>
        </w:rPr>
        <w:t>检查方案关联的案源、检查类型、</w:t>
      </w:r>
      <w:r>
        <w:rPr>
          <w:rFonts w:hint="eastAsia" w:ascii="Times New Roman" w:hAnsi="Times New Roman" w:eastAsia="宋体" w:cs="Times New Roman"/>
          <w:sz w:val="24"/>
          <w:szCs w:val="20"/>
          <w:lang w:eastAsia="zh-Hans"/>
        </w:rPr>
        <w:t>检查区域、</w:t>
      </w:r>
      <w:r>
        <w:rPr>
          <w:rFonts w:hint="eastAsia" w:ascii="Times New Roman" w:hAnsi="Times New Roman" w:eastAsia="宋体" w:cs="Times New Roman"/>
          <w:sz w:val="24"/>
          <w:szCs w:val="20"/>
        </w:rPr>
        <w:t>检查专业、检查开始时间、检查标题、检查内容、检查指标</w:t>
      </w:r>
      <w:r>
        <w:rPr>
          <w:rFonts w:hint="eastAsia" w:ascii="Times New Roman" w:hAnsi="Times New Roman" w:eastAsia="宋体" w:cs="Times New Roman"/>
          <w:sz w:val="24"/>
          <w:szCs w:val="20"/>
          <w:lang w:eastAsia="zh-Hans"/>
        </w:rPr>
        <w:t>以及</w:t>
      </w:r>
      <w:r>
        <w:rPr>
          <w:rFonts w:hint="eastAsia" w:ascii="Times New Roman" w:hAnsi="Times New Roman" w:eastAsia="宋体" w:cs="Times New Roman"/>
          <w:sz w:val="24"/>
          <w:szCs w:val="20"/>
        </w:rPr>
        <w:t>检查</w:t>
      </w:r>
      <w:r>
        <w:rPr>
          <w:rFonts w:hint="eastAsia" w:ascii="Times New Roman" w:hAnsi="Times New Roman" w:eastAsia="宋体" w:cs="Times New Roman"/>
          <w:sz w:val="24"/>
          <w:szCs w:val="20"/>
          <w:lang w:eastAsia="zh-Hans"/>
        </w:rPr>
        <w:t>人员等内容。</w:t>
      </w:r>
    </w:p>
    <w:p>
      <w:pPr>
        <w:spacing w:line="360" w:lineRule="auto"/>
        <w:ind w:firstLine="480" w:firstLineChars="200"/>
        <w:rPr>
          <w:rFonts w:ascii="Times New Roman" w:hAnsi="Times New Roman" w:eastAsia="宋体" w:cs="Times New Roman"/>
          <w:sz w:val="24"/>
          <w:szCs w:val="20"/>
          <w:lang w:eastAsia="zh-Hans"/>
        </w:rPr>
      </w:pPr>
      <w:r>
        <w:rPr>
          <w:rFonts w:hint="eastAsia" w:ascii="Times New Roman" w:hAnsi="Times New Roman" w:eastAsia="宋体" w:cs="Times New Roman"/>
          <w:sz w:val="24"/>
          <w:szCs w:val="20"/>
        </w:rPr>
        <w:t>同时支持</w:t>
      </w:r>
      <w:r>
        <w:rPr>
          <w:rFonts w:hint="eastAsia" w:ascii="Times New Roman" w:hAnsi="Times New Roman" w:eastAsia="宋体" w:cs="Times New Roman"/>
          <w:sz w:val="24"/>
          <w:szCs w:val="20"/>
          <w:lang w:eastAsia="zh-Hans"/>
        </w:rPr>
        <w:t>对已制定的检查</w:t>
      </w:r>
      <w:r>
        <w:rPr>
          <w:rFonts w:hint="eastAsia" w:ascii="Times New Roman" w:hAnsi="Times New Roman" w:eastAsia="宋体" w:cs="Times New Roman"/>
          <w:sz w:val="24"/>
          <w:szCs w:val="20"/>
        </w:rPr>
        <w:t>方案</w:t>
      </w:r>
      <w:r>
        <w:rPr>
          <w:rFonts w:hint="eastAsia" w:ascii="Times New Roman" w:hAnsi="Times New Roman" w:eastAsia="宋体" w:cs="Times New Roman"/>
          <w:sz w:val="24"/>
          <w:szCs w:val="20"/>
          <w:lang w:eastAsia="zh-Hans"/>
        </w:rPr>
        <w:t>进行更新或作废。</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rPr>
      </w:pPr>
      <w:r>
        <w:rPr>
          <w:rFonts w:hint="eastAsia" w:ascii="Times New Roman" w:hAnsi="Times New Roman" w:eastAsia="宋体" w:cs="Times New Roman"/>
          <w:b/>
          <w:sz w:val="24"/>
        </w:rPr>
        <w:t>检查地区</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rPr>
        <w:t>统计局根据统计违法线索或执法检查工作方案，启动执法程序，开展执法检查工作。系统为用户提供制定现场检查任务功能，制定现场检查任务时，先关联检查方案，根据检查方案要求抽选被检查企业，并按照指定方法分配给检查小组。</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rPr>
      </w:pPr>
      <w:r>
        <w:rPr>
          <w:rFonts w:hint="eastAsia" w:ascii="Times New Roman" w:hAnsi="Times New Roman" w:eastAsia="宋体" w:cs="Times New Roman"/>
          <w:b/>
          <w:sz w:val="24"/>
        </w:rPr>
        <w:t>现场检查</w:t>
      </w:r>
    </w:p>
    <w:p>
      <w:pPr>
        <w:spacing w:line="360" w:lineRule="auto"/>
        <w:ind w:firstLine="480" w:firstLineChars="200"/>
        <w:rPr>
          <w:rFonts w:ascii="宋体" w:hAnsi="宋体" w:eastAsia="宋体" w:cs="Times New Roman"/>
          <w:sz w:val="24"/>
        </w:rPr>
      </w:pPr>
      <w:r>
        <w:rPr>
          <w:rFonts w:hint="eastAsia" w:ascii="仿宋_GB2312" w:hAnsi="仿宋_GB2312" w:eastAsia="宋体" w:cs="Times New Roman"/>
          <w:sz w:val="24"/>
        </w:rPr>
        <w:t>系统</w:t>
      </w:r>
      <w:r>
        <w:rPr>
          <w:rFonts w:hint="eastAsia" w:ascii="仿宋_GB2312" w:hAnsi="仿宋_GB2312" w:eastAsia="宋体" w:cs="Times New Roman"/>
          <w:sz w:val="24"/>
          <w:lang w:eastAsia="zh-Hans"/>
        </w:rPr>
        <w:t>提供现场检查功能</w:t>
      </w:r>
      <w:r>
        <w:rPr>
          <w:rFonts w:ascii="仿宋_GB2312" w:hAnsi="仿宋_GB2312" w:eastAsia="宋体" w:cs="Times New Roman"/>
          <w:sz w:val="24"/>
          <w:lang w:eastAsia="zh-Hans"/>
        </w:rPr>
        <w:t>，</w:t>
      </w:r>
      <w:r>
        <w:rPr>
          <w:rFonts w:hint="eastAsia" w:ascii="仿宋_GB2312" w:hAnsi="仿宋_GB2312" w:eastAsia="宋体" w:cs="Times New Roman"/>
          <w:sz w:val="24"/>
        </w:rPr>
        <w:t>提供现场检查笔录、询问笔录、证据登记表等多种模板。</w:t>
      </w:r>
      <w:r>
        <w:rPr>
          <w:rFonts w:hint="eastAsia" w:ascii="仿宋_GB2312" w:hAnsi="仿宋_GB2312" w:eastAsia="宋体" w:cs="Times New Roman"/>
          <w:sz w:val="24"/>
          <w:lang w:eastAsia="zh-Hans"/>
        </w:rPr>
        <w:t>并支持一套表相关指标数据提取</w:t>
      </w:r>
      <w:r>
        <w:rPr>
          <w:rFonts w:ascii="仿宋_GB2312" w:hAnsi="仿宋_GB2312" w:eastAsia="宋体" w:cs="Times New Roman"/>
          <w:sz w:val="24"/>
          <w:lang w:eastAsia="zh-Hans"/>
        </w:rPr>
        <w:t>。</w:t>
      </w:r>
      <w:r>
        <w:rPr>
          <w:rFonts w:hint="eastAsia" w:ascii="仿宋_GB2312" w:hAnsi="仿宋_GB2312" w:eastAsia="宋体" w:cs="Times New Roman"/>
          <w:sz w:val="24"/>
        </w:rPr>
        <w:t>用户可以根据业务需要</w:t>
      </w:r>
      <w:r>
        <w:rPr>
          <w:rFonts w:hint="eastAsia" w:ascii="宋体" w:hAnsi="宋体" w:eastAsia="宋体" w:cs="Times New Roman"/>
          <w:sz w:val="24"/>
        </w:rPr>
        <w:t>选择相应的文书模板，添加到现场检查任务中。</w:t>
      </w:r>
    </w:p>
    <w:p>
      <w:pPr>
        <w:keepNext/>
        <w:keepLines/>
        <w:numPr>
          <w:ilvl w:val="7"/>
          <w:numId w:val="1"/>
        </w:numPr>
        <w:spacing w:before="240" w:after="64" w:line="317" w:lineRule="auto"/>
        <w:ind w:firstLine="480" w:firstLineChars="200"/>
        <w:outlineLvl w:val="7"/>
        <w:rPr>
          <w:rFonts w:ascii="Times New Roman" w:hAnsi="Times New Roman" w:eastAsia="宋体" w:cs="Times New Roman"/>
          <w:sz w:val="24"/>
        </w:rPr>
      </w:pPr>
      <w:r>
        <w:rPr>
          <w:rFonts w:hint="eastAsia" w:ascii="Times New Roman" w:hAnsi="Times New Roman" w:eastAsia="宋体" w:cs="Times New Roman"/>
          <w:sz w:val="24"/>
        </w:rPr>
        <w:t>现场检查笔录制作</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系统提供现场检查笔录制作功能，当选择现场检查笔录制作时，系统自动将之前输入的相关案件信息填入到现场检查笔录中，现场检查笔录制作人员只需对个别信息进行调整和补充即可。</w:t>
      </w:r>
    </w:p>
    <w:p>
      <w:pPr>
        <w:keepNext/>
        <w:keepLines/>
        <w:numPr>
          <w:ilvl w:val="7"/>
          <w:numId w:val="1"/>
        </w:numPr>
        <w:spacing w:before="240" w:after="64" w:line="317" w:lineRule="auto"/>
        <w:ind w:firstLine="480" w:firstLineChars="200"/>
        <w:outlineLvl w:val="7"/>
        <w:rPr>
          <w:rFonts w:ascii="Times New Roman" w:hAnsi="Times New Roman" w:eastAsia="宋体" w:cs="Times New Roman"/>
          <w:sz w:val="24"/>
        </w:rPr>
      </w:pPr>
      <w:r>
        <w:rPr>
          <w:rFonts w:hint="eastAsia" w:ascii="Times New Roman" w:hAnsi="Times New Roman" w:eastAsia="宋体" w:cs="Times New Roman"/>
          <w:sz w:val="24"/>
        </w:rPr>
        <w:t>责令改正通知书制作</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系统提供责令改正通知书制作功能，当选择责令改正通知书制作时，系统自动将之前输入的相关案件信息填入到责令改正通知书中，责令改正通知书制作人员只需对个别信息进行调整和补充即可。</w:t>
      </w:r>
    </w:p>
    <w:p>
      <w:pPr>
        <w:keepNext/>
        <w:keepLines/>
        <w:numPr>
          <w:ilvl w:val="7"/>
          <w:numId w:val="1"/>
        </w:numPr>
        <w:spacing w:before="240" w:after="64" w:line="317" w:lineRule="auto"/>
        <w:ind w:firstLine="480" w:firstLineChars="200"/>
        <w:outlineLvl w:val="7"/>
        <w:rPr>
          <w:rFonts w:ascii="Times New Roman" w:hAnsi="Times New Roman" w:eastAsia="宋体" w:cs="Times New Roman"/>
          <w:sz w:val="24"/>
        </w:rPr>
      </w:pPr>
      <w:r>
        <w:rPr>
          <w:rFonts w:hint="eastAsia" w:ascii="Times New Roman" w:hAnsi="Times New Roman" w:eastAsia="宋体" w:cs="Times New Roman"/>
          <w:sz w:val="24"/>
        </w:rPr>
        <w:t>谈话通知书制作</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系统提供谈话通知书制作功能，当选择谈话通知书制作时，系统自动将之前输入的相关案件信息填入到谈话通知书中，谈话通知书制作人员只需对个别信息进行调整和补充即可。</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rPr>
      </w:pPr>
      <w:r>
        <w:rPr>
          <w:rFonts w:hint="eastAsia" w:ascii="Times New Roman" w:hAnsi="Times New Roman" w:eastAsia="宋体" w:cs="Times New Roman"/>
          <w:b/>
          <w:sz w:val="24"/>
        </w:rPr>
        <w:t>人员评价</w:t>
      </w:r>
    </w:p>
    <w:p>
      <w:pPr>
        <w:spacing w:line="360" w:lineRule="auto"/>
        <w:ind w:firstLine="480" w:firstLineChars="200"/>
        <w:rPr>
          <w:rFonts w:ascii="仿宋_GB2312" w:hAnsi="仿宋_GB2312" w:eastAsia="宋体" w:cs="Times New Roman"/>
          <w:sz w:val="28"/>
        </w:rPr>
      </w:pPr>
      <w:r>
        <w:rPr>
          <w:rFonts w:hint="eastAsia" w:ascii="仿宋_GB2312" w:hAnsi="仿宋_GB2312" w:eastAsia="宋体" w:cs="Times New Roman"/>
          <w:sz w:val="24"/>
        </w:rPr>
        <w:t>现场检查全部结束后，方案进入到人员评价模块下的待评价栏目中。组长或副组长可以对指定方案的抽调人员进行评价。系统设置如下考核指标：综合评价、工作态度、业务能力、遵章守纪，考核指标设置相应的考核标准。组长或副组长根据考核标准对执法人员进行评分。完成评价前，用户可以多次修改人员评分，完成评价后，方案进入到人员评价模块下的已评价栏目中，同时不允许再修改评分。</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lang w:eastAsia="zh-Hans"/>
        </w:rPr>
        <w:t>行政处罚</w:t>
      </w:r>
    </w:p>
    <w:p>
      <w:pPr>
        <w:spacing w:line="360" w:lineRule="auto"/>
        <w:ind w:firstLine="480" w:firstLineChars="200"/>
        <w:rPr>
          <w:rFonts w:ascii="Times New Roman" w:hAnsi="Times New Roman" w:eastAsia="宋体" w:cs="Times New Roman"/>
          <w:sz w:val="24"/>
          <w:szCs w:val="20"/>
          <w:lang w:eastAsia="zh-Hans"/>
        </w:rPr>
      </w:pPr>
      <w:r>
        <w:rPr>
          <w:rFonts w:hint="eastAsia" w:ascii="Times New Roman" w:hAnsi="Times New Roman" w:eastAsia="宋体" w:cs="Times New Roman"/>
          <w:sz w:val="24"/>
          <w:szCs w:val="20"/>
          <w:lang w:eastAsia="zh-Hans"/>
        </w:rPr>
        <w:t>行政处罚实现执法单位从立案审批、调查取证、处罚决定、决定执行到结案的行政处罚各个环节信息的管理，保证行政处罚信息全程留痕。系统通过各执法机关的在线执法办案归集全自治区各级执法部门的行政处罚信息，并可对归集的信息进行实时管理维护和查询浏览。系统运行产生的各类信息，将作为各级行政执法监督和领导决策的主要依据，为监督和决策提供数据支撑。系统包括业务流转及文书制作等模块</w:t>
      </w:r>
      <w:r>
        <w:rPr>
          <w:rFonts w:ascii="Times New Roman" w:hAnsi="Times New Roman" w:eastAsia="宋体" w:cs="Times New Roman"/>
          <w:sz w:val="24"/>
          <w:szCs w:val="20"/>
          <w:lang w:eastAsia="zh-Hans"/>
        </w:rPr>
        <w:t>。</w:t>
      </w:r>
    </w:p>
    <w:p>
      <w:pPr>
        <w:spacing w:after="120" w:line="360" w:lineRule="auto"/>
        <w:rPr>
          <w:rFonts w:ascii="Times New Roman" w:hAnsi="Times New Roman" w:eastAsia="宋体" w:cs="Times New Roman"/>
          <w:sz w:val="24"/>
          <w:lang w:eastAsia="zh-Hans"/>
        </w:rPr>
      </w:pPr>
      <w:r>
        <w:rPr>
          <w:rFonts w:ascii="Times New Roman" w:hAnsi="Times New Roman" w:eastAsia="宋体" w:cs="Times New Roman"/>
          <w:sz w:val="24"/>
        </w:rPr>
        <w:drawing>
          <wp:inline distT="0" distB="0" distL="114300" distR="114300">
            <wp:extent cx="5272405" cy="1460500"/>
            <wp:effectExtent l="9525" t="9525" r="13970" b="1587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5"/>
                    <a:stretch>
                      <a:fillRect/>
                    </a:stretch>
                  </pic:blipFill>
                  <pic:spPr>
                    <a:xfrm>
                      <a:off x="0" y="0"/>
                      <a:ext cx="5272405" cy="1460500"/>
                    </a:xfrm>
                    <a:prstGeom prst="rect">
                      <a:avLst/>
                    </a:prstGeom>
                    <a:noFill/>
                    <a:ln>
                      <a:solidFill>
                        <a:srgbClr val="000000"/>
                      </a:solidFill>
                    </a:ln>
                  </pic:spPr>
                </pic:pic>
              </a:graphicData>
            </a:graphic>
          </wp:inline>
        </w:drawing>
      </w:r>
    </w:p>
    <w:p>
      <w:pPr>
        <w:spacing w:line="360" w:lineRule="auto"/>
        <w:ind w:firstLine="480" w:firstLineChars="200"/>
        <w:rPr>
          <w:rFonts w:ascii="Times New Roman" w:hAnsi="Times New Roman" w:eastAsia="宋体" w:cs="Times New Roman"/>
          <w:sz w:val="24"/>
          <w:szCs w:val="20"/>
          <w:lang w:eastAsia="zh-Hans"/>
        </w:rPr>
      </w:pPr>
      <w:r>
        <w:rPr>
          <w:rFonts w:hint="eastAsia" w:ascii="Times New Roman" w:hAnsi="Times New Roman" w:eastAsia="宋体" w:cs="Times New Roman"/>
          <w:sz w:val="24"/>
          <w:szCs w:val="20"/>
          <w:lang w:eastAsia="zh-Hans"/>
        </w:rPr>
        <w:t>行政处罚案件管理模块将实现从立案审批、调查取证、处罚决定、决定执行到结案的行政处罚各个环节信息的管理，保证行政处罚信息全程留痕。系统运行产生的各类信息，将作为行政执法监督和领导决策的主要依据，为监督和决策提供数据支撑。</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lang w:eastAsia="zh-Hans"/>
        </w:rPr>
      </w:pPr>
      <w:r>
        <w:rPr>
          <w:rFonts w:hint="eastAsia" w:ascii="Times New Roman" w:hAnsi="Times New Roman" w:eastAsia="宋体" w:cs="Times New Roman"/>
          <w:b/>
          <w:sz w:val="24"/>
          <w:lang w:eastAsia="zh-Hans"/>
        </w:rPr>
        <w:t>立案程序审批管理</w:t>
      </w:r>
    </w:p>
    <w:p>
      <w:pPr>
        <w:spacing w:line="360" w:lineRule="auto"/>
        <w:ind w:firstLine="480" w:firstLineChars="200"/>
        <w:rPr>
          <w:rFonts w:ascii="Times New Roman" w:hAnsi="Times New Roman" w:eastAsia="宋体" w:cs="Times New Roman"/>
          <w:sz w:val="24"/>
          <w:szCs w:val="20"/>
          <w:lang w:eastAsia="zh-Hans"/>
        </w:rPr>
      </w:pPr>
      <w:r>
        <w:rPr>
          <w:rFonts w:hint="eastAsia" w:ascii="Times New Roman" w:hAnsi="Times New Roman" w:eastAsia="宋体" w:cs="Times New Roman"/>
          <w:sz w:val="24"/>
          <w:szCs w:val="20"/>
          <w:lang w:eastAsia="zh-Hans"/>
        </w:rPr>
        <w:t>系统提供在线立案审批表制作功能，当选择立案审批表制作时，系统自动将之前输入的相关案件信息填入到立案审批表中，审批表制作人员只需对个别信息进行调整和补充即可。</w:t>
      </w:r>
    </w:p>
    <w:p>
      <w:pPr>
        <w:spacing w:line="360" w:lineRule="auto"/>
        <w:ind w:firstLine="480" w:firstLineChars="200"/>
        <w:rPr>
          <w:rFonts w:ascii="Times New Roman" w:hAnsi="Times New Roman" w:eastAsia="宋体" w:cs="Times New Roman"/>
          <w:sz w:val="24"/>
          <w:szCs w:val="20"/>
          <w:lang w:eastAsia="zh-Hans"/>
        </w:rPr>
      </w:pPr>
      <w:r>
        <w:rPr>
          <w:rFonts w:hint="eastAsia" w:ascii="Times New Roman" w:hAnsi="Times New Roman" w:eastAsia="宋体" w:cs="Times New Roman"/>
          <w:sz w:val="24"/>
          <w:szCs w:val="20"/>
          <w:lang w:eastAsia="zh-Hans"/>
        </w:rPr>
        <w:t>系统提供立案审批表在线修改功能，当立案相关信息需要调整时，审批表制作人可以通过立案审批表修改功能对立案信息进行修改。</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lang w:eastAsia="zh-Hans"/>
        </w:rPr>
      </w:pPr>
      <w:r>
        <w:rPr>
          <w:rFonts w:hint="eastAsia" w:ascii="Times New Roman" w:hAnsi="Times New Roman" w:eastAsia="宋体" w:cs="Times New Roman"/>
          <w:b/>
          <w:sz w:val="24"/>
          <w:lang w:eastAsia="zh-Hans"/>
        </w:rPr>
        <w:t>询问笔录信息管理</w:t>
      </w:r>
    </w:p>
    <w:p>
      <w:pPr>
        <w:spacing w:line="360" w:lineRule="auto"/>
        <w:ind w:firstLine="480" w:firstLineChars="200"/>
        <w:rPr>
          <w:rFonts w:ascii="Times New Roman" w:hAnsi="Times New Roman" w:eastAsia="宋体" w:cs="Times New Roman"/>
          <w:sz w:val="24"/>
          <w:szCs w:val="20"/>
          <w:lang w:eastAsia="zh-Hans"/>
        </w:rPr>
      </w:pPr>
      <w:r>
        <w:rPr>
          <w:rFonts w:hint="eastAsia" w:ascii="Times New Roman" w:hAnsi="Times New Roman" w:eastAsia="宋体" w:cs="Times New Roman"/>
          <w:sz w:val="24"/>
          <w:szCs w:val="20"/>
          <w:lang w:eastAsia="zh-Hans"/>
        </w:rPr>
        <w:t>询问笔录制作。系统提供询问笔录制作功能，对当事人进行询问笔录时，</w:t>
      </w:r>
      <w:r>
        <w:rPr>
          <w:rFonts w:hint="eastAsia" w:ascii="Times New Roman" w:hAnsi="Times New Roman" w:eastAsia="宋体" w:cs="Times New Roman"/>
          <w:sz w:val="24"/>
          <w:szCs w:val="20"/>
        </w:rPr>
        <w:t>统计</w:t>
      </w:r>
      <w:r>
        <w:rPr>
          <w:rFonts w:hint="eastAsia" w:ascii="Times New Roman" w:hAnsi="Times New Roman" w:eastAsia="宋体" w:cs="Times New Roman"/>
          <w:sz w:val="24"/>
          <w:szCs w:val="20"/>
          <w:lang w:eastAsia="zh-Hans"/>
        </w:rPr>
        <w:t>执法人员进行询问笔录内容的实时记录。提供询问笔录打印功能，供当事人进行签字确认询问笔录内容。提供询问笔录签字扫描上传功能，对当事人签字确认后的询问笔录进行电子档保存。</w:t>
      </w:r>
    </w:p>
    <w:p>
      <w:pPr>
        <w:spacing w:line="360" w:lineRule="auto"/>
        <w:ind w:firstLine="480" w:firstLineChars="200"/>
        <w:rPr>
          <w:rFonts w:ascii="Times New Roman" w:hAnsi="Times New Roman" w:eastAsia="宋体" w:cs="Times New Roman"/>
          <w:sz w:val="24"/>
          <w:szCs w:val="20"/>
          <w:lang w:eastAsia="zh-Hans"/>
        </w:rPr>
      </w:pPr>
      <w:r>
        <w:rPr>
          <w:rFonts w:hint="eastAsia" w:ascii="Times New Roman" w:hAnsi="Times New Roman" w:eastAsia="宋体" w:cs="Times New Roman"/>
          <w:sz w:val="24"/>
          <w:szCs w:val="20"/>
          <w:lang w:eastAsia="zh-Hans"/>
        </w:rPr>
        <w:t>询问笔录模板管理。系统提供询问笔录模板制作功能，可根据案件类型选择不同的询问笔录模板，模板提供该类案件常见询问问题选择。</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lang w:eastAsia="zh-Hans"/>
        </w:rPr>
      </w:pPr>
      <w:r>
        <w:rPr>
          <w:rFonts w:hint="eastAsia" w:ascii="Times New Roman" w:hAnsi="Times New Roman" w:eastAsia="宋体" w:cs="Times New Roman"/>
          <w:b/>
          <w:sz w:val="24"/>
          <w:lang w:eastAsia="zh-Hans"/>
        </w:rPr>
        <w:t>事先告知及听证告知程序</w:t>
      </w:r>
    </w:p>
    <w:p>
      <w:pPr>
        <w:spacing w:line="360" w:lineRule="auto"/>
        <w:ind w:firstLine="480" w:firstLineChars="200"/>
        <w:rPr>
          <w:rFonts w:ascii="Times New Roman" w:hAnsi="Times New Roman" w:eastAsia="宋体" w:cs="Times New Roman"/>
          <w:sz w:val="24"/>
          <w:szCs w:val="20"/>
          <w:lang w:eastAsia="zh-Hans"/>
        </w:rPr>
      </w:pPr>
      <w:r>
        <w:rPr>
          <w:rFonts w:hint="eastAsia" w:ascii="Times New Roman" w:hAnsi="Times New Roman" w:eastAsia="宋体" w:cs="Times New Roman"/>
          <w:sz w:val="24"/>
          <w:szCs w:val="20"/>
          <w:lang w:eastAsia="zh-Hans"/>
        </w:rPr>
        <w:t>事先告知书。系统提供在线事先告知书制作功能，当选择事先告知书制作时，系统自动将之前输入的相关案件信息填入到事先告知书中，事先告知书制作人员只需对个别信息进行调整和补充即可。</w:t>
      </w:r>
    </w:p>
    <w:p>
      <w:pPr>
        <w:spacing w:line="360" w:lineRule="auto"/>
        <w:ind w:firstLine="480" w:firstLineChars="200"/>
        <w:rPr>
          <w:rFonts w:ascii="Times New Roman" w:hAnsi="Times New Roman" w:eastAsia="宋体" w:cs="Times New Roman"/>
          <w:sz w:val="24"/>
          <w:szCs w:val="20"/>
          <w:lang w:eastAsia="zh-Hans"/>
        </w:rPr>
      </w:pPr>
      <w:r>
        <w:rPr>
          <w:rFonts w:hint="eastAsia" w:ascii="Times New Roman" w:hAnsi="Times New Roman" w:eastAsia="宋体" w:cs="Times New Roman"/>
          <w:sz w:val="24"/>
          <w:szCs w:val="20"/>
          <w:lang w:eastAsia="zh-Hans"/>
        </w:rPr>
        <w:t>系统提供事先告知书在线修改功能，当事先告知书相关信息需要调整时，先告知书制作人可以通过事先告知书修改功能对事先告知信息进行修改。</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lang w:eastAsia="zh-Hans"/>
        </w:rPr>
      </w:pPr>
      <w:r>
        <w:rPr>
          <w:rFonts w:hint="eastAsia" w:ascii="Times New Roman" w:hAnsi="Times New Roman" w:eastAsia="宋体" w:cs="Times New Roman"/>
          <w:b/>
          <w:sz w:val="24"/>
          <w:lang w:eastAsia="zh-Hans"/>
        </w:rPr>
        <w:t>行政处罚决定程序管理</w:t>
      </w:r>
    </w:p>
    <w:p>
      <w:pPr>
        <w:spacing w:line="360" w:lineRule="auto"/>
        <w:ind w:firstLine="480" w:firstLineChars="200"/>
        <w:rPr>
          <w:rFonts w:ascii="Times New Roman" w:hAnsi="Times New Roman" w:eastAsia="宋体" w:cs="Times New Roman"/>
          <w:sz w:val="24"/>
          <w:szCs w:val="20"/>
          <w:lang w:eastAsia="zh-Hans"/>
        </w:rPr>
      </w:pPr>
      <w:r>
        <w:rPr>
          <w:rFonts w:hint="eastAsia" w:ascii="Times New Roman" w:hAnsi="Times New Roman" w:eastAsia="宋体" w:cs="Times New Roman"/>
          <w:sz w:val="24"/>
          <w:szCs w:val="20"/>
          <w:lang w:eastAsia="zh-Hans"/>
        </w:rPr>
        <w:t>行政处罚决定书。处罚决定书是行政处罚决定最具体的表现形式，是整个综合执法过程中最重要的也是最关键的法律文书。处罚决定书规范化制作，直接关系到行政处罚是否成立，关系到</w:t>
      </w:r>
      <w:r>
        <w:rPr>
          <w:rFonts w:hint="eastAsia" w:ascii="Times New Roman" w:hAnsi="Times New Roman" w:eastAsia="宋体" w:cs="Times New Roman"/>
          <w:sz w:val="24"/>
          <w:szCs w:val="20"/>
        </w:rPr>
        <w:t>统计</w:t>
      </w:r>
      <w:r>
        <w:rPr>
          <w:rFonts w:hint="eastAsia" w:ascii="Times New Roman" w:hAnsi="Times New Roman" w:eastAsia="宋体" w:cs="Times New Roman"/>
          <w:sz w:val="24"/>
          <w:szCs w:val="20"/>
          <w:lang w:eastAsia="zh-Hans"/>
        </w:rPr>
        <w:t>执法的准确性和严肃性。系统提供在线处罚决定书制作功能，当选择处罚决定书制作时，系统自动将之前输入的相关案件信息填入到处罚决定书中，处罚决定书制作人员只需对个别信息进行调整和补充即可。</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lang w:eastAsia="zh-Hans"/>
        </w:rPr>
      </w:pPr>
      <w:r>
        <w:rPr>
          <w:rFonts w:hint="eastAsia" w:ascii="Times New Roman" w:hAnsi="Times New Roman" w:eastAsia="宋体" w:cs="Times New Roman"/>
          <w:b/>
          <w:sz w:val="24"/>
          <w:lang w:eastAsia="zh-Hans"/>
        </w:rPr>
        <w:t>加处罚款审批管理</w:t>
      </w:r>
    </w:p>
    <w:p>
      <w:pPr>
        <w:spacing w:line="360" w:lineRule="auto"/>
        <w:ind w:firstLine="480" w:firstLineChars="200"/>
        <w:rPr>
          <w:rFonts w:ascii="Times New Roman" w:hAnsi="Times New Roman" w:eastAsia="宋体" w:cs="Times New Roman"/>
          <w:sz w:val="24"/>
          <w:szCs w:val="20"/>
          <w:lang w:eastAsia="zh-Hans"/>
        </w:rPr>
      </w:pPr>
      <w:r>
        <w:rPr>
          <w:rFonts w:hint="eastAsia" w:ascii="Times New Roman" w:hAnsi="Times New Roman" w:eastAsia="宋体" w:cs="Times New Roman"/>
          <w:sz w:val="24"/>
          <w:szCs w:val="20"/>
          <w:lang w:eastAsia="zh-Hans"/>
        </w:rPr>
        <w:t>系统提供在线加处罚款决定书制作功能，当选择加处罚款决定书制作时，系统自动将之前输入的相关案件信息填入到加处罚款决定书中，加处罚款决定书制作人员只需对个别信息进行调整和补充即可。</w:t>
      </w:r>
    </w:p>
    <w:p>
      <w:pPr>
        <w:spacing w:line="360" w:lineRule="auto"/>
        <w:ind w:firstLine="480" w:firstLineChars="200"/>
        <w:rPr>
          <w:rFonts w:ascii="Times New Roman" w:hAnsi="Times New Roman" w:eastAsia="宋体" w:cs="Times New Roman"/>
          <w:sz w:val="24"/>
          <w:szCs w:val="20"/>
          <w:lang w:eastAsia="zh-Hans"/>
        </w:rPr>
      </w:pPr>
      <w:r>
        <w:rPr>
          <w:rFonts w:hint="eastAsia" w:ascii="Times New Roman" w:hAnsi="Times New Roman" w:eastAsia="宋体" w:cs="Times New Roman"/>
          <w:sz w:val="24"/>
          <w:szCs w:val="20"/>
          <w:lang w:eastAsia="zh-Hans"/>
        </w:rPr>
        <w:t>系统提供加处罚款决定书在线修改功能，当加处罚款决定书相关信息需要调整时，加处罚款决定书制作人可以通过加处罚款决定书修改功能对信息进行修改。</w:t>
      </w:r>
    </w:p>
    <w:p>
      <w:pPr>
        <w:spacing w:line="360" w:lineRule="auto"/>
        <w:ind w:firstLine="480" w:firstLineChars="200"/>
        <w:rPr>
          <w:rFonts w:ascii="Times New Roman" w:hAnsi="Times New Roman" w:eastAsia="宋体" w:cs="Times New Roman"/>
          <w:sz w:val="24"/>
          <w:szCs w:val="20"/>
          <w:lang w:eastAsia="zh-Hans"/>
        </w:rPr>
      </w:pPr>
      <w:r>
        <w:rPr>
          <w:rFonts w:hint="eastAsia" w:ascii="Times New Roman" w:hAnsi="Times New Roman" w:eastAsia="宋体" w:cs="Times New Roman"/>
          <w:sz w:val="24"/>
          <w:szCs w:val="20"/>
          <w:lang w:eastAsia="zh-Hans"/>
        </w:rPr>
        <w:t>提供文书打印功能，供当事人进行签字确认。提供签字扫描上传功能，对当事人签字确认后的文书进行电子档保存。</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lang w:eastAsia="zh-Hans"/>
        </w:rPr>
      </w:pPr>
      <w:r>
        <w:rPr>
          <w:rFonts w:hint="eastAsia" w:ascii="Times New Roman" w:hAnsi="Times New Roman" w:eastAsia="宋体" w:cs="Times New Roman"/>
          <w:b/>
          <w:sz w:val="24"/>
          <w:lang w:eastAsia="zh-Hans"/>
        </w:rPr>
        <w:t>听证管理</w:t>
      </w:r>
    </w:p>
    <w:p>
      <w:pPr>
        <w:spacing w:line="360" w:lineRule="auto"/>
        <w:ind w:firstLine="480" w:firstLineChars="200"/>
        <w:rPr>
          <w:rFonts w:ascii="Times New Roman" w:hAnsi="Times New Roman" w:eastAsia="宋体" w:cs="Times New Roman"/>
          <w:sz w:val="24"/>
          <w:szCs w:val="20"/>
          <w:lang w:eastAsia="zh-Hans"/>
        </w:rPr>
      </w:pPr>
      <w:r>
        <w:rPr>
          <w:rFonts w:hint="eastAsia" w:ascii="Times New Roman" w:hAnsi="Times New Roman" w:eastAsia="宋体" w:cs="Times New Roman"/>
          <w:sz w:val="24"/>
          <w:szCs w:val="20"/>
          <w:lang w:eastAsia="zh-Hans"/>
        </w:rPr>
        <w:t>系统提供在线听证告知书制作功能，当选择听证告知书制作时，系统自动将之前输入的相关案件信息填入到听证告知书中，听证告知书制作人员只需对个别信息进行调整和补充即可。</w:t>
      </w:r>
    </w:p>
    <w:p>
      <w:pPr>
        <w:spacing w:line="360" w:lineRule="auto"/>
        <w:ind w:firstLine="480" w:firstLineChars="200"/>
        <w:rPr>
          <w:rFonts w:ascii="Times New Roman" w:hAnsi="Times New Roman" w:eastAsia="宋体" w:cs="Times New Roman"/>
          <w:sz w:val="24"/>
          <w:szCs w:val="20"/>
          <w:lang w:eastAsia="zh-Hans"/>
        </w:rPr>
      </w:pPr>
      <w:r>
        <w:rPr>
          <w:rFonts w:hint="eastAsia" w:ascii="Times New Roman" w:hAnsi="Times New Roman" w:eastAsia="宋体" w:cs="Times New Roman"/>
          <w:sz w:val="24"/>
          <w:szCs w:val="20"/>
          <w:lang w:eastAsia="zh-Hans"/>
        </w:rPr>
        <w:t>系统提供听证告知书在线修改功能，当听证告知书相关信息需要调整时，听证告知书制作人可以通过听证告知书修改功能对听证告知信息进行修改。</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lang w:eastAsia="zh-Hans"/>
        </w:rPr>
      </w:pPr>
      <w:r>
        <w:rPr>
          <w:rFonts w:hint="eastAsia" w:ascii="Times New Roman" w:hAnsi="Times New Roman" w:eastAsia="宋体" w:cs="Times New Roman"/>
          <w:b/>
          <w:sz w:val="24"/>
          <w:lang w:eastAsia="zh-Hans"/>
        </w:rPr>
        <w:t>送达回执</w:t>
      </w:r>
    </w:p>
    <w:p>
      <w:pPr>
        <w:spacing w:line="360" w:lineRule="auto"/>
        <w:ind w:firstLine="480" w:firstLineChars="200"/>
        <w:rPr>
          <w:rFonts w:ascii="Times New Roman" w:hAnsi="Times New Roman" w:eastAsia="宋体" w:cs="Times New Roman"/>
          <w:sz w:val="24"/>
          <w:szCs w:val="20"/>
          <w:lang w:eastAsia="zh-Hans"/>
        </w:rPr>
      </w:pPr>
      <w:r>
        <w:rPr>
          <w:rFonts w:hint="eastAsia" w:ascii="Times New Roman" w:hAnsi="Times New Roman" w:eastAsia="宋体" w:cs="Times New Roman"/>
          <w:sz w:val="24"/>
          <w:szCs w:val="20"/>
          <w:lang w:eastAsia="zh-Hans"/>
        </w:rPr>
        <w:t>行政处罚业务子系统提供听证告知书送达回执登记功能，当听证告知书送达后，系统会记录送达时间并提供签字扫描上传功能，对当事人签字确认后的送达回执进行电子档保存。</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lang w:eastAsia="zh-Hans"/>
        </w:rPr>
      </w:pPr>
      <w:r>
        <w:rPr>
          <w:rFonts w:hint="eastAsia" w:ascii="Times New Roman" w:hAnsi="Times New Roman" w:eastAsia="宋体" w:cs="Times New Roman"/>
          <w:b/>
          <w:sz w:val="24"/>
          <w:lang w:eastAsia="zh-Hans"/>
        </w:rPr>
        <w:t>行政处罚听证通知书</w:t>
      </w:r>
    </w:p>
    <w:p>
      <w:pPr>
        <w:spacing w:line="360" w:lineRule="auto"/>
        <w:ind w:firstLine="480" w:firstLineChars="200"/>
        <w:rPr>
          <w:rFonts w:ascii="Times New Roman" w:hAnsi="Times New Roman" w:eastAsia="宋体" w:cs="Times New Roman"/>
          <w:sz w:val="24"/>
          <w:szCs w:val="20"/>
          <w:lang w:eastAsia="zh-Hans"/>
        </w:rPr>
      </w:pPr>
      <w:r>
        <w:rPr>
          <w:rFonts w:hint="eastAsia" w:ascii="Times New Roman" w:hAnsi="Times New Roman" w:eastAsia="宋体" w:cs="Times New Roman"/>
          <w:sz w:val="24"/>
          <w:szCs w:val="20"/>
          <w:lang w:eastAsia="zh-Hans"/>
        </w:rPr>
        <w:t>系统提供在线听证通知书制作功能，当选择听证通知书制作时，系统自动将之前输入的相关案件信息填入到听证通知书中，听证通知书制作人员只需对个别信息进行调整和补充即可。</w:t>
      </w:r>
    </w:p>
    <w:p>
      <w:pPr>
        <w:spacing w:line="360" w:lineRule="auto"/>
        <w:ind w:firstLine="480" w:firstLineChars="200"/>
        <w:rPr>
          <w:rFonts w:ascii="Times New Roman" w:hAnsi="Times New Roman" w:eastAsia="宋体" w:cs="Times New Roman"/>
          <w:sz w:val="24"/>
          <w:szCs w:val="20"/>
          <w:lang w:eastAsia="zh-Hans"/>
        </w:rPr>
      </w:pPr>
      <w:r>
        <w:rPr>
          <w:rFonts w:hint="eastAsia" w:ascii="Times New Roman" w:hAnsi="Times New Roman" w:eastAsia="宋体" w:cs="Times New Roman"/>
          <w:sz w:val="24"/>
          <w:szCs w:val="20"/>
          <w:lang w:eastAsia="zh-Hans"/>
        </w:rPr>
        <w:t>系统提供听证通知书在线修改功能，当听证通知书相关信息需要调整时，听证通知书制作人可以通过听证通知书修改功能对信息进行修改。</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lang w:eastAsia="zh-Hans"/>
        </w:rPr>
      </w:pPr>
      <w:r>
        <w:rPr>
          <w:rFonts w:hint="eastAsia" w:ascii="Times New Roman" w:hAnsi="Times New Roman" w:eastAsia="宋体" w:cs="Times New Roman"/>
          <w:b/>
          <w:sz w:val="24"/>
          <w:lang w:eastAsia="zh-Hans"/>
        </w:rPr>
        <w:t>听证笔录管理</w:t>
      </w:r>
    </w:p>
    <w:p>
      <w:pPr>
        <w:spacing w:line="360" w:lineRule="auto"/>
        <w:ind w:firstLine="480" w:firstLineChars="200"/>
        <w:rPr>
          <w:rFonts w:ascii="Times New Roman" w:hAnsi="Times New Roman" w:eastAsia="宋体" w:cs="Times New Roman"/>
          <w:sz w:val="24"/>
          <w:szCs w:val="20"/>
          <w:lang w:eastAsia="zh-Hans"/>
        </w:rPr>
      </w:pPr>
      <w:r>
        <w:rPr>
          <w:rFonts w:hint="eastAsia" w:ascii="Times New Roman" w:hAnsi="Times New Roman" w:eastAsia="宋体" w:cs="Times New Roman"/>
          <w:sz w:val="24"/>
          <w:szCs w:val="20"/>
          <w:lang w:eastAsia="zh-Hans"/>
        </w:rPr>
        <w:t>系统提供听证笔录制作功能，供听证会过程中，记录听证会过程内容及各方的描述。提供听证笔录打印功能，供当事人进行签字确认听证会内容。提供听证报告签字扫描上传功能，对当事人签字确认后的听证报告进行电子档保存。</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lang w:eastAsia="zh-Hans"/>
        </w:rPr>
      </w:pPr>
      <w:r>
        <w:rPr>
          <w:rFonts w:hint="eastAsia" w:ascii="Times New Roman" w:hAnsi="Times New Roman" w:eastAsia="宋体" w:cs="Times New Roman"/>
          <w:b/>
          <w:sz w:val="24"/>
          <w:lang w:eastAsia="zh-Hans"/>
        </w:rPr>
        <w:t>申辩管理</w:t>
      </w:r>
    </w:p>
    <w:p>
      <w:pPr>
        <w:spacing w:line="360" w:lineRule="auto"/>
        <w:ind w:firstLine="480" w:firstLineChars="200"/>
        <w:rPr>
          <w:rFonts w:ascii="Times New Roman" w:hAnsi="Times New Roman" w:eastAsia="宋体" w:cs="Times New Roman"/>
          <w:sz w:val="24"/>
          <w:szCs w:val="20"/>
          <w:lang w:eastAsia="zh-Hans"/>
        </w:rPr>
      </w:pPr>
      <w:r>
        <w:rPr>
          <w:rFonts w:hint="eastAsia" w:ascii="Times New Roman" w:hAnsi="Times New Roman" w:eastAsia="宋体" w:cs="Times New Roman"/>
          <w:sz w:val="24"/>
          <w:szCs w:val="20"/>
          <w:lang w:eastAsia="zh-Hans"/>
        </w:rPr>
        <w:t>系统提供陈述笔录制作功能，供当事人进行陈述申辩时，</w:t>
      </w:r>
      <w:r>
        <w:rPr>
          <w:rFonts w:hint="eastAsia" w:ascii="Times New Roman" w:hAnsi="Times New Roman" w:eastAsia="宋体" w:cs="Times New Roman"/>
          <w:sz w:val="24"/>
          <w:szCs w:val="20"/>
        </w:rPr>
        <w:t>统计</w:t>
      </w:r>
      <w:r>
        <w:rPr>
          <w:rFonts w:hint="eastAsia" w:ascii="Times New Roman" w:hAnsi="Times New Roman" w:eastAsia="宋体" w:cs="Times New Roman"/>
          <w:sz w:val="24"/>
          <w:szCs w:val="20"/>
          <w:lang w:eastAsia="zh-Hans"/>
        </w:rPr>
        <w:t>执法人员进行陈述申辩内容的实时记录。提供陈述笔录打印功能，供当事人进行签字确认陈述申辩内容。提供陈述笔录签字扫描上传功能，对当事人签字确认后的陈述笔录进行电子档保存。</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lang w:eastAsia="zh-Hans"/>
        </w:rPr>
      </w:pPr>
      <w:r>
        <w:rPr>
          <w:rFonts w:hint="eastAsia" w:ascii="Times New Roman" w:hAnsi="Times New Roman" w:eastAsia="宋体" w:cs="Times New Roman"/>
          <w:b/>
          <w:sz w:val="24"/>
          <w:lang w:eastAsia="zh-Hans"/>
        </w:rPr>
        <w:t>调整处罚内容审批流程</w:t>
      </w:r>
    </w:p>
    <w:p>
      <w:pPr>
        <w:spacing w:line="360" w:lineRule="auto"/>
        <w:ind w:firstLine="480" w:firstLineChars="200"/>
        <w:rPr>
          <w:rFonts w:ascii="Times New Roman" w:hAnsi="Times New Roman" w:eastAsia="宋体" w:cs="Times New Roman"/>
          <w:sz w:val="24"/>
          <w:szCs w:val="20"/>
          <w:lang w:eastAsia="zh-Hans"/>
        </w:rPr>
      </w:pPr>
      <w:r>
        <w:rPr>
          <w:rFonts w:hint="eastAsia" w:ascii="Times New Roman" w:hAnsi="Times New Roman" w:eastAsia="宋体" w:cs="Times New Roman"/>
          <w:sz w:val="24"/>
          <w:szCs w:val="20"/>
          <w:lang w:eastAsia="zh-Hans"/>
        </w:rPr>
        <w:t>当事人陈述申辩完成后，如果需要调整处罚内容，由案件办理人员在线制作调整处罚内容审批表，系统自动根据当前办案人员所属部门分管领导进行调整处罚内容审批流程。在审批流程中，如果某一环节审批通过，系统自动交由后续审批人员进行审批： 如果审批不通过，需输入不通过的原因，系统自动将案件进入下一阶段。</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lang w:eastAsia="zh-Hans"/>
        </w:rPr>
      </w:pPr>
      <w:r>
        <w:rPr>
          <w:rFonts w:hint="eastAsia" w:ascii="Times New Roman" w:hAnsi="Times New Roman" w:eastAsia="宋体" w:cs="Times New Roman"/>
          <w:b/>
          <w:sz w:val="24"/>
          <w:lang w:eastAsia="zh-Hans"/>
        </w:rPr>
        <w:t>现场证据管理</w:t>
      </w:r>
    </w:p>
    <w:p>
      <w:pPr>
        <w:spacing w:line="360" w:lineRule="auto"/>
        <w:ind w:firstLine="480" w:firstLineChars="200"/>
        <w:rPr>
          <w:rFonts w:ascii="Times New Roman" w:hAnsi="Times New Roman" w:eastAsia="宋体" w:cs="Times New Roman"/>
          <w:sz w:val="24"/>
          <w:szCs w:val="20"/>
          <w:lang w:eastAsia="zh-Hans"/>
        </w:rPr>
      </w:pPr>
      <w:r>
        <w:rPr>
          <w:rFonts w:hint="eastAsia" w:ascii="Times New Roman" w:hAnsi="Times New Roman" w:eastAsia="宋体" w:cs="Times New Roman"/>
          <w:sz w:val="24"/>
          <w:szCs w:val="20"/>
          <w:lang w:eastAsia="zh-Hans"/>
        </w:rPr>
        <w:t>对简易程序案件、一般程序案件证据进行统一管理，实现各类案件在办理过程中的音频证据、视频证据、照片证据等现场证据的上传归类。</w:t>
      </w:r>
    </w:p>
    <w:p>
      <w:pPr>
        <w:spacing w:line="360" w:lineRule="auto"/>
        <w:ind w:firstLine="480" w:firstLineChars="200"/>
        <w:rPr>
          <w:rFonts w:ascii="Times New Roman" w:hAnsi="Times New Roman" w:eastAsia="宋体" w:cs="Times New Roman"/>
          <w:sz w:val="24"/>
          <w:szCs w:val="20"/>
          <w:lang w:eastAsia="zh-Hans"/>
        </w:rPr>
      </w:pPr>
      <w:r>
        <w:rPr>
          <w:rFonts w:hint="eastAsia" w:ascii="Times New Roman" w:hAnsi="Times New Roman" w:eastAsia="宋体" w:cs="Times New Roman"/>
          <w:sz w:val="24"/>
          <w:szCs w:val="20"/>
          <w:lang w:eastAsia="zh-Hans"/>
        </w:rPr>
        <w:t>各类案件证据与具体案件信息进行关联，在查看详细案件信息时，提供页面打开查看的功能。</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bookmarkStart w:id="47" w:name="_Toc1494629014"/>
      <w:r>
        <w:rPr>
          <w:rFonts w:hint="eastAsia" w:ascii="Arial" w:hAnsi="Arial" w:eastAsia="黑体" w:cs="Times New Roman"/>
          <w:b/>
          <w:sz w:val="24"/>
        </w:rPr>
        <w:t>统计分析</w:t>
      </w:r>
      <w:bookmarkEnd w:id="47"/>
    </w:p>
    <w:p>
      <w:pPr>
        <w:spacing w:line="360" w:lineRule="auto"/>
        <w:ind w:firstLine="480" w:firstLineChars="200"/>
        <w:rPr>
          <w:rFonts w:ascii="Times New Roman" w:hAnsi="Times New Roman" w:eastAsia="宋体" w:cs="Times New Roman"/>
          <w:sz w:val="24"/>
          <w:szCs w:val="20"/>
          <w:lang w:eastAsia="zh-Hans"/>
        </w:rPr>
      </w:pPr>
      <w:r>
        <w:rPr>
          <w:rFonts w:hint="eastAsia" w:ascii="Times New Roman" w:hAnsi="Times New Roman" w:eastAsia="宋体" w:cs="Times New Roman"/>
          <w:sz w:val="24"/>
          <w:szCs w:val="20"/>
          <w:lang w:eastAsia="zh-Hans"/>
        </w:rPr>
        <w:t>系统支持按执法人员</w:t>
      </w:r>
      <w:r>
        <w:rPr>
          <w:rFonts w:ascii="Times New Roman" w:hAnsi="Times New Roman" w:eastAsia="宋体" w:cs="Times New Roman"/>
          <w:sz w:val="24"/>
          <w:szCs w:val="20"/>
          <w:lang w:eastAsia="zh-Hans"/>
        </w:rPr>
        <w:t>、</w:t>
      </w:r>
      <w:r>
        <w:rPr>
          <w:rFonts w:hint="eastAsia" w:ascii="Times New Roman" w:hAnsi="Times New Roman" w:eastAsia="宋体" w:cs="Times New Roman"/>
          <w:sz w:val="24"/>
          <w:szCs w:val="20"/>
          <w:lang w:eastAsia="zh-Hans"/>
        </w:rPr>
        <w:t>案源</w:t>
      </w:r>
      <w:r>
        <w:rPr>
          <w:rFonts w:ascii="Times New Roman" w:hAnsi="Times New Roman" w:eastAsia="宋体" w:cs="Times New Roman"/>
          <w:sz w:val="24"/>
          <w:szCs w:val="20"/>
          <w:lang w:eastAsia="zh-Hans"/>
        </w:rPr>
        <w:t>、</w:t>
      </w:r>
      <w:r>
        <w:rPr>
          <w:rFonts w:hint="eastAsia" w:ascii="Times New Roman" w:hAnsi="Times New Roman" w:eastAsia="宋体" w:cs="Times New Roman"/>
          <w:sz w:val="24"/>
          <w:szCs w:val="20"/>
          <w:lang w:eastAsia="zh-Hans"/>
        </w:rPr>
        <w:t>执法检查等维度统计</w:t>
      </w:r>
      <w:r>
        <w:rPr>
          <w:rFonts w:ascii="Times New Roman" w:hAnsi="Times New Roman" w:eastAsia="宋体" w:cs="Times New Roman"/>
          <w:sz w:val="24"/>
          <w:szCs w:val="20"/>
          <w:lang w:eastAsia="zh-Hans"/>
        </w:rPr>
        <w:t>、</w:t>
      </w:r>
      <w:r>
        <w:rPr>
          <w:rFonts w:hint="eastAsia" w:ascii="Times New Roman" w:hAnsi="Times New Roman" w:eastAsia="宋体" w:cs="Times New Roman"/>
          <w:sz w:val="24"/>
          <w:szCs w:val="20"/>
          <w:lang w:eastAsia="zh-Hans"/>
        </w:rPr>
        <w:t>分析统计执法情况</w:t>
      </w:r>
      <w:r>
        <w:rPr>
          <w:rFonts w:ascii="Times New Roman" w:hAnsi="Times New Roman" w:eastAsia="宋体" w:cs="Times New Roman"/>
          <w:sz w:val="24"/>
          <w:szCs w:val="20"/>
          <w:lang w:eastAsia="zh-Hans"/>
        </w:rPr>
        <w:t>。</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rPr>
      </w:pPr>
      <w:r>
        <w:rPr>
          <w:rFonts w:hint="eastAsia" w:ascii="Times New Roman" w:hAnsi="Times New Roman" w:eastAsia="宋体" w:cs="Times New Roman"/>
          <w:b/>
          <w:sz w:val="24"/>
          <w:lang w:eastAsia="zh-Hans"/>
        </w:rPr>
        <w:t>执法人员</w:t>
      </w:r>
      <w:r>
        <w:rPr>
          <w:rFonts w:hint="eastAsia" w:ascii="Times New Roman" w:hAnsi="Times New Roman" w:eastAsia="宋体" w:cs="Times New Roman"/>
          <w:b/>
          <w:sz w:val="24"/>
        </w:rPr>
        <w:t>统计</w:t>
      </w:r>
    </w:p>
    <w:p>
      <w:pPr>
        <w:widowControl/>
        <w:spacing w:line="360" w:lineRule="auto"/>
        <w:ind w:firstLine="480" w:firstLineChars="200"/>
        <w:rPr>
          <w:rFonts w:ascii="等线" w:hAnsi="等线" w:eastAsia="仿宋" w:cs="宋体"/>
          <w:sz w:val="28"/>
        </w:rPr>
      </w:pPr>
      <w:r>
        <w:rPr>
          <w:rFonts w:hint="eastAsia" w:ascii="宋体" w:hAnsi="宋体" w:eastAsia="宋体" w:cs="宋体"/>
          <w:sz w:val="24"/>
          <w:lang w:eastAsia="zh-Hans"/>
        </w:rPr>
        <w:t>系统支持按区域统计辖区执法人员</w:t>
      </w:r>
      <w:r>
        <w:rPr>
          <w:rFonts w:ascii="宋体" w:hAnsi="宋体" w:eastAsia="宋体" w:cs="宋体"/>
          <w:sz w:val="24"/>
          <w:lang w:eastAsia="zh-Hans"/>
        </w:rPr>
        <w:t>、</w:t>
      </w:r>
      <w:r>
        <w:rPr>
          <w:rFonts w:hint="eastAsia" w:ascii="宋体" w:hAnsi="宋体" w:eastAsia="宋体" w:cs="宋体"/>
          <w:sz w:val="24"/>
          <w:lang w:eastAsia="zh-Hans"/>
        </w:rPr>
        <w:t>持证人员数量</w:t>
      </w:r>
      <w:r>
        <w:rPr>
          <w:rFonts w:ascii="宋体" w:hAnsi="宋体" w:eastAsia="宋体" w:cs="宋体"/>
          <w:sz w:val="24"/>
          <w:lang w:eastAsia="zh-Hans"/>
        </w:rPr>
        <w:t>、</w:t>
      </w:r>
      <w:r>
        <w:rPr>
          <w:rFonts w:hint="eastAsia" w:ascii="宋体" w:hAnsi="宋体" w:eastAsia="宋体" w:cs="宋体"/>
          <w:sz w:val="24"/>
          <w:lang w:eastAsia="zh-Hans"/>
        </w:rPr>
        <w:t>参与执法次数等信息</w:t>
      </w:r>
      <w:r>
        <w:rPr>
          <w:rFonts w:hint="eastAsia" w:ascii="宋体" w:hAnsi="宋体" w:eastAsia="宋体" w:cs="宋体"/>
          <w:sz w:val="24"/>
        </w:rPr>
        <w:t>，同时可以将查询结果以EXCEL的格式导出，方便进行查询统计。</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lang w:eastAsia="zh-Hans"/>
        </w:rPr>
      </w:pPr>
      <w:r>
        <w:rPr>
          <w:rFonts w:hint="eastAsia" w:ascii="Times New Roman" w:hAnsi="Times New Roman" w:eastAsia="宋体" w:cs="Times New Roman"/>
          <w:b/>
          <w:sz w:val="24"/>
        </w:rPr>
        <w:t>执法检查统计</w:t>
      </w:r>
    </w:p>
    <w:p>
      <w:pPr>
        <w:spacing w:line="360" w:lineRule="auto"/>
        <w:ind w:firstLine="480" w:firstLineChars="200"/>
        <w:rPr>
          <w:rFonts w:ascii="Times New Roman" w:hAnsi="Times New Roman" w:eastAsia="宋体" w:cs="Times New Roman"/>
          <w:sz w:val="24"/>
          <w:szCs w:val="20"/>
          <w:lang w:eastAsia="zh-Hans"/>
        </w:rPr>
      </w:pPr>
      <w:r>
        <w:rPr>
          <w:rFonts w:hint="eastAsia" w:ascii="Times New Roman" w:hAnsi="Times New Roman" w:eastAsia="宋体" w:cs="Times New Roman"/>
          <w:sz w:val="24"/>
          <w:szCs w:val="20"/>
          <w:lang w:eastAsia="zh-Hans"/>
        </w:rPr>
        <w:t>系统支持按发起时间</w:t>
      </w:r>
      <w:r>
        <w:rPr>
          <w:rFonts w:ascii="Times New Roman" w:hAnsi="Times New Roman" w:eastAsia="宋体" w:cs="Times New Roman"/>
          <w:sz w:val="24"/>
          <w:szCs w:val="20"/>
          <w:lang w:eastAsia="zh-Hans"/>
        </w:rPr>
        <w:t>、</w:t>
      </w:r>
      <w:r>
        <w:rPr>
          <w:rFonts w:hint="eastAsia" w:ascii="Times New Roman" w:hAnsi="Times New Roman" w:eastAsia="宋体" w:cs="Times New Roman"/>
          <w:sz w:val="24"/>
          <w:szCs w:val="20"/>
          <w:lang w:eastAsia="zh-Hans"/>
        </w:rPr>
        <w:t>所属区域</w:t>
      </w:r>
      <w:r>
        <w:rPr>
          <w:rFonts w:ascii="Times New Roman" w:hAnsi="Times New Roman" w:eastAsia="宋体" w:cs="Times New Roman"/>
          <w:sz w:val="24"/>
          <w:szCs w:val="20"/>
          <w:lang w:eastAsia="zh-Hans"/>
        </w:rPr>
        <w:t>、</w:t>
      </w:r>
      <w:r>
        <w:rPr>
          <w:rFonts w:hint="eastAsia" w:ascii="Times New Roman" w:hAnsi="Times New Roman" w:eastAsia="宋体" w:cs="Times New Roman"/>
          <w:sz w:val="24"/>
          <w:szCs w:val="20"/>
          <w:lang w:eastAsia="zh-Hans"/>
        </w:rPr>
        <w:t>专业类别等条件</w:t>
      </w:r>
      <w:r>
        <w:rPr>
          <w:rFonts w:ascii="Times New Roman" w:hAnsi="Times New Roman" w:eastAsia="宋体" w:cs="Times New Roman"/>
          <w:sz w:val="24"/>
          <w:szCs w:val="20"/>
          <w:lang w:eastAsia="zh-Hans"/>
        </w:rPr>
        <w:t>，</w:t>
      </w:r>
      <w:r>
        <w:rPr>
          <w:rFonts w:hint="eastAsia" w:ascii="Times New Roman" w:hAnsi="Times New Roman" w:eastAsia="宋体" w:cs="Times New Roman"/>
          <w:sz w:val="24"/>
          <w:szCs w:val="20"/>
          <w:lang w:eastAsia="zh-Hans"/>
        </w:rPr>
        <w:t>区域多维度统计案源处理情况</w:t>
      </w:r>
      <w:r>
        <w:rPr>
          <w:rFonts w:ascii="Times New Roman" w:hAnsi="Times New Roman" w:eastAsia="宋体" w:cs="Times New Roman"/>
          <w:sz w:val="24"/>
          <w:szCs w:val="20"/>
          <w:lang w:eastAsia="zh-Hans"/>
        </w:rPr>
        <w:t>。</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lang w:eastAsia="zh-Hans"/>
        </w:rPr>
      </w:pPr>
      <w:r>
        <w:rPr>
          <w:rFonts w:hint="eastAsia" w:ascii="Times New Roman" w:hAnsi="Times New Roman" w:eastAsia="宋体" w:cs="Times New Roman"/>
          <w:b/>
          <w:sz w:val="24"/>
        </w:rPr>
        <w:t>行政处罚统计</w:t>
      </w:r>
    </w:p>
    <w:p>
      <w:pPr>
        <w:spacing w:line="360" w:lineRule="auto"/>
        <w:ind w:firstLine="480" w:firstLineChars="200"/>
        <w:rPr>
          <w:rFonts w:ascii="Times New Roman" w:hAnsi="Times New Roman" w:eastAsia="宋体" w:cs="Times New Roman"/>
          <w:sz w:val="24"/>
          <w:szCs w:val="20"/>
          <w:lang w:eastAsia="zh-Hans"/>
        </w:rPr>
      </w:pPr>
      <w:r>
        <w:rPr>
          <w:rFonts w:hint="eastAsia" w:ascii="Times New Roman" w:hAnsi="Times New Roman" w:eastAsia="宋体" w:cs="Times New Roman"/>
          <w:sz w:val="24"/>
          <w:szCs w:val="20"/>
          <w:lang w:eastAsia="zh-Hans"/>
        </w:rPr>
        <w:t>系统支持按时间</w:t>
      </w:r>
      <w:r>
        <w:rPr>
          <w:rFonts w:ascii="Times New Roman" w:hAnsi="Times New Roman" w:eastAsia="宋体" w:cs="Times New Roman"/>
          <w:sz w:val="24"/>
          <w:szCs w:val="20"/>
          <w:lang w:eastAsia="zh-Hans"/>
        </w:rPr>
        <w:t>、</w:t>
      </w:r>
      <w:r>
        <w:rPr>
          <w:rFonts w:hint="eastAsia" w:ascii="Times New Roman" w:hAnsi="Times New Roman" w:eastAsia="宋体" w:cs="Times New Roman"/>
          <w:sz w:val="24"/>
          <w:szCs w:val="20"/>
          <w:lang w:eastAsia="zh-Hans"/>
        </w:rPr>
        <w:t>专业类别统计执法</w:t>
      </w:r>
      <w:r>
        <w:rPr>
          <w:rFonts w:hint="eastAsia" w:ascii="Times New Roman" w:hAnsi="Times New Roman" w:eastAsia="宋体" w:cs="Times New Roman"/>
          <w:sz w:val="24"/>
          <w:szCs w:val="20"/>
        </w:rPr>
        <w:t>行政处罚</w:t>
      </w:r>
      <w:r>
        <w:rPr>
          <w:rFonts w:hint="eastAsia" w:ascii="Times New Roman" w:hAnsi="Times New Roman" w:eastAsia="宋体" w:cs="Times New Roman"/>
          <w:sz w:val="24"/>
          <w:szCs w:val="20"/>
          <w:lang w:eastAsia="zh-Hans"/>
        </w:rPr>
        <w:t>情况</w:t>
      </w:r>
      <w:r>
        <w:rPr>
          <w:rFonts w:ascii="Times New Roman" w:hAnsi="Times New Roman" w:eastAsia="宋体" w:cs="Times New Roman"/>
          <w:sz w:val="24"/>
          <w:szCs w:val="20"/>
          <w:lang w:eastAsia="zh-Hans"/>
        </w:rPr>
        <w:t>，</w:t>
      </w:r>
      <w:r>
        <w:rPr>
          <w:rFonts w:hint="eastAsia" w:ascii="Times New Roman" w:hAnsi="Times New Roman" w:eastAsia="宋体" w:cs="Times New Roman"/>
          <w:sz w:val="24"/>
          <w:szCs w:val="20"/>
          <w:lang w:eastAsia="zh-Hans"/>
        </w:rPr>
        <w:t>支持检查数据反查及统计结果excel导出</w:t>
      </w:r>
      <w:r>
        <w:rPr>
          <w:rFonts w:ascii="Times New Roman" w:hAnsi="Times New Roman" w:eastAsia="宋体" w:cs="Times New Roman"/>
          <w:sz w:val="24"/>
          <w:szCs w:val="20"/>
          <w:lang w:eastAsia="zh-Hans"/>
        </w:rPr>
        <w:t>。</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lang w:eastAsia="zh-Hans"/>
        </w:rPr>
      </w:pPr>
      <w:r>
        <w:rPr>
          <w:rFonts w:hint="eastAsia" w:ascii="Arial" w:hAnsi="Arial" w:eastAsia="黑体" w:cs="Times New Roman"/>
          <w:b/>
          <w:sz w:val="24"/>
          <w:lang w:eastAsia="zh-Hans"/>
        </w:rPr>
        <w:t>检查台账</w:t>
      </w:r>
    </w:p>
    <w:p>
      <w:pPr>
        <w:spacing w:line="360" w:lineRule="auto"/>
        <w:ind w:firstLine="480" w:firstLineChars="200"/>
        <w:rPr>
          <w:rFonts w:ascii="Times New Roman" w:hAnsi="Times New Roman" w:eastAsia="宋体" w:cs="Times New Roman"/>
          <w:sz w:val="24"/>
          <w:szCs w:val="20"/>
          <w:lang w:eastAsia="zh-Hans"/>
        </w:rPr>
      </w:pPr>
      <w:r>
        <w:rPr>
          <w:rFonts w:hint="eastAsia" w:ascii="Times New Roman" w:hAnsi="Times New Roman" w:eastAsia="宋体" w:cs="Times New Roman"/>
          <w:sz w:val="24"/>
          <w:szCs w:val="20"/>
          <w:lang w:eastAsia="zh-Hans"/>
        </w:rPr>
        <w:t>支持各盟市</w:t>
      </w:r>
      <w:r>
        <w:rPr>
          <w:rFonts w:ascii="Times New Roman" w:hAnsi="Times New Roman" w:eastAsia="宋体" w:cs="Times New Roman"/>
          <w:sz w:val="24"/>
          <w:szCs w:val="20"/>
          <w:lang w:eastAsia="zh-Hans"/>
        </w:rPr>
        <w:t>、</w:t>
      </w:r>
      <w:r>
        <w:rPr>
          <w:rFonts w:hint="eastAsia" w:ascii="Times New Roman" w:hAnsi="Times New Roman" w:eastAsia="宋体" w:cs="Times New Roman"/>
          <w:sz w:val="24"/>
          <w:szCs w:val="20"/>
          <w:lang w:eastAsia="zh-Hans"/>
        </w:rPr>
        <w:t>区旗将本级执法信息上传汇聚至自治区平台</w:t>
      </w:r>
      <w:r>
        <w:rPr>
          <w:rFonts w:ascii="Times New Roman" w:hAnsi="Times New Roman" w:eastAsia="宋体" w:cs="Times New Roman"/>
          <w:sz w:val="24"/>
          <w:szCs w:val="20"/>
          <w:lang w:eastAsia="zh-Hans"/>
        </w:rPr>
        <w:t>。</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rPr>
      </w:pPr>
      <w:r>
        <w:rPr>
          <w:rFonts w:hint="eastAsia" w:ascii="Times New Roman" w:hAnsi="Times New Roman" w:eastAsia="宋体" w:cs="Times New Roman"/>
          <w:b/>
          <w:sz w:val="24"/>
        </w:rPr>
        <w:t>检查信息上传</w:t>
      </w:r>
    </w:p>
    <w:p>
      <w:pPr>
        <w:spacing w:line="360" w:lineRule="auto"/>
        <w:ind w:firstLine="480" w:firstLineChars="200"/>
        <w:rPr>
          <w:rFonts w:ascii="Times New Roman" w:hAnsi="Times New Roman" w:eastAsia="宋体" w:cs="Times New Roman"/>
          <w:sz w:val="24"/>
          <w:szCs w:val="20"/>
          <w:lang w:eastAsia="zh-Hans"/>
        </w:rPr>
      </w:pPr>
      <w:r>
        <w:rPr>
          <w:rFonts w:hint="eastAsia" w:ascii="Times New Roman" w:hAnsi="Times New Roman" w:eastAsia="宋体" w:cs="Times New Roman"/>
          <w:sz w:val="24"/>
          <w:szCs w:val="20"/>
          <w:lang w:eastAsia="zh-Hans"/>
        </w:rPr>
        <w:t>支持各盟市</w:t>
      </w:r>
      <w:r>
        <w:rPr>
          <w:rFonts w:ascii="Times New Roman" w:hAnsi="Times New Roman" w:eastAsia="宋体" w:cs="Times New Roman"/>
          <w:sz w:val="24"/>
          <w:szCs w:val="20"/>
          <w:lang w:eastAsia="zh-Hans"/>
        </w:rPr>
        <w:t>、</w:t>
      </w:r>
      <w:r>
        <w:rPr>
          <w:rFonts w:hint="eastAsia" w:ascii="Times New Roman" w:hAnsi="Times New Roman" w:eastAsia="宋体" w:cs="Times New Roman"/>
          <w:sz w:val="24"/>
          <w:szCs w:val="20"/>
          <w:lang w:eastAsia="zh-Hans"/>
        </w:rPr>
        <w:t>旗县将本级执法检查信息上报</w:t>
      </w:r>
      <w:r>
        <w:rPr>
          <w:rFonts w:ascii="Times New Roman" w:hAnsi="Times New Roman" w:eastAsia="宋体" w:cs="Times New Roman"/>
          <w:sz w:val="24"/>
          <w:szCs w:val="20"/>
          <w:lang w:eastAsia="zh-Hans"/>
        </w:rPr>
        <w:t>。</w:t>
      </w:r>
      <w:r>
        <w:rPr>
          <w:rFonts w:hint="eastAsia" w:ascii="Times New Roman" w:hAnsi="Times New Roman" w:eastAsia="宋体" w:cs="Times New Roman"/>
          <w:sz w:val="24"/>
          <w:szCs w:val="20"/>
          <w:lang w:eastAsia="zh-Hans"/>
        </w:rPr>
        <w:t>检查信息包括检查对象基本信息</w:t>
      </w:r>
      <w:r>
        <w:rPr>
          <w:rFonts w:ascii="Times New Roman" w:hAnsi="Times New Roman" w:eastAsia="宋体" w:cs="Times New Roman"/>
          <w:sz w:val="24"/>
          <w:szCs w:val="20"/>
          <w:lang w:eastAsia="zh-Hans"/>
        </w:rPr>
        <w:t>、</w:t>
      </w:r>
      <w:r>
        <w:rPr>
          <w:rFonts w:hint="eastAsia" w:ascii="Times New Roman" w:hAnsi="Times New Roman" w:eastAsia="宋体" w:cs="Times New Roman"/>
          <w:sz w:val="24"/>
          <w:szCs w:val="20"/>
          <w:lang w:eastAsia="zh-Hans"/>
        </w:rPr>
        <w:t>检查专业</w:t>
      </w:r>
      <w:r>
        <w:rPr>
          <w:rFonts w:ascii="Times New Roman" w:hAnsi="Times New Roman" w:eastAsia="宋体" w:cs="Times New Roman"/>
          <w:sz w:val="24"/>
          <w:szCs w:val="20"/>
          <w:lang w:eastAsia="zh-Hans"/>
        </w:rPr>
        <w:t>、</w:t>
      </w:r>
      <w:r>
        <w:rPr>
          <w:rFonts w:hint="eastAsia" w:ascii="Times New Roman" w:hAnsi="Times New Roman" w:eastAsia="宋体" w:cs="Times New Roman"/>
          <w:sz w:val="24"/>
          <w:szCs w:val="20"/>
          <w:lang w:eastAsia="zh-Hans"/>
        </w:rPr>
        <w:t>检查指标</w:t>
      </w:r>
      <w:r>
        <w:rPr>
          <w:rFonts w:ascii="Times New Roman" w:hAnsi="Times New Roman" w:eastAsia="宋体" w:cs="Times New Roman"/>
          <w:sz w:val="24"/>
          <w:szCs w:val="20"/>
          <w:lang w:eastAsia="zh-Hans"/>
        </w:rPr>
        <w:t>、</w:t>
      </w:r>
      <w:r>
        <w:rPr>
          <w:rFonts w:hint="eastAsia" w:ascii="Times New Roman" w:hAnsi="Times New Roman" w:eastAsia="宋体" w:cs="Times New Roman"/>
          <w:sz w:val="24"/>
          <w:szCs w:val="20"/>
          <w:lang w:eastAsia="zh-Hans"/>
        </w:rPr>
        <w:t>上报数</w:t>
      </w:r>
      <w:r>
        <w:rPr>
          <w:rFonts w:ascii="Times New Roman" w:hAnsi="Times New Roman" w:eastAsia="宋体" w:cs="Times New Roman"/>
          <w:sz w:val="24"/>
          <w:szCs w:val="20"/>
          <w:lang w:eastAsia="zh-Hans"/>
        </w:rPr>
        <w:t>、</w:t>
      </w:r>
      <w:r>
        <w:rPr>
          <w:rFonts w:hint="eastAsia" w:ascii="Times New Roman" w:hAnsi="Times New Roman" w:eastAsia="宋体" w:cs="Times New Roman"/>
          <w:sz w:val="24"/>
          <w:szCs w:val="20"/>
          <w:lang w:eastAsia="zh-Hans"/>
        </w:rPr>
        <w:t>检查数</w:t>
      </w:r>
      <w:r>
        <w:rPr>
          <w:rFonts w:ascii="Times New Roman" w:hAnsi="Times New Roman" w:eastAsia="宋体" w:cs="Times New Roman"/>
          <w:sz w:val="24"/>
          <w:szCs w:val="20"/>
          <w:lang w:eastAsia="zh-Hans"/>
        </w:rPr>
        <w:t>、</w:t>
      </w:r>
      <w:r>
        <w:rPr>
          <w:rFonts w:hint="eastAsia" w:ascii="Times New Roman" w:hAnsi="Times New Roman" w:eastAsia="宋体" w:cs="Times New Roman"/>
          <w:sz w:val="24"/>
          <w:szCs w:val="20"/>
          <w:lang w:eastAsia="zh-Hans"/>
        </w:rPr>
        <w:t>差错额</w:t>
      </w:r>
      <w:r>
        <w:rPr>
          <w:rFonts w:ascii="Times New Roman" w:hAnsi="Times New Roman" w:eastAsia="宋体" w:cs="Times New Roman"/>
          <w:sz w:val="24"/>
          <w:szCs w:val="20"/>
          <w:lang w:eastAsia="zh-Hans"/>
        </w:rPr>
        <w:t>、</w:t>
      </w:r>
      <w:r>
        <w:rPr>
          <w:rFonts w:hint="eastAsia" w:ascii="Times New Roman" w:hAnsi="Times New Roman" w:eastAsia="宋体" w:cs="Times New Roman"/>
          <w:sz w:val="24"/>
          <w:szCs w:val="20"/>
          <w:lang w:eastAsia="zh-Hans"/>
        </w:rPr>
        <w:t>差错率</w:t>
      </w:r>
      <w:r>
        <w:rPr>
          <w:rFonts w:ascii="Times New Roman" w:hAnsi="Times New Roman" w:eastAsia="宋体" w:cs="Times New Roman"/>
          <w:sz w:val="24"/>
          <w:szCs w:val="20"/>
          <w:lang w:eastAsia="zh-Hans"/>
        </w:rPr>
        <w:t>、</w:t>
      </w:r>
      <w:r>
        <w:rPr>
          <w:rFonts w:hint="eastAsia" w:ascii="Times New Roman" w:hAnsi="Times New Roman" w:eastAsia="宋体" w:cs="Times New Roman"/>
          <w:sz w:val="24"/>
          <w:szCs w:val="20"/>
          <w:lang w:eastAsia="zh-Hans"/>
        </w:rPr>
        <w:t>检查人员</w:t>
      </w:r>
      <w:r>
        <w:rPr>
          <w:rFonts w:ascii="Times New Roman" w:hAnsi="Times New Roman" w:eastAsia="宋体" w:cs="Times New Roman"/>
          <w:sz w:val="24"/>
          <w:szCs w:val="20"/>
          <w:lang w:eastAsia="zh-Hans"/>
        </w:rPr>
        <w:t>、</w:t>
      </w:r>
      <w:r>
        <w:rPr>
          <w:rFonts w:hint="eastAsia" w:ascii="Times New Roman" w:hAnsi="Times New Roman" w:eastAsia="宋体" w:cs="Times New Roman"/>
          <w:sz w:val="24"/>
          <w:szCs w:val="20"/>
          <w:lang w:eastAsia="zh-Hans"/>
        </w:rPr>
        <w:t>差错原因</w:t>
      </w:r>
      <w:r>
        <w:rPr>
          <w:rFonts w:ascii="Times New Roman" w:hAnsi="Times New Roman" w:eastAsia="宋体" w:cs="Times New Roman"/>
          <w:sz w:val="24"/>
          <w:szCs w:val="20"/>
          <w:lang w:eastAsia="zh-Hans"/>
        </w:rPr>
        <w:t>、</w:t>
      </w:r>
      <w:r>
        <w:rPr>
          <w:rFonts w:hint="eastAsia" w:ascii="Times New Roman" w:hAnsi="Times New Roman" w:eastAsia="宋体" w:cs="Times New Roman"/>
          <w:sz w:val="24"/>
          <w:szCs w:val="20"/>
          <w:lang w:eastAsia="zh-Hans"/>
        </w:rPr>
        <w:t>是否立案等检查过程信息上传至自治区平台</w:t>
      </w:r>
      <w:r>
        <w:rPr>
          <w:rFonts w:ascii="Times New Roman" w:hAnsi="Times New Roman" w:eastAsia="宋体" w:cs="Times New Roman"/>
          <w:sz w:val="24"/>
          <w:szCs w:val="20"/>
          <w:lang w:eastAsia="zh-Hans"/>
        </w:rPr>
        <w:t>。</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rPr>
      </w:pPr>
      <w:r>
        <w:rPr>
          <w:rFonts w:hint="eastAsia" w:ascii="Times New Roman" w:hAnsi="Times New Roman" w:eastAsia="宋体" w:cs="Times New Roman"/>
          <w:b/>
          <w:sz w:val="24"/>
        </w:rPr>
        <w:t>检查信息列表展示</w:t>
      </w:r>
    </w:p>
    <w:p>
      <w:pPr>
        <w:spacing w:line="360" w:lineRule="auto"/>
        <w:ind w:firstLine="480" w:firstLineChars="200"/>
        <w:rPr>
          <w:rFonts w:ascii="Times New Roman" w:hAnsi="Times New Roman" w:eastAsia="宋体" w:cs="Times New Roman"/>
          <w:sz w:val="24"/>
          <w:szCs w:val="20"/>
          <w:lang w:eastAsia="zh-Hans"/>
        </w:rPr>
      </w:pPr>
      <w:r>
        <w:rPr>
          <w:rFonts w:hint="eastAsia" w:ascii="Times New Roman" w:hAnsi="Times New Roman" w:eastAsia="宋体" w:cs="Times New Roman"/>
          <w:sz w:val="24"/>
          <w:szCs w:val="20"/>
          <w:lang w:eastAsia="zh-Hans"/>
        </w:rPr>
        <w:t>支持自治区用户查看各地市汇聚的检查记录。</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执法业务引擎</w:t>
      </w:r>
    </w:p>
    <w:p>
      <w:pPr>
        <w:spacing w:after="120" w:line="360" w:lineRule="auto"/>
        <w:ind w:firstLine="480" w:firstLineChars="200"/>
        <w:rPr>
          <w:rFonts w:ascii="宋体" w:hAnsi="宋体" w:eastAsia="宋体" w:cs="Times New Roman"/>
          <w:sz w:val="24"/>
          <w:szCs w:val="21"/>
          <w:lang w:eastAsia="zh-Hans"/>
        </w:rPr>
      </w:pPr>
      <w:r>
        <w:rPr>
          <w:rFonts w:hint="eastAsia" w:ascii="宋体" w:hAnsi="宋体" w:eastAsia="宋体" w:cs="Times New Roman"/>
          <w:sz w:val="24"/>
          <w:szCs w:val="21"/>
          <w:lang w:eastAsia="zh-Hans"/>
        </w:rPr>
        <w:t>执法业务引擎</w:t>
      </w:r>
      <w:r>
        <w:rPr>
          <w:rFonts w:hint="eastAsia" w:ascii="宋体" w:hAnsi="宋体" w:eastAsia="宋体" w:cs="Times New Roman"/>
          <w:sz w:val="24"/>
          <w:szCs w:val="21"/>
        </w:rPr>
        <w:t>是根据法律法规的规定将执法程序进行流程化的梳理，通过节点和流程流向设定来控制案卷各阶段的先后顺序和审批进程，</w:t>
      </w:r>
      <w:r>
        <w:rPr>
          <w:rFonts w:hint="eastAsia" w:ascii="宋体" w:hAnsi="宋体" w:eastAsia="宋体" w:cs="Times New Roman"/>
          <w:sz w:val="24"/>
          <w:szCs w:val="21"/>
          <w:lang w:eastAsia="zh-Hans"/>
        </w:rPr>
        <w:t>可</w:t>
      </w:r>
      <w:r>
        <w:rPr>
          <w:rFonts w:hint="eastAsia" w:ascii="宋体" w:hAnsi="宋体" w:eastAsia="宋体" w:cs="Times New Roman"/>
          <w:sz w:val="24"/>
          <w:szCs w:val="21"/>
        </w:rPr>
        <w:t>有效地防止执法工作中程序违法的出现。</w:t>
      </w:r>
      <w:r>
        <w:rPr>
          <w:rFonts w:hint="eastAsia" w:ascii="宋体" w:hAnsi="宋体" w:eastAsia="宋体" w:cs="Times New Roman"/>
          <w:sz w:val="24"/>
          <w:szCs w:val="21"/>
          <w:lang w:eastAsia="zh-Hans"/>
        </w:rPr>
        <w:t>系统包括执法流程管理</w:t>
      </w:r>
      <w:r>
        <w:rPr>
          <w:rFonts w:ascii="宋体" w:hAnsi="宋体" w:eastAsia="宋体" w:cs="Times New Roman"/>
          <w:sz w:val="24"/>
          <w:szCs w:val="21"/>
          <w:lang w:eastAsia="zh-Hans"/>
        </w:rPr>
        <w:t>、</w:t>
      </w:r>
      <w:r>
        <w:rPr>
          <w:rFonts w:hint="eastAsia" w:ascii="宋体" w:hAnsi="宋体" w:eastAsia="宋体" w:cs="Times New Roman"/>
          <w:sz w:val="24"/>
          <w:szCs w:val="21"/>
          <w:lang w:eastAsia="zh-Hans"/>
        </w:rPr>
        <w:t>执法文书管理</w:t>
      </w:r>
      <w:r>
        <w:rPr>
          <w:rFonts w:ascii="宋体" w:hAnsi="宋体" w:eastAsia="宋体" w:cs="Times New Roman"/>
          <w:sz w:val="24"/>
          <w:szCs w:val="21"/>
          <w:lang w:eastAsia="zh-Hans"/>
        </w:rPr>
        <w:t>。</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lang w:eastAsia="zh-Hans"/>
        </w:rPr>
      </w:pPr>
      <w:r>
        <w:rPr>
          <w:rFonts w:hint="eastAsia" w:ascii="Times New Roman" w:hAnsi="Times New Roman" w:eastAsia="宋体" w:cs="Times New Roman"/>
          <w:b/>
          <w:sz w:val="24"/>
          <w:lang w:eastAsia="zh-Hans"/>
        </w:rPr>
        <w:t>执法流程管理</w:t>
      </w:r>
    </w:p>
    <w:p>
      <w:pPr>
        <w:spacing w:line="360" w:lineRule="auto"/>
        <w:ind w:firstLine="480" w:firstLineChars="200"/>
        <w:rPr>
          <w:rFonts w:ascii="宋体" w:hAnsi="宋体" w:eastAsia="宋体" w:cs="Times New Roman"/>
          <w:sz w:val="24"/>
          <w:szCs w:val="21"/>
          <w:lang w:eastAsia="zh-Hans"/>
        </w:rPr>
      </w:pPr>
      <w:r>
        <w:rPr>
          <w:rFonts w:hint="eastAsia" w:ascii="Times New Roman" w:hAnsi="Times New Roman" w:eastAsia="宋体" w:cs="Times New Roman"/>
          <w:sz w:val="24"/>
        </w:rPr>
        <w:t>系统提供图形化、可拖拽的交互界面，行政权力流程的定制功能包括节点增减、节点信息设置、节点步骤设置、步骤授权设置、步骤条件设置等。工作人员可以直接拖拽流程模块进行工作流程绘制，形成完整的工作流程图样式。将绘制好的流程图例进行部署发布，部署好的流程图可被审批事项工作流程调用，进行相应的组合应用。部署好的流程图会显示已部署标识，工作人员可以对已部署的流程图进行启用、停用、修改、删除。</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rPr>
      </w:pPr>
      <w:r>
        <w:rPr>
          <w:rFonts w:hint="eastAsia" w:ascii="Times New Roman" w:hAnsi="Times New Roman" w:eastAsia="宋体" w:cs="Times New Roman"/>
          <w:b/>
          <w:sz w:val="24"/>
          <w:lang w:eastAsia="zh-Hans"/>
        </w:rPr>
        <w:t>执法文书管理</w:t>
      </w:r>
    </w:p>
    <w:p>
      <w:pPr>
        <w:spacing w:line="360" w:lineRule="auto"/>
        <w:ind w:firstLine="480" w:firstLineChars="200"/>
        <w:rPr>
          <w:rFonts w:ascii="宋体" w:hAnsi="宋体" w:eastAsia="宋体" w:cs="Times New Roman"/>
          <w:sz w:val="24"/>
          <w:szCs w:val="21"/>
          <w:lang w:eastAsia="zh-Hans"/>
        </w:rPr>
      </w:pPr>
      <w:r>
        <w:rPr>
          <w:rFonts w:hint="eastAsia" w:ascii="Times New Roman" w:hAnsi="Times New Roman" w:eastAsia="宋体" w:cs="Times New Roman"/>
          <w:sz w:val="24"/>
          <w:lang w:eastAsia="zh-Hans"/>
        </w:rPr>
        <w:t>执法文书管理</w:t>
      </w:r>
      <w:r>
        <w:rPr>
          <w:rFonts w:hint="eastAsia" w:ascii="Times New Roman" w:hAnsi="Times New Roman" w:eastAsia="宋体" w:cs="Times New Roman"/>
          <w:sz w:val="24"/>
        </w:rPr>
        <w:t>实现了执法文书的可视化设计和管理。对执法文书的修改要求能够实时响应，提高了执法文书的维护效率和可扩展性。同时通过文书管理系统能限定每张文书、每个字段的填写权限，为执法文书更加细致化的管理提供了基础。</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系统接口对接</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rPr>
      </w:pPr>
      <w:r>
        <w:rPr>
          <w:rFonts w:hint="eastAsia" w:ascii="Times New Roman" w:hAnsi="Times New Roman" w:eastAsia="宋体" w:cs="Times New Roman"/>
          <w:b/>
          <w:sz w:val="24"/>
        </w:rPr>
        <w:t>执法案源标准接口</w:t>
      </w:r>
    </w:p>
    <w:p>
      <w:pPr>
        <w:widowControl/>
        <w:spacing w:line="360" w:lineRule="auto"/>
        <w:ind w:firstLine="480" w:firstLineChars="200"/>
        <w:rPr>
          <w:rFonts w:ascii="宋体" w:hAnsi="宋体" w:eastAsia="宋体" w:cs="宋体"/>
          <w:sz w:val="24"/>
          <w:szCs w:val="22"/>
        </w:rPr>
      </w:pPr>
      <w:r>
        <w:rPr>
          <w:rFonts w:hint="eastAsia" w:ascii="宋体" w:hAnsi="宋体" w:eastAsia="宋体" w:cs="宋体"/>
          <w:sz w:val="24"/>
          <w:szCs w:val="22"/>
        </w:rPr>
        <w:t>与各盟市执法平台对接，提供标准接口，实现案源的对接反馈。系统提供案源对接功能，按要求填写相关案源信息后可上报反馈。</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rPr>
      </w:pPr>
      <w:r>
        <w:rPr>
          <w:rFonts w:hint="eastAsia" w:ascii="Times New Roman" w:hAnsi="Times New Roman" w:eastAsia="宋体" w:cs="Times New Roman"/>
          <w:b/>
          <w:sz w:val="24"/>
        </w:rPr>
        <w:t>执法检查标准接口</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建立行政检查统一标准的接口，根据各部门执法系统自身情况，可进行当执法检查完成后一次性对接口的调用，或根据某个节点，比如：提前通知阶段，调查阶段，责令整改阶段，复查阶段等，对同一检查信息进行多次（不同阶段）的接口调用。平台接收到记录后，实时进行逻辑校验，反馈校验结果。</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执法检查系统</w:t>
      </w:r>
      <w:r>
        <w:rPr>
          <w:rFonts w:hint="eastAsia" w:ascii="Times New Roman" w:hAnsi="Times New Roman" w:eastAsia="宋体" w:cs="Times New Roman"/>
          <w:sz w:val="24"/>
          <w:szCs w:val="20"/>
          <w:lang w:eastAsia="zh-Hans"/>
        </w:rPr>
        <w:t>支持</w:t>
      </w:r>
      <w:r>
        <w:rPr>
          <w:rFonts w:hint="eastAsia" w:ascii="Times New Roman" w:hAnsi="Times New Roman" w:eastAsia="宋体" w:cs="Times New Roman"/>
          <w:sz w:val="24"/>
          <w:szCs w:val="20"/>
        </w:rPr>
        <w:t>“一企业一台账”与平台功能的衔接</w:t>
      </w:r>
      <w:r>
        <w:rPr>
          <w:rFonts w:ascii="Times New Roman" w:hAnsi="Times New Roman" w:eastAsia="宋体" w:cs="Times New Roman"/>
          <w:sz w:val="24"/>
          <w:szCs w:val="20"/>
        </w:rPr>
        <w:t>，</w:t>
      </w:r>
      <w:r>
        <w:rPr>
          <w:rFonts w:hint="eastAsia" w:ascii="Times New Roman" w:hAnsi="Times New Roman" w:eastAsia="宋体" w:cs="Times New Roman"/>
          <w:sz w:val="24"/>
          <w:szCs w:val="20"/>
          <w:lang w:eastAsia="zh-Hans"/>
        </w:rPr>
        <w:t>支持</w:t>
      </w:r>
      <w:r>
        <w:rPr>
          <w:rFonts w:hint="eastAsia" w:ascii="Times New Roman" w:hAnsi="Times New Roman" w:eastAsia="宋体" w:cs="Times New Roman"/>
          <w:sz w:val="24"/>
          <w:szCs w:val="20"/>
        </w:rPr>
        <w:t>与执法专题数据对接，实现可自动上图展示。</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rPr>
      </w:pPr>
      <w:r>
        <w:rPr>
          <w:rFonts w:hint="eastAsia" w:ascii="Times New Roman" w:hAnsi="Times New Roman" w:eastAsia="宋体" w:cs="Times New Roman"/>
          <w:b/>
          <w:sz w:val="24"/>
        </w:rPr>
        <w:t>行政处罚标准接口</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行政处罚统一标准接口为所有行政处罚案件信息归集接口，由各部门执法系统作为客户端调用。</w:t>
      </w:r>
    </w:p>
    <w:p>
      <w:pPr>
        <w:spacing w:line="360" w:lineRule="auto"/>
        <w:ind w:firstLine="480" w:firstLineChars="200"/>
        <w:rPr>
          <w:rFonts w:ascii="Times New Roman" w:hAnsi="Times New Roman" w:eastAsia="宋体" w:cs="Times New Roman"/>
          <w:sz w:val="24"/>
          <w:szCs w:val="20"/>
          <w:lang w:eastAsia="zh-Hans"/>
        </w:rPr>
      </w:pPr>
      <w:r>
        <w:rPr>
          <w:rFonts w:hint="eastAsia" w:ascii="Times New Roman" w:hAnsi="Times New Roman" w:eastAsia="宋体" w:cs="Times New Roman"/>
          <w:sz w:val="24"/>
          <w:szCs w:val="20"/>
        </w:rPr>
        <w:t>根据各部门执法系统自身情况，可进行当案件完结后一次性对接口的调用，或根据某个节点，比如：立案阶段，调查取证阶段，听证阶段等，对同一处罚信息进行多次（不同阶段）的接口调用。平台接收到记录后，实时进行逻辑校验，反馈校验结果，符合要求后，会自动覆盖原有的同一处罚数据。</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园区专题</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根据2021年内蒙古自治区政府网站公布的《内蒙古自治区开发区审核公告目录(2021年版)》显示，内蒙古自治区的开发区共62个，其中工业园区58个(一类园区30个、二类园区28个)、其他类经济开发区4个(一类园区3个、二类园区1个)。这些园区对自治区的经济发挥了重要作用，因此有必要对重点关注的产业园区相关经济运行数据开展专题统计分析和应用。</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通过科学分析园区和企业各类数据，以信息图表、文字结合地图方式，呈现园区发展现状，为发现发展规律、把握发展态势提供有效的辅助决策支持。</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bookmarkStart w:id="48" w:name="_Toc535832361"/>
      <w:r>
        <w:rPr>
          <w:rFonts w:hint="eastAsia" w:ascii="Arial" w:hAnsi="Arial" w:eastAsia="黑体" w:cs="Times New Roman"/>
          <w:b/>
          <w:sz w:val="24"/>
        </w:rPr>
        <w:t>园区概览</w:t>
      </w:r>
    </w:p>
    <w:p>
      <w:pPr>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该模块以自然资源国土空间“一张图”数据资源为底图，叠加园区位置，汇总园区数、核准面积、园区企业数、园区生产总值、园区上缴税金金额等数据，呈现产业园区的空间格局和发展现状。</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rPr>
      </w:pPr>
      <w:r>
        <w:rPr>
          <w:rFonts w:hint="eastAsia" w:ascii="Times New Roman" w:hAnsi="Times New Roman" w:eastAsia="宋体" w:cs="Times New Roman"/>
          <w:b/>
          <w:sz w:val="24"/>
        </w:rPr>
        <w:t>园区总览</w:t>
      </w:r>
    </w:p>
    <w:p>
      <w:pPr>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从全自治区、盟市等层级汇总展示园区数、核准面积、园区企业数、园区生产总值、园区上缴税金金额等指标数据。应用地理信息技术，通过数据统计图表与电子地图联动方式，动态展示全区各园区及企业的空间定位、轮廓、分区、属性及空间分布等信息，呈现全区产业园区的空间格局和发展现状。</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rPr>
      </w:pPr>
      <w:bookmarkStart w:id="49" w:name="_Toc536090102"/>
      <w:bookmarkEnd w:id="49"/>
      <w:bookmarkStart w:id="50" w:name="_Toc536089914"/>
      <w:bookmarkEnd w:id="50"/>
      <w:r>
        <w:rPr>
          <w:rFonts w:hint="eastAsia" w:ascii="Times New Roman" w:hAnsi="Times New Roman" w:eastAsia="宋体" w:cs="Times New Roman"/>
          <w:b/>
          <w:sz w:val="24"/>
        </w:rPr>
        <w:t>专题展示</w:t>
      </w:r>
    </w:p>
    <w:p>
      <w:pPr>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通过点击行政区域等几何要素进入专题展示界面，在专题展示界面中，详细展示各项统计指标的说明信息、指标类型、统计值、统计排行等信息。专题指标主要包括：</w:t>
      </w:r>
    </w:p>
    <w:p>
      <w:pPr>
        <w:numPr>
          <w:ilvl w:val="0"/>
          <w:numId w:val="12"/>
        </w:numPr>
        <w:spacing w:line="360" w:lineRule="auto"/>
        <w:rPr>
          <w:rFonts w:ascii="宋体" w:hAnsi="宋体" w:eastAsia="宋体" w:cs="宋体"/>
          <w:sz w:val="24"/>
        </w:rPr>
      </w:pPr>
      <w:r>
        <w:rPr>
          <w:rFonts w:hint="eastAsia" w:ascii="宋体" w:hAnsi="宋体" w:eastAsia="宋体" w:cs="宋体"/>
          <w:sz w:val="24"/>
        </w:rPr>
        <w:t>园区数</w:t>
      </w:r>
    </w:p>
    <w:p>
      <w:pPr>
        <w:numPr>
          <w:ilvl w:val="0"/>
          <w:numId w:val="12"/>
        </w:numPr>
        <w:spacing w:line="360" w:lineRule="auto"/>
        <w:rPr>
          <w:rFonts w:ascii="宋体" w:hAnsi="宋体" w:eastAsia="宋体" w:cs="宋体"/>
          <w:sz w:val="24"/>
        </w:rPr>
      </w:pPr>
      <w:r>
        <w:rPr>
          <w:rFonts w:hint="eastAsia" w:ascii="宋体" w:hAnsi="宋体" w:eastAsia="宋体" w:cs="宋体"/>
          <w:sz w:val="24"/>
        </w:rPr>
        <w:t>核准面积</w:t>
      </w:r>
    </w:p>
    <w:p>
      <w:pPr>
        <w:numPr>
          <w:ilvl w:val="0"/>
          <w:numId w:val="12"/>
        </w:numPr>
        <w:spacing w:line="360" w:lineRule="auto"/>
        <w:rPr>
          <w:rFonts w:ascii="宋体" w:hAnsi="宋体" w:eastAsia="宋体" w:cs="宋体"/>
          <w:sz w:val="24"/>
        </w:rPr>
      </w:pPr>
      <w:r>
        <w:rPr>
          <w:rFonts w:hint="eastAsia" w:ascii="宋体" w:hAnsi="宋体" w:eastAsia="宋体" w:cs="宋体"/>
          <w:sz w:val="24"/>
        </w:rPr>
        <w:t>园区企业数</w:t>
      </w:r>
    </w:p>
    <w:p>
      <w:pPr>
        <w:numPr>
          <w:ilvl w:val="0"/>
          <w:numId w:val="12"/>
        </w:numPr>
        <w:spacing w:line="360" w:lineRule="auto"/>
        <w:rPr>
          <w:rFonts w:ascii="宋体" w:hAnsi="宋体" w:eastAsia="宋体" w:cs="宋体"/>
          <w:sz w:val="24"/>
        </w:rPr>
      </w:pPr>
      <w:r>
        <w:rPr>
          <w:rFonts w:hint="eastAsia" w:ascii="宋体" w:hAnsi="宋体" w:eastAsia="宋体" w:cs="宋体"/>
          <w:sz w:val="24"/>
        </w:rPr>
        <w:t>园区生产总值</w:t>
      </w:r>
    </w:p>
    <w:p>
      <w:pPr>
        <w:numPr>
          <w:ilvl w:val="0"/>
          <w:numId w:val="12"/>
        </w:numPr>
        <w:spacing w:line="360" w:lineRule="auto"/>
        <w:rPr>
          <w:rFonts w:ascii="宋体" w:hAnsi="宋体" w:eastAsia="宋体" w:cs="宋体"/>
          <w:sz w:val="24"/>
        </w:rPr>
      </w:pPr>
      <w:r>
        <w:rPr>
          <w:rFonts w:hint="eastAsia" w:ascii="宋体" w:hAnsi="宋体" w:eastAsia="宋体" w:cs="宋体"/>
          <w:sz w:val="24"/>
        </w:rPr>
        <w:t>园区上缴税金金额</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rPr>
      </w:pPr>
      <w:r>
        <w:rPr>
          <w:rFonts w:hint="eastAsia" w:ascii="Times New Roman" w:hAnsi="Times New Roman" w:eastAsia="宋体" w:cs="Times New Roman"/>
          <w:b/>
          <w:sz w:val="24"/>
        </w:rPr>
        <w:t>园区介绍</w:t>
      </w:r>
    </w:p>
    <w:p>
      <w:pPr>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支持浏览园区的基本属性、空间定位及发展分区等信息。其中，园区基本信息包括园区名称、园区地址、重点产业、发展定位、经济情况及园区风貌等信息；园区空间定位则主要应用地理信息技术，直观展示园区在全自治区的发展现状、空间分布及格局；园区发展分区则从园区发展主区、实际开发范围、发展方向区等层面进行地图模拟展示和标注。支持结合文字、图片、视频等方式进行总体浏览。</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rPr>
      </w:pPr>
      <w:r>
        <w:rPr>
          <w:rFonts w:hint="eastAsia" w:ascii="Times New Roman" w:hAnsi="Times New Roman" w:eastAsia="宋体" w:cs="Times New Roman"/>
          <w:b/>
          <w:sz w:val="24"/>
        </w:rPr>
        <w:t>企业介绍</w:t>
      </w:r>
    </w:p>
    <w:p>
      <w:pPr>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支持浏览园区企业的基本属性、空间定位及发展指标等数据，通过地图定位及高清影像，查看厂房全貌，并支持以文字、图片、视频等方式浏览企业基本信息、入园时间、占地面积、税收、行业类别、用工等信息。</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rPr>
      </w:pPr>
      <w:r>
        <w:rPr>
          <w:rFonts w:hint="eastAsia" w:ascii="Times New Roman" w:hAnsi="Times New Roman" w:eastAsia="宋体" w:cs="Times New Roman"/>
          <w:b/>
          <w:sz w:val="24"/>
        </w:rPr>
        <w:t>空间展示</w:t>
      </w:r>
    </w:p>
    <w:p>
      <w:pPr>
        <w:wordWrap w:val="0"/>
        <w:spacing w:before="156" w:beforeLines="50" w:line="360" w:lineRule="auto"/>
        <w:ind w:firstLine="480" w:firstLineChars="200"/>
        <w:rPr>
          <w:rFonts w:ascii="宋体" w:hAnsi="宋体" w:eastAsia="宋体" w:cs="宋体"/>
          <w:sz w:val="24"/>
          <w:szCs w:val="20"/>
        </w:rPr>
      </w:pPr>
      <w:r>
        <w:rPr>
          <w:rFonts w:hint="eastAsia" w:ascii="宋体" w:hAnsi="宋体" w:eastAsia="宋体" w:cs="宋体"/>
          <w:sz w:val="24"/>
          <w:szCs w:val="20"/>
        </w:rPr>
        <w:t>支持二三维电子地图、遥感影像等底图切换展示。以统一地理坐标系统，地理平台展示，包括各类指标数据的联动查询、地图显示、统计模拟等。地图操作主要包括底图切换、放大操作、缩小操作、漫游操作、全屏操作、坐标定位等功能。</w:t>
      </w:r>
    </w:p>
    <w:bookmarkEnd w:id="48"/>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bookmarkStart w:id="51" w:name="_Toc11441"/>
      <w:r>
        <w:rPr>
          <w:rFonts w:hint="eastAsia" w:ascii="Arial" w:hAnsi="Arial" w:eastAsia="黑体" w:cs="Times New Roman"/>
          <w:b/>
          <w:sz w:val="24"/>
        </w:rPr>
        <w:t>统计分析</w:t>
      </w:r>
      <w:bookmarkEnd w:id="51"/>
    </w:p>
    <w:p>
      <w:pPr>
        <w:spacing w:line="360" w:lineRule="auto"/>
        <w:ind w:firstLine="480" w:firstLineChars="200"/>
        <w:rPr>
          <w:rFonts w:ascii="宋体" w:hAnsi="宋体" w:eastAsia="宋体" w:cs="宋体"/>
          <w:sz w:val="24"/>
          <w:szCs w:val="20"/>
        </w:rPr>
      </w:pPr>
      <w:r>
        <w:rPr>
          <w:rFonts w:hint="eastAsia" w:ascii="宋体" w:hAnsi="宋体" w:eastAsia="宋体" w:cs="宋体"/>
          <w:color w:val="000000"/>
          <w:sz w:val="24"/>
        </w:rPr>
        <w:t>该模块通过科学分析园区和企业各类数据，以信息图表、文字等方式，呈现园区发展现状、发现发展规律、把握发展态势。</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rPr>
      </w:pPr>
      <w:r>
        <w:rPr>
          <w:rFonts w:hint="eastAsia" w:ascii="Times New Roman" w:hAnsi="Times New Roman" w:eastAsia="宋体" w:cs="Times New Roman"/>
          <w:b/>
          <w:sz w:val="24"/>
        </w:rPr>
        <w:t>区域产业布局</w:t>
      </w:r>
    </w:p>
    <w:p>
      <w:pPr>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该模块主要从区域维度进行综合分析和展示。宏观上，可使选中的主导、优势、特色、未来产业等目标产业在不同区域层级分布一览无余的显示；微观上，可查看选中的主导、优势、特色、未来产业等目标产业在该区域的详细统计信息，包括自治区、板块、盟市、旗县的园区数量、面积、产值、亩均产值、税收、亩均税收（六类）指标。</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rPr>
      </w:pPr>
      <w:r>
        <w:rPr>
          <w:rFonts w:hint="eastAsia" w:ascii="Times New Roman" w:hAnsi="Times New Roman" w:eastAsia="宋体" w:cs="Times New Roman"/>
          <w:b/>
          <w:sz w:val="24"/>
        </w:rPr>
        <w:t>产业空间布局</w:t>
      </w:r>
    </w:p>
    <w:p>
      <w:pPr>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该模块主要分析和展示统计的选中的主导、优势、特色、未来产业等目标产业在空间上的分布和统计，直观展示某一类产业在全区园区的空间分布和数量，点击具体园区可查看产业发展的详情（产值及占比、税收及占比等）。</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rPr>
      </w:pPr>
      <w:r>
        <w:rPr>
          <w:rFonts w:hint="eastAsia" w:ascii="Times New Roman" w:hAnsi="Times New Roman" w:eastAsia="宋体" w:cs="Times New Roman"/>
          <w:b/>
          <w:sz w:val="24"/>
        </w:rPr>
        <w:t>趋势分析</w:t>
      </w:r>
    </w:p>
    <w:p>
      <w:pPr>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该模块主要以时间维度进行综合分析和展示。可展现历年全自治区园区数、核准面积、园区企业数、园区生产总值、园区上缴税金金额等指标的变化，如2015年到2020年园区生产总值，通过叠加全自治区生产总值，可预测变化趋势，为科学制定园区未来发展目标提供参考。</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rPr>
      </w:pPr>
      <w:r>
        <w:rPr>
          <w:rFonts w:hint="eastAsia" w:ascii="Times New Roman" w:hAnsi="Times New Roman" w:eastAsia="宋体" w:cs="Times New Roman"/>
          <w:b/>
          <w:sz w:val="24"/>
        </w:rPr>
        <w:t>园区对比</w:t>
      </w:r>
    </w:p>
    <w:p>
      <w:pPr>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支持具体园区、企业的对比和分析。如园区之间多项指标对比。帮助园区发现自己的优势和不足，辅助园区自我定位和政策制定等。</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rPr>
      </w:pPr>
      <w:r>
        <w:rPr>
          <w:rFonts w:hint="eastAsia" w:ascii="Times New Roman" w:hAnsi="Times New Roman" w:eastAsia="宋体" w:cs="Times New Roman"/>
          <w:b/>
          <w:sz w:val="24"/>
        </w:rPr>
        <w:t>企业查询</w:t>
      </w:r>
    </w:p>
    <w:p>
      <w:pPr>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通过企业名称进行模糊查询，返回企业空间分布、数量、产值等信息，可直观查看该企业在全省范围内的空间分布、数量、产值和税收等信息。</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rPr>
      </w:pPr>
      <w:r>
        <w:rPr>
          <w:rFonts w:hint="eastAsia" w:ascii="Times New Roman" w:hAnsi="Times New Roman" w:eastAsia="宋体" w:cs="Times New Roman"/>
          <w:b/>
          <w:sz w:val="24"/>
        </w:rPr>
        <w:t>地图展示</w:t>
      </w:r>
    </w:p>
    <w:p>
      <w:pPr>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各类统计分析结果支持以图表、数字、文字说明等方式上图展示。</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rPr>
      </w:pPr>
      <w:r>
        <w:rPr>
          <w:rFonts w:hint="eastAsia" w:ascii="Times New Roman" w:hAnsi="Times New Roman" w:eastAsia="宋体" w:cs="Times New Roman"/>
          <w:b/>
          <w:sz w:val="24"/>
        </w:rPr>
        <w:t>专题统计</w:t>
      </w:r>
    </w:p>
    <w:p>
      <w:pPr>
        <w:spacing w:line="360" w:lineRule="auto"/>
        <w:ind w:firstLine="480" w:firstLineChars="200"/>
        <w:rPr>
          <w:rFonts w:ascii="Times New Roman" w:hAnsi="Times New Roman" w:eastAsia="宋体" w:cs="Times New Roman"/>
          <w:sz w:val="24"/>
          <w:szCs w:val="20"/>
        </w:rPr>
      </w:pPr>
      <w:r>
        <w:rPr>
          <w:rFonts w:hint="eastAsia" w:ascii="宋体" w:hAnsi="宋体" w:eastAsia="宋体" w:cs="宋体"/>
          <w:sz w:val="24"/>
          <w:szCs w:val="20"/>
        </w:rPr>
        <w:t>通过对园区或企业的电力、税务、环保等数据进行专题统计和分析，判断园区或企业的发展状况和趋势，如分析电力数据的用电量等信息，帮助识别企业是否为僵尸企业。</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rPr>
      </w:pPr>
      <w:r>
        <w:rPr>
          <w:rFonts w:hint="eastAsia" w:ascii="Times New Roman" w:hAnsi="Times New Roman" w:eastAsia="宋体" w:cs="Times New Roman"/>
          <w:b/>
          <w:sz w:val="24"/>
        </w:rPr>
        <w:t>统计分析报告</w:t>
      </w:r>
    </w:p>
    <w:p>
      <w:pPr>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系统支持按照指定的预设模板生成统计分析报告，统计分析报告以文字、表格、统计图表等方式直观呈现。统计分析报告支持在线即席报告和Word/PDF报告两种形式，支持在线浏览和一键导出。</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bookmarkStart w:id="52" w:name="_Toc536204065"/>
      <w:bookmarkEnd w:id="52"/>
      <w:bookmarkStart w:id="53" w:name="_Toc536198237"/>
      <w:bookmarkEnd w:id="53"/>
      <w:bookmarkStart w:id="54" w:name="_Toc536198231"/>
      <w:bookmarkEnd w:id="54"/>
      <w:bookmarkStart w:id="55" w:name="_Toc536203460"/>
      <w:bookmarkEnd w:id="55"/>
      <w:bookmarkStart w:id="56" w:name="_Hlk482808075"/>
      <w:bookmarkEnd w:id="56"/>
      <w:bookmarkStart w:id="57" w:name="_Toc536266503"/>
      <w:bookmarkEnd w:id="57"/>
      <w:bookmarkStart w:id="58" w:name="_Toc536204071"/>
      <w:bookmarkEnd w:id="58"/>
      <w:bookmarkStart w:id="59" w:name="_Toc536266497"/>
      <w:bookmarkEnd w:id="59"/>
      <w:bookmarkStart w:id="60" w:name="_Toc536203466"/>
      <w:bookmarkEnd w:id="60"/>
      <w:r>
        <w:rPr>
          <w:rFonts w:hint="eastAsia" w:ascii="Times New Roman" w:hAnsi="Times New Roman" w:eastAsia="宋体" w:cs="Times New Roman"/>
          <w:b/>
          <w:sz w:val="28"/>
        </w:rPr>
        <w:t>日志管理</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日志管理功能对系统管理员用户开放，包括系统运行日志和操作日志，用来监测系统运行情况以及用户操作，以便于迅速定位问题及快速修复故障。系统日志是记录系统中硬件、软件和系统问题的信息，同时还可以监视系统中发生的事件。用户可以通过它来检查错误发生的原因，或者寻找受到攻击时攻击者留下的痕迹。系统日志包括系统日志、应用程序日志和安全日志。</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系统运行日志</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系统运行日志记录系统运行信息，系统提供系统运行日志信息查看、检索等功能。</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系统操作日志</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系统操作日志记录用户信息，操作时间，操作功能等信息。系统提供系统操作日志管理功能，支持日志查看、检索。</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个人中心</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个人中心包括个人信息、系统设置、退出登录功能，提供用户信息修改，系统相关参数设置等功能。</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个人信息</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支持用户信息修改，如用户密码等。</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账号实名认证</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支持账号实名认证功能，所有登录系统的账号必须通过实名认证，以便于对系统操作日志进行追踪。</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系统设置</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提供系统相关参数配置功能，设置页面可将系统参数分类，便于用户查看和操作。</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退出登录</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提供退出登录功能，退出后返回系统登录页面。</w:t>
      </w:r>
    </w:p>
    <w:p>
      <w:pPr>
        <w:keepNext/>
        <w:keepLines/>
        <w:numPr>
          <w:ilvl w:val="3"/>
          <w:numId w:val="1"/>
        </w:numPr>
        <w:tabs>
          <w:tab w:val="left" w:pos="420"/>
        </w:tabs>
        <w:spacing w:before="120" w:after="120" w:line="372" w:lineRule="auto"/>
        <w:ind w:firstLine="1044"/>
        <w:outlineLvl w:val="3"/>
        <w:rPr>
          <w:rFonts w:ascii="Arial" w:hAnsi="Arial" w:eastAsia="黑体" w:cs="Times New Roman"/>
          <w:b/>
          <w:sz w:val="28"/>
        </w:rPr>
      </w:pPr>
      <w:r>
        <w:rPr>
          <w:rFonts w:hint="eastAsia" w:ascii="Arial" w:hAnsi="Arial" w:eastAsia="黑体" w:cs="Times New Roman"/>
          <w:b/>
          <w:sz w:val="28"/>
        </w:rPr>
        <w:t>统计移动应用系统</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面向不同专业、不同行业的领导及专业人员，构建统计移动应用APP，集成统计数字化平台数据，以丰富的图表可视化形式，提供对各类原始表格数据及专题数据的查询、展示、分析及智能推送，使相关领导及工作人员能随时随地清晰直观地掌握相应数据情况，满足工作中更加便捷，实时的需求。功能主要包括基础数据、综合数据、宏观内蒙古、专题分析、重点关注、日志管理、个人中心七大模块，通过权限分配控制不同用户可见功能。</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数据查询展示</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移动应用系统提供专题数据查询展示模块，为移动端用户提供快速的信息查看手段，用户可以随时随地查阅感兴趣的统计数据，包括基础数据展示、综合数据展示、宏观内蒙古和专题展示等模块，在数据可视化展示基础上提供信息查询、空间分析等功能。</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基础数据</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基础数据模块包括地区简介、四上企业、投资项目、工业园区、我的附近五部分。</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rPr>
      </w:pPr>
      <w:r>
        <w:rPr>
          <w:rFonts w:hint="eastAsia" w:ascii="Times New Roman" w:hAnsi="Times New Roman" w:eastAsia="宋体" w:cs="Times New Roman"/>
          <w:b/>
          <w:sz w:val="24"/>
        </w:rPr>
        <w:t>地区简介</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地区简介分为信息栏和地图栏，信息栏主要展示内蒙古自治区区域内数据概况以及相关风土人情，包含可滚动的相关图片信息；地图栏展示内蒙古自治区分级高精二维地图及高分辨率瓦片影像图，并提供两类地图的一键切换功能。</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rPr>
      </w:pPr>
      <w:r>
        <w:rPr>
          <w:rFonts w:hint="eastAsia" w:ascii="Times New Roman" w:hAnsi="Times New Roman" w:eastAsia="宋体" w:cs="Times New Roman"/>
          <w:b/>
          <w:sz w:val="24"/>
        </w:rPr>
        <w:t>四上企业</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四上企业分为企业列表、筛选查询、空间分析、重要经济指标展示四部分。</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其中，企业列表罗列内蒙古四上企业信息，点击可进入企业详情页，可显示企业具体信息。同时，在地图栏显示分区域企业数量信息，并可以下钻到盟市、旗县、苏木乡镇等。</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筛选查询包含属性查询和空间查询，其中属性查询可设置行业门类、注册类型、控股情况等筛选条件进行查询，也可根据检索模板进行查询。空间查询分为点、线、面缓冲区查询，即在地图界面画点、画线、画面并定义缓冲区半径，可查询缓冲区内的企业信息。同时提供上传自定义矢量边界进行查询的功能。此外，为便于查询呼包鄂地区相关情况，将预置呼包鄂区域查询。对于上述查询结果，针对可导出的结构性数据提供查询结果下载功能，便于对数据进行二次加工。</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空间分析部分，提供热力图、聚类图和格网图，对企业空间点位分布进行分析展示。</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重要经济指标展示，将提供领导感兴趣的一些指标，利用地图和图表进行展示。在地图展示层面，可分期别、分区域进行查询显示；在图表展示层面，可分期别、分区域以图或表的形式展示，两种展示层面中，期别、区域均可多选。</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rPr>
      </w:pPr>
      <w:r>
        <w:rPr>
          <w:rFonts w:hint="eastAsia" w:ascii="Times New Roman" w:hAnsi="Times New Roman" w:eastAsia="宋体" w:cs="Times New Roman"/>
          <w:b/>
          <w:sz w:val="24"/>
        </w:rPr>
        <w:t>投资项目</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投资项目分为投资项目列表、筛选查询、空间分析、重要经济指标展示四部分。其中，投资项目列表罗列内蒙古投资项目信息，点击可显示投资项目相关详情，并在地图栏设置文本框，显示投资项目总数、分专业投资项目数、投资额等基本信息。筛选查询、空间分析、重要经济指标展示，其功能和“四上企业”部分一致。</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rPr>
      </w:pPr>
      <w:r>
        <w:rPr>
          <w:rFonts w:hint="eastAsia" w:ascii="Times New Roman" w:hAnsi="Times New Roman" w:eastAsia="宋体" w:cs="Times New Roman"/>
          <w:b/>
          <w:sz w:val="24"/>
        </w:rPr>
        <w:t>园区</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园区分为园区列表、筛选查询、空间分析、重要经济指标展示四部分。其中，园区列表罗列内蒙古重点工业园区、产业园区名目信息，点击可展示园区概况信息，并包含可滚动的相关图片信息。选定园区后，可罗列对应的企业列表，点击可展示园区企业详情信息。空间分析中核心功能和“四上企业”部分一致，并新增图层控制功能，即可展示感兴趣的图层信息，如可叠加区域规划图、生态红线等图层进行显示，以获得更为直观的查询显示效果。筛选查询、重要经济指标展示，其功能和“四上企业”部分一致。</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rPr>
      </w:pPr>
      <w:r>
        <w:rPr>
          <w:rFonts w:hint="eastAsia" w:ascii="Times New Roman" w:hAnsi="Times New Roman" w:eastAsia="宋体" w:cs="Times New Roman"/>
          <w:b/>
          <w:sz w:val="24"/>
        </w:rPr>
        <w:t>我的附近</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我的附近分为GPS定位和缓冲区分析两部分。其中，GPS定位通过移动端设备的GPS位置获取功能，在系统地图界面自动获得定位点信息，可直观查看本机设备所处地理位置。缓冲区分析包括图层类型、缓冲半径两项参数以及信息概况展示栏部分。用户可通过当前GPS定位点，选择要进行缓冲区的图层，如四上企业（也可多选，如选择四上企业和投资项目），再设置缓冲半径，如5公里，即可在地图上查询得到以“我”为中心，5公里范围内的四上企业，并在信息概况栏展示企业数量及分专业企业数量等概况信息。</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综合数据</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rPr>
      </w:pPr>
      <w:r>
        <w:rPr>
          <w:rFonts w:hint="eastAsia" w:ascii="Times New Roman" w:hAnsi="Times New Roman" w:eastAsia="宋体" w:cs="Times New Roman"/>
          <w:b/>
          <w:sz w:val="24"/>
        </w:rPr>
        <w:t>全区数据</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全区数据分月度、季度和年度展示相关数据信息，其中每一类别又可分为指标栏和数据栏。指标栏类似于目录树，可逐级选择指标，如选择月度数据－－工业－－规模以上工业增加值－－规模以上工业增加值概况，选定后在数据栏中的“时间”下拉框勾选时间，即可在数据栏对应显示指标数据信息。系统也提供季度、年度查询功能。</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rPr>
      </w:pPr>
      <w:r>
        <w:rPr>
          <w:rFonts w:hint="eastAsia" w:ascii="Times New Roman" w:hAnsi="Times New Roman" w:eastAsia="宋体" w:cs="Times New Roman"/>
          <w:b/>
          <w:sz w:val="24"/>
        </w:rPr>
        <w:t>盟市数据</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盟市数据在数据栏中的“地区”下拉框可勾选盟市信息，也可勾选呼包鄂、沿黄盟市等区域，其余查询逻辑和“全区数据”一致。</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rPr>
      </w:pPr>
      <w:r>
        <w:rPr>
          <w:rFonts w:hint="eastAsia" w:ascii="Times New Roman" w:hAnsi="Times New Roman" w:eastAsia="宋体" w:cs="Times New Roman"/>
          <w:b/>
          <w:sz w:val="24"/>
        </w:rPr>
        <w:t>旗县数据</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旗县数据不分月度、季度和年度，可在指标栏选定盟市及指标后，在数据栏中的“地区”下拉框选择旗县，其余查询逻辑和“全区数据”一致。</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rPr>
      </w:pPr>
      <w:r>
        <w:rPr>
          <w:rFonts w:hint="eastAsia" w:ascii="Times New Roman" w:hAnsi="Times New Roman" w:eastAsia="宋体" w:cs="Times New Roman"/>
          <w:b/>
          <w:sz w:val="24"/>
        </w:rPr>
        <w:t>乡镇数据</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乡镇数据不分月度、季度和年度，可在指标栏选定旗县及指标后，在数据栏中的“地区”下拉框选择乡镇，其余查询逻辑和“全区数据”一致。</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rPr>
      </w:pPr>
      <w:r>
        <w:rPr>
          <w:rFonts w:hint="eastAsia" w:ascii="Times New Roman" w:hAnsi="Times New Roman" w:eastAsia="宋体" w:cs="Times New Roman"/>
          <w:b/>
          <w:sz w:val="24"/>
        </w:rPr>
        <w:t>区域比较</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区域比较分为分省月度数据、分省季度数据、分省年度数据，其中每一类别又可分为指标栏和数据栏。其查询逻辑是在指标栏中选定指标和区域，然后在数据栏“指标”下拉框选择详细指标，在“时间”下拉框选择显示时间，即可对比显示目标区域选定时间范围内指标情况。</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rPr>
      </w:pPr>
      <w:r>
        <w:rPr>
          <w:rFonts w:hint="eastAsia" w:ascii="Times New Roman" w:hAnsi="Times New Roman" w:eastAsia="宋体" w:cs="Times New Roman"/>
          <w:b/>
          <w:sz w:val="24"/>
        </w:rPr>
        <w:t>快速查询</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快速查询包含常用指标的月度、季度和年度信息，查询逻辑和“全区数据”一致。</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rPr>
      </w:pPr>
      <w:r>
        <w:rPr>
          <w:rFonts w:hint="eastAsia" w:ascii="Times New Roman" w:hAnsi="Times New Roman" w:eastAsia="宋体" w:cs="Times New Roman"/>
          <w:b/>
          <w:sz w:val="24"/>
        </w:rPr>
        <w:t>可视化产品</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可视化产品将常用的、领导关注的指标制作为统计图表，可直观显示分期别、分区域相关指标的变化情况。其具体包括地区生产总值、工业发展与能耗、投资、消费、财政、进出口、物价、人民生活八部分。</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rPr>
      </w:pPr>
      <w:r>
        <w:rPr>
          <w:rFonts w:hint="eastAsia" w:ascii="Times New Roman" w:hAnsi="Times New Roman" w:eastAsia="宋体" w:cs="Times New Roman"/>
          <w:b/>
          <w:sz w:val="24"/>
        </w:rPr>
        <w:t>出版物</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出版物提供历史统计数据的查询，具体包括历史资料汇编、统计公报、统计年鉴、领导干部手册、普查资料、内蒙古宏观经济、专业年鉴，选定目标数据库和年份后，即可查询相关数据资料。</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rPr>
      </w:pPr>
      <w:r>
        <w:rPr>
          <w:rFonts w:hint="eastAsia" w:ascii="Times New Roman" w:hAnsi="Times New Roman" w:eastAsia="宋体" w:cs="Times New Roman"/>
          <w:b/>
          <w:sz w:val="24"/>
        </w:rPr>
        <w:t>受处罚企业名录</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受处罚企业名录包含历年历次统计执法后受处罚的企业名录信息，提供属性查询和空间查询功能。</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rPr>
      </w:pPr>
      <w:r>
        <w:rPr>
          <w:rFonts w:hint="eastAsia" w:ascii="Times New Roman" w:hAnsi="Times New Roman" w:eastAsia="宋体" w:cs="Times New Roman"/>
          <w:b/>
          <w:sz w:val="24"/>
        </w:rPr>
        <w:t>筛选查询</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综合数据模块除提供常规查询外，对于支持地图展示的指标，同步支持设置筛选条件的属性查询及空间查询功能。</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宏观内蒙古</w:t>
      </w:r>
    </w:p>
    <w:p>
      <w:pPr>
        <w:spacing w:line="360" w:lineRule="auto"/>
        <w:ind w:firstLine="480" w:firstLineChars="200"/>
        <w:rPr>
          <w:rFonts w:ascii="宋体" w:hAnsi="宋体" w:eastAsia="宋体" w:cs="Times New Roman"/>
          <w:kern w:val="0"/>
          <w:sz w:val="24"/>
          <w:lang w:val="zh-CN"/>
        </w:rPr>
      </w:pPr>
      <w:r>
        <w:rPr>
          <w:rFonts w:hint="eastAsia" w:ascii="宋体" w:hAnsi="宋体" w:eastAsia="宋体" w:cs="Times New Roman"/>
          <w:kern w:val="0"/>
          <w:sz w:val="24"/>
        </w:rPr>
        <w:t>宏观内蒙古</w:t>
      </w:r>
      <w:r>
        <w:rPr>
          <w:rFonts w:hint="eastAsia" w:ascii="宋体" w:hAnsi="宋体" w:eastAsia="宋体" w:cs="Times New Roman"/>
          <w:kern w:val="0"/>
          <w:sz w:val="24"/>
          <w:lang w:val="zh-CN"/>
        </w:rPr>
        <w:t>是面向党委政府领导关注的重点领域，以《领导干部要情手册》中内蒙古主要经济指标为主，并增加部分统计指标，作为此模块的指标库，提供的统计数据展示模块。</w:t>
      </w:r>
    </w:p>
    <w:p>
      <w:pPr>
        <w:spacing w:line="360" w:lineRule="auto"/>
        <w:ind w:firstLine="480" w:firstLineChars="200"/>
        <w:rPr>
          <w:rFonts w:ascii="宋体" w:hAnsi="宋体" w:eastAsia="宋体" w:cs="Times New Roman"/>
          <w:kern w:val="0"/>
          <w:sz w:val="24"/>
          <w:lang w:val="zh-CN"/>
        </w:rPr>
      </w:pPr>
      <w:r>
        <w:rPr>
          <w:rFonts w:hint="eastAsia" w:ascii="宋体" w:hAnsi="宋体" w:eastAsia="宋体" w:cs="Times New Roman"/>
          <w:kern w:val="0"/>
          <w:sz w:val="24"/>
          <w:lang w:val="zh-CN"/>
        </w:rPr>
        <w:t>相较于web端的统计智能应用平台，宏观内蒙古模块提供的数据统计功能主要满足用户的模式化、即时性统计数据信息需求，例如专业工作人员临时需要了解某些数据信息，主管领导出于工作决策需要快速获知某类统计信息等。</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rPr>
      </w:pPr>
      <w:r>
        <w:rPr>
          <w:rFonts w:hint="eastAsia" w:ascii="Times New Roman" w:hAnsi="Times New Roman" w:eastAsia="宋体" w:cs="Times New Roman"/>
          <w:b/>
          <w:sz w:val="24"/>
        </w:rPr>
        <w:t>指标分类</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宏观内蒙古面模块主要涉及的参考指标如下，实际应用开发应结合用户实际需求进行调整。</w:t>
      </w:r>
    </w:p>
    <w:tbl>
      <w:tblPr>
        <w:tblStyle w:val="3"/>
        <w:tblW w:w="7225"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2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jc w:val="center"/>
        </w:trPr>
        <w:tc>
          <w:tcPr>
            <w:tcW w:w="7225" w:type="dxa"/>
            <w:vAlign w:val="center"/>
          </w:tcPr>
          <w:p>
            <w:pPr>
              <w:widowControl/>
              <w:spacing w:line="360" w:lineRule="auto"/>
              <w:ind w:left="1080"/>
              <w:jc w:val="left"/>
              <w:rPr>
                <w:rFonts w:ascii="宋体" w:hAnsi="宋体" w:eastAsia="宋体" w:cs="仿宋_GB2312"/>
                <w:color w:val="000000"/>
                <w:sz w:val="21"/>
                <w:szCs w:val="21"/>
              </w:rPr>
            </w:pPr>
            <w:r>
              <w:rPr>
                <w:rFonts w:hint="eastAsia" w:ascii="宋体" w:hAnsi="宋体" w:eastAsia="宋体" w:cs="仿宋_GB2312"/>
                <w:b/>
                <w:bCs/>
                <w:color w:val="000000"/>
                <w:sz w:val="21"/>
                <w:szCs w:val="21"/>
              </w:rPr>
              <w:t>指标分类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jc w:val="center"/>
        </w:trPr>
        <w:tc>
          <w:tcPr>
            <w:tcW w:w="7225" w:type="dxa"/>
            <w:vAlign w:val="center"/>
          </w:tcPr>
          <w:p>
            <w:pPr>
              <w:widowControl/>
              <w:numPr>
                <w:ilvl w:val="2"/>
                <w:numId w:val="13"/>
              </w:numPr>
              <w:spacing w:line="240" w:lineRule="auto"/>
              <w:jc w:val="left"/>
              <w:rPr>
                <w:rFonts w:ascii="宋体" w:hAnsi="宋体" w:eastAsia="宋体" w:cs="仿宋_GB2312"/>
                <w:color w:val="000000"/>
                <w:sz w:val="21"/>
                <w:szCs w:val="21"/>
              </w:rPr>
            </w:pPr>
            <w:r>
              <w:rPr>
                <w:rFonts w:hint="eastAsia" w:ascii="宋体" w:hAnsi="宋体" w:eastAsia="宋体" w:cs="仿宋_GB2312"/>
                <w:color w:val="000000"/>
                <w:sz w:val="21"/>
                <w:szCs w:val="21"/>
              </w:rPr>
              <w:t>地区生产总值GDP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jc w:val="center"/>
        </w:trPr>
        <w:tc>
          <w:tcPr>
            <w:tcW w:w="7225" w:type="dxa"/>
            <w:vAlign w:val="center"/>
          </w:tcPr>
          <w:p>
            <w:pPr>
              <w:widowControl/>
              <w:numPr>
                <w:ilvl w:val="3"/>
                <w:numId w:val="13"/>
              </w:numPr>
              <w:spacing w:line="240" w:lineRule="auto"/>
              <w:jc w:val="left"/>
              <w:rPr>
                <w:rFonts w:ascii="宋体" w:hAnsi="宋体" w:eastAsia="宋体" w:cs="仿宋_GB2312"/>
                <w:color w:val="000000"/>
                <w:sz w:val="21"/>
                <w:szCs w:val="21"/>
              </w:rPr>
            </w:pPr>
            <w:r>
              <w:rPr>
                <w:rFonts w:hint="eastAsia" w:ascii="宋体" w:hAnsi="宋体" w:eastAsia="宋体" w:cs="仿宋_GB2312"/>
                <w:color w:val="000000"/>
                <w:sz w:val="21"/>
                <w:szCs w:val="21"/>
              </w:rPr>
              <w:t>三次产业增加值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jc w:val="center"/>
        </w:trPr>
        <w:tc>
          <w:tcPr>
            <w:tcW w:w="7225" w:type="dxa"/>
            <w:vAlign w:val="center"/>
          </w:tcPr>
          <w:p>
            <w:pPr>
              <w:widowControl/>
              <w:numPr>
                <w:ilvl w:val="3"/>
                <w:numId w:val="13"/>
              </w:numPr>
              <w:spacing w:line="240" w:lineRule="auto"/>
              <w:jc w:val="left"/>
              <w:rPr>
                <w:rFonts w:ascii="宋体" w:hAnsi="宋体" w:eastAsia="宋体" w:cs="仿宋_GB2312"/>
                <w:color w:val="000000"/>
                <w:sz w:val="21"/>
                <w:szCs w:val="21"/>
              </w:rPr>
            </w:pPr>
            <w:r>
              <w:rPr>
                <w:rFonts w:hint="eastAsia" w:ascii="宋体" w:hAnsi="宋体" w:eastAsia="宋体" w:cs="仿宋_GB2312"/>
                <w:color w:val="000000"/>
                <w:sz w:val="21"/>
                <w:szCs w:val="21"/>
              </w:rPr>
              <w:t>三次产业增加值增速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jc w:val="center"/>
        </w:trPr>
        <w:tc>
          <w:tcPr>
            <w:tcW w:w="7225" w:type="dxa"/>
            <w:vAlign w:val="center"/>
          </w:tcPr>
          <w:p>
            <w:pPr>
              <w:widowControl/>
              <w:numPr>
                <w:ilvl w:val="3"/>
                <w:numId w:val="13"/>
              </w:numPr>
              <w:spacing w:line="240" w:lineRule="auto"/>
              <w:jc w:val="left"/>
              <w:rPr>
                <w:rFonts w:ascii="宋体" w:hAnsi="宋体" w:eastAsia="宋体" w:cs="仿宋_GB2312"/>
                <w:color w:val="000000"/>
                <w:sz w:val="21"/>
                <w:szCs w:val="21"/>
              </w:rPr>
            </w:pPr>
            <w:r>
              <w:rPr>
                <w:rFonts w:hint="eastAsia" w:ascii="宋体" w:hAnsi="宋体" w:eastAsia="宋体" w:cs="仿宋_GB2312"/>
                <w:color w:val="000000"/>
                <w:sz w:val="21"/>
                <w:szCs w:val="21"/>
              </w:rPr>
              <w:t>三次产业增加值占GDP比重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jc w:val="center"/>
        </w:trPr>
        <w:tc>
          <w:tcPr>
            <w:tcW w:w="7225" w:type="dxa"/>
            <w:vAlign w:val="center"/>
          </w:tcPr>
          <w:p>
            <w:pPr>
              <w:widowControl/>
              <w:numPr>
                <w:ilvl w:val="2"/>
                <w:numId w:val="13"/>
              </w:numPr>
              <w:spacing w:line="240" w:lineRule="auto"/>
              <w:jc w:val="left"/>
              <w:rPr>
                <w:rFonts w:ascii="宋体" w:hAnsi="宋体" w:eastAsia="宋体" w:cs="仿宋_GB2312"/>
                <w:color w:val="000000"/>
                <w:sz w:val="21"/>
                <w:szCs w:val="21"/>
              </w:rPr>
            </w:pPr>
            <w:r>
              <w:rPr>
                <w:rFonts w:hint="eastAsia" w:ascii="宋体" w:hAnsi="宋体" w:eastAsia="宋体" w:cs="仿宋_GB2312"/>
                <w:color w:val="000000"/>
                <w:sz w:val="21"/>
                <w:szCs w:val="21"/>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jc w:val="center"/>
        </w:trPr>
        <w:tc>
          <w:tcPr>
            <w:tcW w:w="7225" w:type="dxa"/>
            <w:vAlign w:val="center"/>
          </w:tcPr>
          <w:p>
            <w:pPr>
              <w:widowControl/>
              <w:numPr>
                <w:ilvl w:val="3"/>
                <w:numId w:val="13"/>
              </w:numPr>
              <w:spacing w:line="240" w:lineRule="auto"/>
              <w:jc w:val="left"/>
              <w:rPr>
                <w:rFonts w:ascii="宋体" w:hAnsi="宋体" w:eastAsia="宋体" w:cs="仿宋_GB2312"/>
                <w:color w:val="000000"/>
                <w:sz w:val="21"/>
                <w:szCs w:val="21"/>
              </w:rPr>
            </w:pPr>
            <w:r>
              <w:rPr>
                <w:rFonts w:hint="eastAsia" w:ascii="宋体" w:hAnsi="宋体" w:eastAsia="宋体" w:cs="仿宋_GB2312"/>
                <w:color w:val="000000"/>
                <w:sz w:val="21"/>
                <w:szCs w:val="21"/>
              </w:rPr>
              <w:t>规模以上工业增加值增速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jc w:val="center"/>
        </w:trPr>
        <w:tc>
          <w:tcPr>
            <w:tcW w:w="7225" w:type="dxa"/>
            <w:vAlign w:val="center"/>
          </w:tcPr>
          <w:p>
            <w:pPr>
              <w:widowControl/>
              <w:numPr>
                <w:ilvl w:val="3"/>
                <w:numId w:val="13"/>
              </w:numPr>
              <w:spacing w:line="240" w:lineRule="auto"/>
              <w:jc w:val="left"/>
              <w:rPr>
                <w:rFonts w:ascii="宋体" w:hAnsi="宋体" w:eastAsia="宋体" w:cs="仿宋_GB2312"/>
                <w:color w:val="000000"/>
                <w:sz w:val="21"/>
                <w:szCs w:val="21"/>
              </w:rPr>
            </w:pPr>
            <w:r>
              <w:rPr>
                <w:rFonts w:hint="eastAsia" w:ascii="宋体" w:hAnsi="宋体" w:eastAsia="宋体" w:cs="仿宋_GB2312"/>
                <w:color w:val="000000"/>
                <w:sz w:val="21"/>
                <w:szCs w:val="21"/>
              </w:rPr>
              <w:t>规模以上工业产品产销率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jc w:val="center"/>
        </w:trPr>
        <w:tc>
          <w:tcPr>
            <w:tcW w:w="7225" w:type="dxa"/>
            <w:vAlign w:val="center"/>
          </w:tcPr>
          <w:p>
            <w:pPr>
              <w:widowControl/>
              <w:numPr>
                <w:ilvl w:val="3"/>
                <w:numId w:val="13"/>
              </w:numPr>
              <w:spacing w:line="240" w:lineRule="auto"/>
              <w:jc w:val="left"/>
              <w:rPr>
                <w:rFonts w:ascii="宋体" w:hAnsi="宋体" w:eastAsia="宋体" w:cs="仿宋_GB2312"/>
                <w:color w:val="000000"/>
                <w:sz w:val="21"/>
                <w:szCs w:val="21"/>
              </w:rPr>
            </w:pPr>
            <w:r>
              <w:rPr>
                <w:rFonts w:hint="eastAsia" w:ascii="宋体" w:hAnsi="宋体" w:eastAsia="宋体" w:cs="仿宋_GB2312"/>
                <w:color w:val="000000"/>
                <w:sz w:val="21"/>
                <w:szCs w:val="21"/>
              </w:rPr>
              <w:t>工业生产者购进及出厂价格指数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jc w:val="center"/>
        </w:trPr>
        <w:tc>
          <w:tcPr>
            <w:tcW w:w="7225" w:type="dxa"/>
            <w:vAlign w:val="center"/>
          </w:tcPr>
          <w:p>
            <w:pPr>
              <w:widowControl/>
              <w:numPr>
                <w:ilvl w:val="2"/>
                <w:numId w:val="13"/>
              </w:numPr>
              <w:spacing w:line="240" w:lineRule="auto"/>
              <w:jc w:val="left"/>
              <w:rPr>
                <w:rFonts w:ascii="宋体" w:hAnsi="宋体" w:eastAsia="宋体" w:cs="仿宋_GB2312"/>
                <w:color w:val="000000"/>
                <w:sz w:val="21"/>
                <w:szCs w:val="21"/>
              </w:rPr>
            </w:pPr>
            <w:r>
              <w:rPr>
                <w:rFonts w:hint="eastAsia" w:ascii="宋体" w:hAnsi="宋体" w:eastAsia="宋体" w:cs="仿宋_GB2312"/>
                <w:color w:val="000000"/>
                <w:sz w:val="21"/>
                <w:szCs w:val="21"/>
              </w:rPr>
              <w:t>投资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jc w:val="center"/>
        </w:trPr>
        <w:tc>
          <w:tcPr>
            <w:tcW w:w="7225" w:type="dxa"/>
            <w:vAlign w:val="center"/>
          </w:tcPr>
          <w:p>
            <w:pPr>
              <w:widowControl/>
              <w:numPr>
                <w:ilvl w:val="3"/>
                <w:numId w:val="13"/>
              </w:numPr>
              <w:spacing w:line="240" w:lineRule="auto"/>
              <w:jc w:val="left"/>
              <w:rPr>
                <w:rFonts w:ascii="宋体" w:hAnsi="宋体" w:eastAsia="宋体" w:cs="仿宋_GB2312"/>
                <w:color w:val="000000"/>
                <w:sz w:val="21"/>
                <w:szCs w:val="21"/>
              </w:rPr>
            </w:pPr>
            <w:r>
              <w:rPr>
                <w:rFonts w:hint="eastAsia" w:ascii="宋体" w:hAnsi="宋体" w:eastAsia="宋体" w:cs="仿宋_GB2312"/>
                <w:color w:val="000000"/>
                <w:sz w:val="21"/>
                <w:szCs w:val="21"/>
              </w:rPr>
              <w:t>固定资产投资（不含农户）增速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jc w:val="center"/>
        </w:trPr>
        <w:tc>
          <w:tcPr>
            <w:tcW w:w="7225" w:type="dxa"/>
            <w:vAlign w:val="center"/>
          </w:tcPr>
          <w:p>
            <w:pPr>
              <w:widowControl/>
              <w:numPr>
                <w:ilvl w:val="3"/>
                <w:numId w:val="13"/>
              </w:numPr>
              <w:spacing w:line="240" w:lineRule="auto"/>
              <w:jc w:val="left"/>
              <w:rPr>
                <w:rFonts w:ascii="宋体" w:hAnsi="宋体" w:eastAsia="宋体" w:cs="仿宋_GB2312"/>
                <w:color w:val="000000"/>
                <w:sz w:val="21"/>
                <w:szCs w:val="21"/>
              </w:rPr>
            </w:pPr>
            <w:r>
              <w:rPr>
                <w:rFonts w:hint="eastAsia" w:ascii="宋体" w:hAnsi="宋体" w:eastAsia="宋体" w:cs="仿宋_GB2312"/>
                <w:color w:val="000000"/>
                <w:sz w:val="21"/>
                <w:szCs w:val="21"/>
              </w:rPr>
              <w:t>房地产投资完成额及增速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jc w:val="center"/>
        </w:trPr>
        <w:tc>
          <w:tcPr>
            <w:tcW w:w="7225" w:type="dxa"/>
            <w:vAlign w:val="center"/>
          </w:tcPr>
          <w:p>
            <w:pPr>
              <w:widowControl/>
              <w:numPr>
                <w:ilvl w:val="2"/>
                <w:numId w:val="13"/>
              </w:numPr>
              <w:spacing w:line="240" w:lineRule="auto"/>
              <w:jc w:val="left"/>
              <w:rPr>
                <w:rFonts w:ascii="宋体" w:hAnsi="宋体" w:eastAsia="宋体" w:cs="仿宋_GB2312"/>
                <w:color w:val="000000"/>
                <w:sz w:val="21"/>
                <w:szCs w:val="21"/>
              </w:rPr>
            </w:pPr>
            <w:r>
              <w:rPr>
                <w:rFonts w:hint="eastAsia" w:ascii="宋体" w:hAnsi="宋体" w:eastAsia="宋体" w:cs="仿宋_GB2312"/>
                <w:color w:val="000000"/>
                <w:sz w:val="21"/>
                <w:szCs w:val="21"/>
              </w:rPr>
              <w:t>消费品零售总额增速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jc w:val="center"/>
        </w:trPr>
        <w:tc>
          <w:tcPr>
            <w:tcW w:w="7225" w:type="dxa"/>
            <w:vAlign w:val="center"/>
          </w:tcPr>
          <w:p>
            <w:pPr>
              <w:widowControl/>
              <w:numPr>
                <w:ilvl w:val="2"/>
                <w:numId w:val="13"/>
              </w:numPr>
              <w:spacing w:line="240" w:lineRule="auto"/>
              <w:jc w:val="left"/>
              <w:rPr>
                <w:rFonts w:ascii="宋体" w:hAnsi="宋体" w:eastAsia="宋体" w:cs="仿宋_GB2312"/>
                <w:color w:val="000000"/>
                <w:sz w:val="21"/>
                <w:szCs w:val="21"/>
              </w:rPr>
            </w:pPr>
            <w:r>
              <w:rPr>
                <w:rFonts w:hint="eastAsia" w:ascii="宋体" w:hAnsi="宋体" w:eastAsia="宋体" w:cs="仿宋_GB2312"/>
                <w:color w:val="000000"/>
                <w:sz w:val="21"/>
                <w:szCs w:val="21"/>
              </w:rPr>
              <w:t>海关进出口总额及增速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jc w:val="center"/>
        </w:trPr>
        <w:tc>
          <w:tcPr>
            <w:tcW w:w="7225" w:type="dxa"/>
            <w:vAlign w:val="center"/>
          </w:tcPr>
          <w:p>
            <w:pPr>
              <w:widowControl/>
              <w:numPr>
                <w:ilvl w:val="2"/>
                <w:numId w:val="13"/>
              </w:numPr>
              <w:spacing w:line="240" w:lineRule="auto"/>
              <w:jc w:val="left"/>
              <w:rPr>
                <w:rFonts w:ascii="宋体" w:hAnsi="宋体" w:eastAsia="宋体" w:cs="仿宋_GB2312"/>
                <w:color w:val="000000"/>
                <w:sz w:val="21"/>
                <w:szCs w:val="21"/>
              </w:rPr>
            </w:pPr>
            <w:r>
              <w:rPr>
                <w:rFonts w:hint="eastAsia" w:ascii="宋体" w:hAnsi="宋体" w:eastAsia="宋体" w:cs="仿宋_GB2312"/>
                <w:color w:val="000000"/>
                <w:sz w:val="21"/>
                <w:szCs w:val="21"/>
              </w:rPr>
              <w:t>一般公共预算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jc w:val="center"/>
        </w:trPr>
        <w:tc>
          <w:tcPr>
            <w:tcW w:w="7225" w:type="dxa"/>
            <w:vAlign w:val="center"/>
          </w:tcPr>
          <w:p>
            <w:pPr>
              <w:widowControl/>
              <w:numPr>
                <w:ilvl w:val="3"/>
                <w:numId w:val="13"/>
              </w:numPr>
              <w:spacing w:line="240" w:lineRule="auto"/>
              <w:jc w:val="left"/>
              <w:rPr>
                <w:rFonts w:ascii="宋体" w:hAnsi="宋体" w:eastAsia="宋体" w:cs="仿宋_GB2312"/>
                <w:color w:val="000000"/>
                <w:sz w:val="21"/>
                <w:szCs w:val="21"/>
              </w:rPr>
            </w:pPr>
            <w:r>
              <w:rPr>
                <w:rFonts w:hint="eastAsia" w:ascii="宋体" w:hAnsi="宋体" w:eastAsia="宋体" w:cs="仿宋_GB2312"/>
                <w:color w:val="000000"/>
                <w:sz w:val="21"/>
                <w:szCs w:val="21"/>
              </w:rPr>
              <w:t>一般公共预算收入及增速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jc w:val="center"/>
        </w:trPr>
        <w:tc>
          <w:tcPr>
            <w:tcW w:w="7225" w:type="dxa"/>
            <w:vAlign w:val="center"/>
          </w:tcPr>
          <w:p>
            <w:pPr>
              <w:widowControl/>
              <w:numPr>
                <w:ilvl w:val="3"/>
                <w:numId w:val="13"/>
              </w:numPr>
              <w:spacing w:line="240" w:lineRule="auto"/>
              <w:jc w:val="left"/>
              <w:rPr>
                <w:rFonts w:ascii="宋体" w:hAnsi="宋体" w:eastAsia="宋体" w:cs="仿宋_GB2312"/>
                <w:color w:val="000000"/>
                <w:sz w:val="21"/>
                <w:szCs w:val="21"/>
              </w:rPr>
            </w:pPr>
            <w:r>
              <w:rPr>
                <w:rFonts w:hint="eastAsia" w:ascii="宋体" w:hAnsi="宋体" w:eastAsia="宋体" w:cs="仿宋_GB2312"/>
                <w:color w:val="000000"/>
                <w:sz w:val="21"/>
                <w:szCs w:val="21"/>
              </w:rPr>
              <w:t>一般公共预算支出及增速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jc w:val="center"/>
        </w:trPr>
        <w:tc>
          <w:tcPr>
            <w:tcW w:w="7225" w:type="dxa"/>
            <w:vAlign w:val="center"/>
          </w:tcPr>
          <w:p>
            <w:pPr>
              <w:widowControl/>
              <w:numPr>
                <w:ilvl w:val="2"/>
                <w:numId w:val="13"/>
              </w:numPr>
              <w:spacing w:line="240" w:lineRule="auto"/>
              <w:jc w:val="left"/>
              <w:rPr>
                <w:rFonts w:ascii="宋体" w:hAnsi="宋体" w:eastAsia="宋体" w:cs="仿宋_GB2312"/>
                <w:color w:val="000000"/>
                <w:sz w:val="21"/>
                <w:szCs w:val="21"/>
              </w:rPr>
            </w:pPr>
            <w:r>
              <w:rPr>
                <w:rFonts w:hint="eastAsia" w:ascii="宋体" w:hAnsi="宋体" w:eastAsia="宋体" w:cs="仿宋_GB2312"/>
                <w:color w:val="000000"/>
                <w:sz w:val="21"/>
                <w:szCs w:val="21"/>
              </w:rPr>
              <w:t>居民收入支出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jc w:val="center"/>
        </w:trPr>
        <w:tc>
          <w:tcPr>
            <w:tcW w:w="7225" w:type="dxa"/>
            <w:vAlign w:val="center"/>
          </w:tcPr>
          <w:p>
            <w:pPr>
              <w:widowControl/>
              <w:numPr>
                <w:ilvl w:val="3"/>
                <w:numId w:val="13"/>
              </w:numPr>
              <w:spacing w:line="240" w:lineRule="auto"/>
              <w:jc w:val="left"/>
              <w:rPr>
                <w:rFonts w:ascii="宋体" w:hAnsi="宋体" w:eastAsia="宋体" w:cs="仿宋_GB2312"/>
                <w:color w:val="000000"/>
                <w:sz w:val="21"/>
                <w:szCs w:val="21"/>
              </w:rPr>
            </w:pPr>
            <w:r>
              <w:rPr>
                <w:rFonts w:hint="eastAsia" w:ascii="宋体" w:hAnsi="宋体" w:eastAsia="宋体" w:cs="仿宋_GB2312"/>
                <w:color w:val="000000"/>
                <w:sz w:val="21"/>
                <w:szCs w:val="21"/>
              </w:rPr>
              <w:t>全体居民人均可支配收入及增速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jc w:val="center"/>
        </w:trPr>
        <w:tc>
          <w:tcPr>
            <w:tcW w:w="7225" w:type="dxa"/>
            <w:vAlign w:val="center"/>
          </w:tcPr>
          <w:p>
            <w:pPr>
              <w:widowControl/>
              <w:numPr>
                <w:ilvl w:val="3"/>
                <w:numId w:val="13"/>
              </w:numPr>
              <w:spacing w:line="240" w:lineRule="auto"/>
              <w:jc w:val="left"/>
              <w:rPr>
                <w:rFonts w:ascii="宋体" w:hAnsi="宋体" w:eastAsia="宋体" w:cs="仿宋_GB2312"/>
                <w:color w:val="000000"/>
                <w:sz w:val="21"/>
                <w:szCs w:val="21"/>
              </w:rPr>
            </w:pPr>
            <w:r>
              <w:rPr>
                <w:rFonts w:hint="eastAsia" w:ascii="宋体" w:hAnsi="宋体" w:eastAsia="宋体" w:cs="仿宋_GB2312"/>
                <w:color w:val="000000"/>
                <w:sz w:val="21"/>
                <w:szCs w:val="21"/>
              </w:rPr>
              <w:t>全体居民人均生活消费支出及增速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jc w:val="center"/>
        </w:trPr>
        <w:tc>
          <w:tcPr>
            <w:tcW w:w="7225" w:type="dxa"/>
            <w:vAlign w:val="center"/>
          </w:tcPr>
          <w:p>
            <w:pPr>
              <w:widowControl/>
              <w:numPr>
                <w:ilvl w:val="3"/>
                <w:numId w:val="13"/>
              </w:numPr>
              <w:spacing w:line="240" w:lineRule="auto"/>
              <w:jc w:val="left"/>
              <w:rPr>
                <w:rFonts w:ascii="宋体" w:hAnsi="宋体" w:eastAsia="宋体" w:cs="仿宋_GB2312"/>
                <w:color w:val="000000"/>
                <w:sz w:val="21"/>
                <w:szCs w:val="21"/>
              </w:rPr>
            </w:pPr>
            <w:r>
              <w:rPr>
                <w:rFonts w:hint="eastAsia" w:ascii="宋体" w:hAnsi="宋体" w:eastAsia="宋体" w:cs="仿宋_GB2312"/>
                <w:color w:val="000000"/>
                <w:sz w:val="21"/>
                <w:szCs w:val="21"/>
              </w:rPr>
              <w:t>城镇常住居民人均生活消费支出及增速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jc w:val="center"/>
        </w:trPr>
        <w:tc>
          <w:tcPr>
            <w:tcW w:w="7225" w:type="dxa"/>
            <w:vAlign w:val="center"/>
          </w:tcPr>
          <w:p>
            <w:pPr>
              <w:widowControl/>
              <w:numPr>
                <w:ilvl w:val="3"/>
                <w:numId w:val="13"/>
              </w:numPr>
              <w:spacing w:line="240" w:lineRule="auto"/>
              <w:jc w:val="left"/>
              <w:rPr>
                <w:rFonts w:ascii="宋体" w:hAnsi="宋体" w:eastAsia="宋体" w:cs="仿宋_GB2312"/>
                <w:color w:val="000000"/>
                <w:sz w:val="21"/>
                <w:szCs w:val="21"/>
              </w:rPr>
            </w:pPr>
            <w:r>
              <w:rPr>
                <w:rFonts w:hint="eastAsia" w:ascii="宋体" w:hAnsi="宋体" w:eastAsia="宋体" w:cs="仿宋_GB2312"/>
                <w:color w:val="000000"/>
                <w:sz w:val="21"/>
                <w:szCs w:val="21"/>
              </w:rPr>
              <w:t>城镇常住居民人均可支配收入及增速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jc w:val="center"/>
        </w:trPr>
        <w:tc>
          <w:tcPr>
            <w:tcW w:w="7225" w:type="dxa"/>
            <w:vAlign w:val="center"/>
          </w:tcPr>
          <w:p>
            <w:pPr>
              <w:widowControl/>
              <w:numPr>
                <w:ilvl w:val="3"/>
                <w:numId w:val="13"/>
              </w:numPr>
              <w:spacing w:line="240" w:lineRule="auto"/>
              <w:jc w:val="left"/>
              <w:rPr>
                <w:rFonts w:ascii="宋体" w:hAnsi="宋体" w:eastAsia="宋体" w:cs="仿宋_GB2312"/>
                <w:color w:val="000000"/>
                <w:sz w:val="21"/>
                <w:szCs w:val="21"/>
              </w:rPr>
            </w:pPr>
            <w:r>
              <w:rPr>
                <w:rFonts w:hint="eastAsia" w:ascii="宋体" w:hAnsi="宋体" w:eastAsia="宋体" w:cs="仿宋_GB2312"/>
                <w:color w:val="000000"/>
                <w:sz w:val="21"/>
                <w:szCs w:val="21"/>
              </w:rPr>
              <w:t>农村牧区常住居民人均可支配收入及增速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jc w:val="center"/>
        </w:trPr>
        <w:tc>
          <w:tcPr>
            <w:tcW w:w="7225" w:type="dxa"/>
            <w:vAlign w:val="center"/>
          </w:tcPr>
          <w:p>
            <w:pPr>
              <w:widowControl/>
              <w:numPr>
                <w:ilvl w:val="3"/>
                <w:numId w:val="13"/>
              </w:numPr>
              <w:spacing w:line="240" w:lineRule="auto"/>
              <w:jc w:val="left"/>
              <w:rPr>
                <w:rFonts w:ascii="宋体" w:hAnsi="宋体" w:eastAsia="宋体" w:cs="仿宋_GB2312"/>
                <w:color w:val="000000"/>
                <w:sz w:val="21"/>
                <w:szCs w:val="21"/>
              </w:rPr>
            </w:pPr>
            <w:r>
              <w:rPr>
                <w:rFonts w:hint="eastAsia" w:ascii="宋体" w:hAnsi="宋体" w:eastAsia="宋体" w:cs="仿宋_GB2312"/>
                <w:color w:val="000000"/>
                <w:sz w:val="21"/>
                <w:szCs w:val="21"/>
              </w:rPr>
              <w:t>农村牧区常住居民人均生活消费支出及增速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jc w:val="center"/>
        </w:trPr>
        <w:tc>
          <w:tcPr>
            <w:tcW w:w="7225" w:type="dxa"/>
            <w:vAlign w:val="center"/>
          </w:tcPr>
          <w:p>
            <w:pPr>
              <w:widowControl/>
              <w:numPr>
                <w:ilvl w:val="3"/>
                <w:numId w:val="13"/>
              </w:numPr>
              <w:spacing w:line="240" w:lineRule="auto"/>
              <w:jc w:val="left"/>
              <w:rPr>
                <w:rFonts w:ascii="宋体" w:hAnsi="宋体" w:eastAsia="宋体" w:cs="仿宋_GB2312"/>
                <w:color w:val="000000"/>
                <w:sz w:val="21"/>
                <w:szCs w:val="21"/>
              </w:rPr>
            </w:pPr>
            <w:r>
              <w:rPr>
                <w:rFonts w:hint="eastAsia" w:ascii="宋体" w:hAnsi="宋体" w:eastAsia="宋体" w:cs="仿宋_GB2312"/>
                <w:color w:val="000000"/>
                <w:sz w:val="21"/>
                <w:szCs w:val="21"/>
              </w:rPr>
              <w:t>居民消费价格指数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jc w:val="center"/>
        </w:trPr>
        <w:tc>
          <w:tcPr>
            <w:tcW w:w="7225" w:type="dxa"/>
            <w:vAlign w:val="center"/>
          </w:tcPr>
          <w:p>
            <w:pPr>
              <w:widowControl/>
              <w:numPr>
                <w:ilvl w:val="2"/>
                <w:numId w:val="13"/>
              </w:numPr>
              <w:spacing w:line="240" w:lineRule="auto"/>
              <w:jc w:val="left"/>
              <w:rPr>
                <w:rFonts w:ascii="宋体" w:hAnsi="宋体" w:eastAsia="宋体" w:cs="仿宋_GB2312"/>
                <w:color w:val="000000"/>
                <w:sz w:val="21"/>
                <w:szCs w:val="21"/>
              </w:rPr>
            </w:pPr>
            <w:r>
              <w:rPr>
                <w:rFonts w:hint="eastAsia" w:ascii="宋体" w:hAnsi="宋体" w:eastAsia="宋体" w:cs="仿宋_GB2312"/>
                <w:color w:val="000000"/>
                <w:sz w:val="21"/>
                <w:szCs w:val="21"/>
              </w:rPr>
              <w:t>规上服务业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jc w:val="center"/>
        </w:trPr>
        <w:tc>
          <w:tcPr>
            <w:tcW w:w="7225" w:type="dxa"/>
            <w:vAlign w:val="center"/>
          </w:tcPr>
          <w:p>
            <w:pPr>
              <w:widowControl/>
              <w:numPr>
                <w:ilvl w:val="2"/>
                <w:numId w:val="13"/>
              </w:numPr>
              <w:spacing w:line="240" w:lineRule="auto"/>
              <w:jc w:val="left"/>
              <w:rPr>
                <w:rFonts w:ascii="宋体" w:hAnsi="宋体" w:eastAsia="宋体" w:cs="仿宋_GB2312"/>
                <w:color w:val="000000"/>
                <w:sz w:val="21"/>
                <w:szCs w:val="21"/>
              </w:rPr>
            </w:pPr>
            <w:r>
              <w:rPr>
                <w:rFonts w:hint="eastAsia" w:ascii="宋体" w:hAnsi="宋体" w:eastAsia="宋体" w:cs="仿宋_GB2312"/>
                <w:color w:val="000000"/>
                <w:sz w:val="21"/>
                <w:szCs w:val="21"/>
              </w:rPr>
              <w:t>货物运输量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jc w:val="center"/>
        </w:trPr>
        <w:tc>
          <w:tcPr>
            <w:tcW w:w="7225" w:type="dxa"/>
            <w:vAlign w:val="center"/>
          </w:tcPr>
          <w:p>
            <w:pPr>
              <w:widowControl/>
              <w:numPr>
                <w:ilvl w:val="2"/>
                <w:numId w:val="13"/>
              </w:numPr>
              <w:spacing w:line="240" w:lineRule="auto"/>
              <w:jc w:val="left"/>
              <w:rPr>
                <w:rFonts w:ascii="宋体" w:hAnsi="宋体" w:eastAsia="宋体" w:cs="仿宋_GB2312"/>
                <w:color w:val="000000"/>
                <w:sz w:val="21"/>
                <w:szCs w:val="21"/>
              </w:rPr>
            </w:pPr>
            <w:r>
              <w:rPr>
                <w:rFonts w:hint="eastAsia" w:ascii="宋体" w:hAnsi="宋体" w:eastAsia="宋体" w:cs="仿宋_GB2312"/>
                <w:color w:val="000000"/>
                <w:sz w:val="21"/>
                <w:szCs w:val="21"/>
              </w:rPr>
              <w:t>新登记市场主体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jc w:val="center"/>
        </w:trPr>
        <w:tc>
          <w:tcPr>
            <w:tcW w:w="7225" w:type="dxa"/>
            <w:vAlign w:val="center"/>
          </w:tcPr>
          <w:p>
            <w:pPr>
              <w:widowControl/>
              <w:numPr>
                <w:ilvl w:val="2"/>
                <w:numId w:val="13"/>
              </w:numPr>
              <w:spacing w:line="240" w:lineRule="auto"/>
              <w:jc w:val="left"/>
              <w:rPr>
                <w:rFonts w:ascii="宋体" w:hAnsi="宋体" w:eastAsia="宋体" w:cs="仿宋_GB2312"/>
                <w:color w:val="000000"/>
                <w:sz w:val="21"/>
                <w:szCs w:val="21"/>
              </w:rPr>
            </w:pPr>
            <w:r>
              <w:rPr>
                <w:rFonts w:hint="eastAsia" w:ascii="宋体" w:hAnsi="宋体" w:eastAsia="宋体" w:cs="仿宋_GB2312"/>
                <w:color w:val="000000"/>
                <w:sz w:val="21"/>
                <w:szCs w:val="21"/>
              </w:rPr>
              <w:t>本外币余额</w:t>
            </w:r>
          </w:p>
        </w:tc>
      </w:tr>
    </w:tbl>
    <w:p>
      <w:pPr>
        <w:spacing w:line="360" w:lineRule="auto"/>
        <w:ind w:firstLine="480" w:firstLineChars="200"/>
        <w:rPr>
          <w:rFonts w:ascii="Times New Roman" w:hAnsi="Times New Roman" w:eastAsia="宋体" w:cs="Times New Roman"/>
          <w:sz w:val="24"/>
          <w:szCs w:val="20"/>
        </w:rPr>
      </w:pP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rPr>
      </w:pPr>
      <w:r>
        <w:rPr>
          <w:rFonts w:hint="eastAsia" w:ascii="Times New Roman" w:hAnsi="Times New Roman" w:eastAsia="宋体" w:cs="Times New Roman"/>
          <w:b/>
          <w:sz w:val="24"/>
        </w:rPr>
        <w:t>数据统计</w:t>
      </w:r>
    </w:p>
    <w:p>
      <w:pPr>
        <w:spacing w:line="360" w:lineRule="auto"/>
        <w:ind w:firstLine="480" w:firstLineChars="200"/>
        <w:rPr>
          <w:rFonts w:ascii="宋体" w:hAnsi="宋体" w:eastAsia="宋体" w:cs="Times New Roman"/>
          <w:kern w:val="0"/>
          <w:sz w:val="24"/>
          <w:lang w:val="zh-CN"/>
        </w:rPr>
      </w:pPr>
      <w:r>
        <w:rPr>
          <w:rFonts w:hint="eastAsia" w:ascii="宋体" w:hAnsi="宋体" w:eastAsia="宋体" w:cs="Times New Roman"/>
          <w:kern w:val="0"/>
          <w:sz w:val="24"/>
          <w:lang w:val="zh-CN"/>
        </w:rPr>
        <w:t>提供依据数据专业分类的数据展示，如</w:t>
      </w:r>
      <w:r>
        <w:rPr>
          <w:rFonts w:ascii="宋体" w:hAnsi="宋体" w:eastAsia="宋体" w:cs="Times New Roman"/>
          <w:kern w:val="0"/>
          <w:sz w:val="24"/>
          <w:lang w:val="zh-CN"/>
        </w:rPr>
        <w:t>工业、能源、贸易、人口</w:t>
      </w:r>
      <w:r>
        <w:rPr>
          <w:rFonts w:hint="eastAsia" w:ascii="宋体" w:hAnsi="宋体" w:eastAsia="宋体" w:cs="Times New Roman"/>
          <w:kern w:val="0"/>
          <w:sz w:val="24"/>
          <w:lang w:val="zh-CN"/>
        </w:rPr>
        <w:t>等数据。模块提供多维度的可视化图表，支持时间、空间范围筛选，并接入基于行政区划等地图数据，实现专业数据与地理信息的高度匹配</w:t>
      </w:r>
      <w:r>
        <w:rPr>
          <w:rFonts w:ascii="宋体" w:hAnsi="宋体" w:eastAsia="宋体" w:cs="Times New Roman"/>
          <w:kern w:val="0"/>
          <w:sz w:val="24"/>
          <w:lang w:val="zh-CN"/>
        </w:rPr>
        <w:t>，达到一图知全区的目标</w:t>
      </w:r>
      <w:r>
        <w:rPr>
          <w:rFonts w:hint="eastAsia" w:ascii="宋体" w:hAnsi="宋体" w:eastAsia="宋体" w:cs="Times New Roman"/>
          <w:kern w:val="0"/>
          <w:sz w:val="24"/>
          <w:lang w:val="zh-CN"/>
        </w:rPr>
        <w:t>。</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rPr>
      </w:pPr>
      <w:r>
        <w:rPr>
          <w:rFonts w:hint="eastAsia" w:ascii="Times New Roman" w:hAnsi="Times New Roman" w:eastAsia="宋体" w:cs="Times New Roman"/>
          <w:b/>
          <w:sz w:val="24"/>
        </w:rPr>
        <w:t>展示方式</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对于选定指标，提供地图展示及图表展示，以便于直观展示相关指标分期别、分区域具体情况。</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在地图展示层面，可分期别、分区域进行查询显示；在图表展示层面，可分期别、分区域以图或表的形式展示，两种展示层面中，期别、区域均可多选。</w:t>
      </w:r>
    </w:p>
    <w:p>
      <w:pPr>
        <w:keepNext/>
        <w:keepLines/>
        <w:numPr>
          <w:ilvl w:val="6"/>
          <w:numId w:val="1"/>
        </w:numPr>
        <w:spacing w:before="240" w:after="64" w:line="317" w:lineRule="auto"/>
        <w:ind w:firstLine="482" w:firstLineChars="200"/>
        <w:outlineLvl w:val="6"/>
        <w:rPr>
          <w:rFonts w:ascii="Times New Roman" w:hAnsi="Times New Roman" w:eastAsia="宋体" w:cs="Times New Roman"/>
          <w:b/>
          <w:sz w:val="24"/>
        </w:rPr>
      </w:pPr>
      <w:r>
        <w:rPr>
          <w:rFonts w:hint="eastAsia" w:ascii="Times New Roman" w:hAnsi="Times New Roman" w:eastAsia="宋体" w:cs="Times New Roman"/>
          <w:b/>
          <w:sz w:val="24"/>
        </w:rPr>
        <w:t>分析报告</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基于宏观内蒙古模块的开发定位，在此模块设计开发分析报告子模块，其包含报送信息和直报信息两部分，在领导选定指标后，通过后台标签自动关联到专业，并展示本专专业的报送信息列表，可供领导选择查看。同时提供一键切换功能，可直接切换直至报信息列表，点击即可查阅对应直报信息。报送信息和直报信息功能均提供领导批示文本框功能，可供领导进行相关指示批示。</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专题展示</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拟在移动端集成显示PC端专题展示功能，具体包括高质量发展、六稳六保、沿黄流域、能耗双控、城市监测、经济普查、人口普查、农牧业普查等专题。</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重点关注</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为提供标签化的便捷入口，开发重点关注功能，用户可以通过该模块快速查看关注信息。</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信息关注</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重点关注内容分为类型栏及关注栏。类型栏参照移动端现有功能设立，包括分析图表、宏观图表、专题展示等内容，即用户在各大功能模块对相应内容点击“收藏”后，系统按照其所属门类划归到类型栏相应门类中。</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关注信息管理</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系统对用户关注的信息进行分类管理，针对关注信息内容支持信息快速检索、日期排序等功能，包括关键字检索、按照日期检索等。</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关注信息查看</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关注栏对应具体的“收藏”信息，用户点击类型栏中的门类后，关注栏对应显示该门类下所有的收藏信息，可以一键进入，方便快捷。</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智能推送</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内蒙古统计局对于统计数据的信息化服务缺乏消息提醒和通知机制。基于上述现状，统计移动应用系统为管理人员提供监控监测、预警预报、综合应急联动等方面的信息推送， 用于支撑服务管理效率和管理水平的提升，监控和优化服务质量，更好地满足统计局信息服务的需要。</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智能推送</w:t>
      </w:r>
      <w:r>
        <w:rPr>
          <w:rFonts w:ascii="Times New Roman" w:hAnsi="Times New Roman" w:eastAsia="宋体" w:cs="Times New Roman"/>
          <w:sz w:val="24"/>
          <w:szCs w:val="20"/>
        </w:rPr>
        <w:t>针对不同行业、部门、专业的自治区领导和工作人员，</w:t>
      </w:r>
      <w:r>
        <w:rPr>
          <w:rFonts w:hint="eastAsia" w:ascii="Times New Roman" w:hAnsi="Times New Roman" w:eastAsia="宋体" w:cs="Times New Roman"/>
          <w:sz w:val="24"/>
          <w:szCs w:val="20"/>
        </w:rPr>
        <w:t>基于统计局管理模式</w:t>
      </w:r>
      <w:r>
        <w:rPr>
          <w:rFonts w:ascii="Times New Roman" w:hAnsi="Times New Roman" w:eastAsia="宋体" w:cs="Times New Roman"/>
          <w:sz w:val="24"/>
          <w:szCs w:val="20"/>
        </w:rPr>
        <w:t>推送相应的数据表及多样化图表</w:t>
      </w:r>
      <w:r>
        <w:rPr>
          <w:rFonts w:hint="eastAsia" w:ascii="Times New Roman" w:hAnsi="Times New Roman" w:eastAsia="宋体" w:cs="Times New Roman"/>
          <w:sz w:val="24"/>
          <w:szCs w:val="20"/>
        </w:rPr>
        <w:t>所组合而成的专题报表，实现统计局内部数据资源智能共享、统一管理、联动协作，达到运行状态可视，推送过程可管，数据质量可控的效果。针对领导重点关注内容，将宏观内蒙古内容进行直接推送，也支持自定义推动内容，完成统计数据智能推送。智能推送包含模板管理、报表制作、推送审核、智能推送四个模块。</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模板管理</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模板管理可实现</w:t>
      </w:r>
      <w:r>
        <w:rPr>
          <w:rFonts w:ascii="Times New Roman" w:hAnsi="Times New Roman" w:eastAsia="宋体" w:cs="Times New Roman"/>
          <w:sz w:val="24"/>
          <w:szCs w:val="20"/>
        </w:rPr>
        <w:t>针对不同行业、部门、专业</w:t>
      </w:r>
      <w:r>
        <w:rPr>
          <w:rFonts w:hint="eastAsia" w:ascii="Times New Roman" w:hAnsi="Times New Roman" w:eastAsia="宋体" w:cs="Times New Roman"/>
          <w:sz w:val="24"/>
          <w:szCs w:val="20"/>
        </w:rPr>
        <w:t>与不同岗位的报表基础模板的预定制及自定义模板的APP前端配置，与移动A</w:t>
      </w:r>
      <w:r>
        <w:rPr>
          <w:rFonts w:ascii="Times New Roman" w:hAnsi="Times New Roman" w:eastAsia="宋体" w:cs="Times New Roman"/>
          <w:sz w:val="24"/>
          <w:szCs w:val="20"/>
        </w:rPr>
        <w:t>PP</w:t>
      </w:r>
      <w:r>
        <w:rPr>
          <w:rFonts w:hint="eastAsia" w:ascii="Times New Roman" w:hAnsi="Times New Roman" w:eastAsia="宋体" w:cs="Times New Roman"/>
          <w:sz w:val="24"/>
          <w:szCs w:val="20"/>
        </w:rPr>
        <w:t>后台数据对接，满足推送工作人员快速制作推送报表的需求，提升工作效率。</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报表制作</w:t>
      </w:r>
    </w:p>
    <w:p>
      <w:pPr>
        <w:spacing w:line="360" w:lineRule="auto"/>
        <w:ind w:firstLine="480" w:firstLineChars="200"/>
        <w:rPr>
          <w:rFonts w:ascii="宋体" w:hAnsi="宋体" w:eastAsia="宋体" w:cs="Times New Roman"/>
          <w:kern w:val="0"/>
          <w:sz w:val="24"/>
          <w:lang w:val="zh-CN"/>
        </w:rPr>
      </w:pPr>
      <w:r>
        <w:rPr>
          <w:rFonts w:hint="eastAsia" w:ascii="宋体" w:hAnsi="宋体" w:eastAsia="宋体" w:cs="Times New Roman"/>
          <w:kern w:val="0"/>
          <w:sz w:val="24"/>
          <w:lang w:val="zh-CN"/>
        </w:rPr>
        <w:t>报表制作可实现对具体推送内容的定制，推送人员根据数据需求即可进行基于模板的报表制作或基于定制数据的报表制作。另外，报表制作还提供了需求跟踪和变更控制的功能，实时监控需求的进展情况，以确保充分满足下游用户的数据需求。</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推送审核</w:t>
      </w:r>
    </w:p>
    <w:p>
      <w:pPr>
        <w:spacing w:line="360" w:lineRule="auto"/>
        <w:ind w:firstLine="480" w:firstLineChars="200"/>
        <w:rPr>
          <w:rFonts w:ascii="宋体" w:hAnsi="宋体" w:eastAsia="宋体" w:cs="Times New Roman"/>
          <w:kern w:val="0"/>
          <w:sz w:val="24"/>
          <w:lang w:val="zh-CN"/>
        </w:rPr>
      </w:pPr>
      <w:r>
        <w:rPr>
          <w:rFonts w:hint="eastAsia" w:ascii="宋体" w:hAnsi="宋体" w:eastAsia="宋体" w:cs="Times New Roman"/>
          <w:kern w:val="0"/>
          <w:sz w:val="24"/>
          <w:lang w:val="zh-CN"/>
        </w:rPr>
        <w:t>推送审核基于统计局推送管理办法，严格按照审批流程进行审批，以确保报表数据的准确性与安全性。模块基于不同的权限进行审批管理，不同的权限身份负责不同的审批环节。</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信息推送</w:t>
      </w:r>
    </w:p>
    <w:p>
      <w:pPr>
        <w:spacing w:line="360" w:lineRule="auto"/>
        <w:ind w:firstLine="480" w:firstLineChars="200"/>
        <w:rPr>
          <w:rFonts w:ascii="宋体" w:hAnsi="宋体" w:eastAsia="宋体" w:cs="Times New Roman"/>
          <w:kern w:val="0"/>
          <w:sz w:val="24"/>
          <w:lang w:val="zh-CN"/>
        </w:rPr>
      </w:pPr>
      <w:r>
        <w:rPr>
          <w:rFonts w:hint="eastAsia" w:ascii="宋体" w:hAnsi="宋体" w:eastAsia="宋体" w:cs="Times New Roman"/>
          <w:kern w:val="0"/>
          <w:sz w:val="24"/>
          <w:lang w:val="zh-CN"/>
        </w:rPr>
        <w:t>智能推送在推送审核流程通过后，将制作完成的报表推送至对应终端用户，通过更直观、科学的可视化图表，以实现对不同业务系统的数据统一管理、统一推送，最终达到</w:t>
      </w:r>
      <w:r>
        <w:rPr>
          <w:rFonts w:ascii="宋体" w:hAnsi="宋体" w:eastAsia="宋体" w:cs="Times New Roman"/>
          <w:kern w:val="0"/>
          <w:sz w:val="24"/>
          <w:lang w:val="zh-CN"/>
        </w:rPr>
        <w:t>辅助决策</w:t>
      </w:r>
      <w:r>
        <w:rPr>
          <w:rFonts w:hint="eastAsia" w:ascii="宋体" w:hAnsi="宋体" w:eastAsia="宋体" w:cs="Times New Roman"/>
          <w:kern w:val="0"/>
          <w:sz w:val="24"/>
          <w:lang w:val="zh-CN"/>
        </w:rPr>
        <w:t>的目的。</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日志管理</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对于移动端设备各种操作日志进行记录，用以后期管理人员进行日志审计。对于移动A</w:t>
      </w:r>
      <w:r>
        <w:rPr>
          <w:rFonts w:ascii="Times New Roman" w:hAnsi="Times New Roman" w:eastAsia="宋体" w:cs="Times New Roman"/>
          <w:sz w:val="24"/>
          <w:szCs w:val="20"/>
        </w:rPr>
        <w:t>PP</w:t>
      </w:r>
      <w:r>
        <w:rPr>
          <w:rFonts w:hint="eastAsia" w:ascii="Times New Roman" w:hAnsi="Times New Roman" w:eastAsia="宋体" w:cs="Times New Roman"/>
          <w:sz w:val="24"/>
          <w:szCs w:val="20"/>
        </w:rPr>
        <w:t>运行日志，可以辅助对设备进行故障预测和分析。系统通过日志管理服务对用户操作和系统运行痕迹进行记录。系统中具有完备的日志信息，有助于迅速定位问题及快速恢复故障，使运维工程师更精确、高效地进行系统日常维护。系统中的日志包括但不限于运行日志、操作日志。</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APP运行日志</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APP运行日志记录系统运行信息，系统提供系统运行日志信息查看、检索等功能。</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APP操作日志</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APP操作日志记录用户信息，操作时间，操作功能等信息。系统提供系统操作日志管理功能，支持日志查看、检索。</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个人中心</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个人中心包括个人信息、APP设置、退出登录，提供用户信息修改，APP相关参数设置等功能。</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个人信息</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支持用户信息修改功能，如用户密码等。</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A</w:t>
      </w:r>
      <w:r>
        <w:rPr>
          <w:rFonts w:ascii="Arial" w:hAnsi="Arial" w:eastAsia="黑体" w:cs="Times New Roman"/>
          <w:b/>
          <w:sz w:val="24"/>
        </w:rPr>
        <w:t>PP</w:t>
      </w:r>
      <w:r>
        <w:rPr>
          <w:rFonts w:hint="eastAsia" w:ascii="Arial" w:hAnsi="Arial" w:eastAsia="黑体" w:cs="Times New Roman"/>
          <w:b/>
          <w:sz w:val="24"/>
        </w:rPr>
        <w:t>设置</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提供A</w:t>
      </w:r>
      <w:r>
        <w:rPr>
          <w:rFonts w:ascii="Times New Roman" w:hAnsi="Times New Roman" w:eastAsia="宋体" w:cs="Times New Roman"/>
          <w:sz w:val="24"/>
          <w:szCs w:val="20"/>
        </w:rPr>
        <w:t>PP</w:t>
      </w:r>
      <w:r>
        <w:rPr>
          <w:rFonts w:hint="eastAsia" w:ascii="Times New Roman" w:hAnsi="Times New Roman" w:eastAsia="宋体" w:cs="Times New Roman"/>
          <w:sz w:val="24"/>
          <w:szCs w:val="20"/>
        </w:rPr>
        <w:t>相关参数配置功能。</w:t>
      </w:r>
    </w:p>
    <w:p>
      <w:pPr>
        <w:keepNext/>
        <w:keepLines/>
        <w:numPr>
          <w:ilvl w:val="5"/>
          <w:numId w:val="1"/>
        </w:numPr>
        <w:tabs>
          <w:tab w:val="left" w:pos="420"/>
        </w:tabs>
        <w:spacing w:before="240" w:after="64" w:line="317" w:lineRule="auto"/>
        <w:ind w:firstLine="482"/>
        <w:outlineLvl w:val="5"/>
        <w:rPr>
          <w:rFonts w:ascii="Arial" w:hAnsi="Arial" w:eastAsia="黑体" w:cs="Times New Roman"/>
          <w:b/>
          <w:sz w:val="24"/>
        </w:rPr>
      </w:pPr>
      <w:r>
        <w:rPr>
          <w:rFonts w:hint="eastAsia" w:ascii="Arial" w:hAnsi="Arial" w:eastAsia="黑体" w:cs="Times New Roman"/>
          <w:b/>
          <w:sz w:val="24"/>
        </w:rPr>
        <w:t>退出登录</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提供退出登录功能，退出后回到登录页面。</w:t>
      </w:r>
    </w:p>
    <w:p>
      <w:pPr>
        <w:keepNext/>
        <w:keepLines/>
        <w:numPr>
          <w:ilvl w:val="3"/>
          <w:numId w:val="1"/>
        </w:numPr>
        <w:tabs>
          <w:tab w:val="left" w:pos="420"/>
        </w:tabs>
        <w:spacing w:before="120" w:after="120" w:line="372" w:lineRule="auto"/>
        <w:ind w:firstLine="1044"/>
        <w:outlineLvl w:val="3"/>
        <w:rPr>
          <w:rFonts w:ascii="Arial" w:hAnsi="Arial" w:eastAsia="黑体" w:cs="Times New Roman"/>
          <w:b/>
          <w:sz w:val="28"/>
        </w:rPr>
      </w:pPr>
      <w:r>
        <w:rPr>
          <w:rFonts w:hint="eastAsia" w:ascii="Arial" w:hAnsi="Arial" w:eastAsia="黑体" w:cs="Times New Roman"/>
          <w:b/>
          <w:sz w:val="28"/>
        </w:rPr>
        <w:t>盟市使用推广</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为了使全区统计工作更加高效有序，可将统计数字化平台推广至各盟市进行使用，达到工作流程统一，上传下达清晰明了的效果。系统内智能报表为专业处室打造一体化智能分析工具，创新型地打通了数据获取、报表制作、图标编辑、分析报告撰写在同一系统中应用地全流程，专业处理可利用系统内的数据，根据不同行业、类型，多维度随意组合，汇总数据，实时制作报表，图表，并进行分析应用，快速生成统计专报，极大提高了统计分析效率。同时，可以进行分析模板的保存，并且保存后的模板可以跨部门分享，使统计工作人员能够减少重复的工作，提升工作效率。</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盟市统计应用</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各盟市通过账号访问内蒙古统计局的系统网址与服务器，如在进行某项统计工作时，可通过统计数字化平台进行跨级别的统计工作，只需在系统内设置好统计报表模板，即可进行相应的统计应用。</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盟市数据存储管理</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系统针对盟市用户创建的报表、生成的统计数据支持两种存储管理方式：一、本地存储管理；二、集中存储至政务云环境。用户可根据实际情况选择数据存储方式。</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报表发送与反馈审核</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系统支持自治区、盟市旗县之间的报表发送、审核、反馈功能，用户可以选择特定的用户、用户组、部门、组织进行报表发送。</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系统并发提升</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统计数字化平台在盟市进行使用需要开设多个账号，因此对系统并发数的要求有所提升。可通过增强硬件性能，如增加CPU核数，升级网卡，升级硬盘，扩充系统内存等方式；同时在数据库层面，采取优化数据库存储结构，进行分布式部署、增加ES缓存等方式来提高系统并发数和响应时间，以提升系统性能。</w:t>
      </w:r>
    </w:p>
    <w:p>
      <w:pPr>
        <w:keepNext/>
        <w:keepLines/>
        <w:numPr>
          <w:ilvl w:val="2"/>
          <w:numId w:val="1"/>
        </w:numPr>
        <w:spacing w:line="413" w:lineRule="auto"/>
        <w:ind w:firstLine="1044"/>
        <w:outlineLvl w:val="2"/>
        <w:rPr>
          <w:rFonts w:ascii="Times New Roman" w:hAnsi="Times New Roman" w:eastAsia="宋体" w:cs="Times New Roman"/>
          <w:b/>
        </w:rPr>
      </w:pPr>
      <w:bookmarkStart w:id="61" w:name="_Toc29902"/>
      <w:bookmarkStart w:id="62" w:name="_Toc3692"/>
      <w:bookmarkStart w:id="63" w:name="_Toc493702812"/>
      <w:bookmarkStart w:id="64" w:name="_Toc494100097"/>
      <w:bookmarkStart w:id="65" w:name="_Toc8643"/>
      <w:r>
        <w:rPr>
          <w:rFonts w:hint="eastAsia" w:ascii="Times New Roman" w:hAnsi="Times New Roman" w:eastAsia="宋体" w:cs="Times New Roman"/>
          <w:b/>
        </w:rPr>
        <w:t>督考一体化平台</w:t>
      </w:r>
      <w:bookmarkEnd w:id="61"/>
      <w:bookmarkEnd w:id="62"/>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根据督查及考核工作需求功能进行建设，定制开发适用于内蒙古自治区统计局的独立系统。通过与钉钉工作台的数据对接，抓取人员架构等有效信息进行体系构建。系统整体分为督查督办、考核评价、督查事项统计可视化、考核评价统计可视化等四板块内容。同时开发手机端并进行数据同步，建设“依法、公开、公平、公正、高效”的一体化办公平台。</w:t>
      </w:r>
    </w:p>
    <w:p>
      <w:pPr>
        <w:keepNext/>
        <w:keepLines/>
        <w:numPr>
          <w:ilvl w:val="3"/>
          <w:numId w:val="1"/>
        </w:numPr>
        <w:tabs>
          <w:tab w:val="left" w:pos="420"/>
        </w:tabs>
        <w:spacing w:before="120" w:after="120" w:line="372" w:lineRule="auto"/>
        <w:ind w:firstLine="1044"/>
        <w:outlineLvl w:val="3"/>
        <w:rPr>
          <w:rFonts w:ascii="Arial" w:hAnsi="Arial" w:eastAsia="黑体" w:cs="Times New Roman"/>
          <w:b/>
          <w:sz w:val="28"/>
        </w:rPr>
      </w:pPr>
      <w:r>
        <w:rPr>
          <w:rFonts w:hint="eastAsia" w:ascii="Arial" w:hAnsi="Arial" w:eastAsia="黑体" w:cs="Times New Roman"/>
          <w:b/>
          <w:sz w:val="28"/>
        </w:rPr>
        <w:t>督查督办</w:t>
      </w:r>
    </w:p>
    <w:p>
      <w:pPr>
        <w:keepNext/>
        <w:keepLines/>
        <w:numPr>
          <w:ilvl w:val="4"/>
          <w:numId w:val="1"/>
        </w:numPr>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立项登记</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单立项登记：督查督办的督查名称、督查类型、任务来源、立项审核领导、督查周期、督办事项等内容。</w:t>
      </w:r>
    </w:p>
    <w:p>
      <w:pPr>
        <w:spacing w:after="120" w:line="360" w:lineRule="auto"/>
        <w:ind w:firstLine="480"/>
        <w:rPr>
          <w:rFonts w:ascii="Times New Roman" w:hAnsi="Times New Roman" w:eastAsia="宋体" w:cs="Times New Roman"/>
          <w:sz w:val="24"/>
        </w:rPr>
      </w:pPr>
      <w:r>
        <w:rPr>
          <w:rFonts w:hint="eastAsia" w:ascii="Times New Roman" w:hAnsi="Times New Roman" w:eastAsia="宋体" w:cs="Times New Roman"/>
          <w:sz w:val="24"/>
        </w:rPr>
        <w:t>批量督查登记：编辑督查督办，可通过批量上传功能批量上传多个立项登记</w:t>
      </w:r>
    </w:p>
    <w:p>
      <w:pPr>
        <w:spacing w:after="120" w:line="360" w:lineRule="auto"/>
        <w:ind w:firstLine="480"/>
        <w:rPr>
          <w:rFonts w:ascii="Times New Roman" w:hAnsi="Times New Roman" w:eastAsia="宋体" w:cs="Times New Roman"/>
          <w:sz w:val="24"/>
        </w:rPr>
      </w:pPr>
      <w:r>
        <w:rPr>
          <w:rFonts w:hint="eastAsia" w:ascii="Times New Roman" w:hAnsi="Times New Roman" w:eastAsia="宋体" w:cs="Times New Roman"/>
          <w:sz w:val="24"/>
        </w:rPr>
        <w:t>快速立项登记：快速建立督查事项。</w:t>
      </w:r>
    </w:p>
    <w:p>
      <w:pPr>
        <w:keepNext/>
        <w:keepLines/>
        <w:numPr>
          <w:ilvl w:val="4"/>
          <w:numId w:val="1"/>
        </w:numPr>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交办派发</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选择相应的承办处室、配合处室和分管领导后，可以通过系统进行交办派发，派发后系统将通过工作台提醒告知相关人员。</w:t>
      </w:r>
    </w:p>
    <w:p>
      <w:pPr>
        <w:keepNext/>
        <w:keepLines/>
        <w:numPr>
          <w:ilvl w:val="4"/>
          <w:numId w:val="1"/>
        </w:numPr>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确认项目</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相关处室、单位收到交办的督查督办提醒后进行确认，并指定相应的责任人进行办理。</w:t>
      </w:r>
    </w:p>
    <w:p>
      <w:pPr>
        <w:keepNext/>
        <w:keepLines/>
        <w:numPr>
          <w:ilvl w:val="4"/>
          <w:numId w:val="1"/>
        </w:numPr>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催办督办</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为及时了解督查事项的运行情况和办理情况，督办部门可采取发《催办单》《督办单》的形式，适时加以催办查办，系统记录催办/督办记录。</w:t>
      </w:r>
    </w:p>
    <w:p>
      <w:pPr>
        <w:keepNext/>
        <w:keepLines/>
        <w:numPr>
          <w:ilvl w:val="4"/>
          <w:numId w:val="1"/>
        </w:numPr>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反馈报告</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一项具体的督查督办任务完成后，要按照相应的时间节点，及时向相关处室领导及分管领导进行反馈。</w:t>
      </w:r>
    </w:p>
    <w:p>
      <w:pPr>
        <w:keepNext/>
        <w:keepLines/>
        <w:numPr>
          <w:ilvl w:val="4"/>
          <w:numId w:val="1"/>
        </w:numPr>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督查复核</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督查室对承办负责人的反馈情况进行检查，按照交办时所提的要求，对不符合交办要求的，要退回承办部门补办或重办，对符合要求的，呈报领导阅知。</w:t>
      </w:r>
    </w:p>
    <w:p>
      <w:pPr>
        <w:keepNext/>
        <w:keepLines/>
        <w:numPr>
          <w:ilvl w:val="4"/>
          <w:numId w:val="1"/>
        </w:numPr>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办结关闭</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督查督办事项办理完毕后，关闭督查事项，各部门及负责人不能再对事项进行编辑。</w:t>
      </w:r>
    </w:p>
    <w:p>
      <w:pPr>
        <w:keepNext/>
        <w:keepLines/>
        <w:numPr>
          <w:ilvl w:val="4"/>
          <w:numId w:val="1"/>
        </w:numPr>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特殊操作</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 xml:space="preserve">（1）撤销 </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派发部门如果发现派发错了或暂时不执行了，可以对督查事项进行撤消。</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（2）延期申请</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延时申请需要填写申请时间、申请事由、申请延至日期等信息，申请提交后由督查室请示领导审批。</w:t>
      </w:r>
    </w:p>
    <w:p>
      <w:pPr>
        <w:keepNext/>
        <w:keepLines/>
        <w:numPr>
          <w:ilvl w:val="4"/>
          <w:numId w:val="1"/>
        </w:numPr>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辅助工具</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（1）批量办理</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系统可对督查督办事项进行批量勾选，并对督查事项进行批量下载、批量删除、批量催办、批量提醒。</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（2）预警灯提醒</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在执行过程中，系统根据事项处理状态匹配相应状态等。</w:t>
      </w:r>
    </w:p>
    <w:p>
      <w:pPr>
        <w:spacing w:after="12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状态说明：督查事项灯总共分为四种颜色：灰色、绿色、橙色、红色。</w:t>
      </w:r>
    </w:p>
    <w:p>
      <w:pPr>
        <w:spacing w:after="12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灰色：代表督查事项未超期，且督查事项正在进行中；</w:t>
      </w:r>
    </w:p>
    <w:p>
      <w:pPr>
        <w:spacing w:after="12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绿色：代表督查事项未超期，且督查事项已完成；</w:t>
      </w:r>
    </w:p>
    <w:p>
      <w:pPr>
        <w:spacing w:after="12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橙色：代表督查事项已超期，且督查事项已完成；</w:t>
      </w:r>
    </w:p>
    <w:p>
      <w:pPr>
        <w:spacing w:after="12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红色：代表督查事项已超期，且督查事项未完成；</w:t>
      </w:r>
    </w:p>
    <w:p>
      <w:pPr>
        <w:numPr>
          <w:ilvl w:val="0"/>
          <w:numId w:val="14"/>
        </w:numPr>
        <w:spacing w:after="12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条件查询</w:t>
      </w:r>
    </w:p>
    <w:p>
      <w:pPr>
        <w:spacing w:after="12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全部督查，可根据单个条件查询，也可以根据组合条件查询，可展开、可收起、可重置。</w:t>
      </w:r>
    </w:p>
    <w:p>
      <w:pPr>
        <w:spacing w:after="12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条件内容包括：督查名称、督查编号、督查状态、督查类型、任务来源、督查事项、是否催办、是否延期、分管领导、责任处室、处室负责人、具体负责人、预警时间、督查周期、反馈周期、发起时间、办结时间</w:t>
      </w:r>
    </w:p>
    <w:p>
      <w:pPr>
        <w:numPr>
          <w:ilvl w:val="0"/>
          <w:numId w:val="14"/>
        </w:numPr>
        <w:spacing w:after="12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小功能设置</w:t>
      </w:r>
    </w:p>
    <w:p>
      <w:pPr>
        <w:spacing w:after="12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督查事项列表设置、列表根据字段增加减少；督查事项密度设置默认、中等、紧凑；每页显示10条、20条、50条以及100条设置。</w:t>
      </w:r>
    </w:p>
    <w:p>
      <w:pPr>
        <w:numPr>
          <w:ilvl w:val="0"/>
          <w:numId w:val="14"/>
        </w:numPr>
        <w:spacing w:after="12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导出督查</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可以根据督查内容，文件直接下载方式导出数据。</w:t>
      </w:r>
    </w:p>
    <w:p>
      <w:pPr>
        <w:keepNext/>
        <w:keepLines/>
        <w:numPr>
          <w:ilvl w:val="4"/>
          <w:numId w:val="1"/>
        </w:numPr>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手机APP端</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（1）系统登录</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通过钉钉手机端APP，于工作台快速登录进入督查督办系统。</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（2）消息提醒</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提交的信息，可同步网页端收到消息提醒。</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（3）事项反馈</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事项负责人登录系统后，在手机端直接进行事项反馈。</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（4）手机审核</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审批人登录系统后，在手机端直接进行审批操作。</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（5）事项查询</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在手机端输入条件，可以进行督办事项的查询与展现。</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（6）统计分析</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通过手机端，可以快速查看相关督查事项的数据统计。</w:t>
      </w:r>
    </w:p>
    <w:p>
      <w:pPr>
        <w:keepNext/>
        <w:keepLines/>
        <w:numPr>
          <w:ilvl w:val="3"/>
          <w:numId w:val="1"/>
        </w:numPr>
        <w:tabs>
          <w:tab w:val="left" w:pos="420"/>
        </w:tabs>
        <w:spacing w:before="120" w:after="120" w:line="372" w:lineRule="auto"/>
        <w:ind w:firstLine="1044"/>
        <w:outlineLvl w:val="3"/>
        <w:rPr>
          <w:rFonts w:ascii="Arial" w:hAnsi="Arial" w:eastAsia="黑体" w:cs="Times New Roman"/>
          <w:b/>
          <w:sz w:val="28"/>
        </w:rPr>
      </w:pPr>
      <w:r>
        <w:rPr>
          <w:rFonts w:hint="eastAsia" w:ascii="Arial" w:hAnsi="Arial" w:eastAsia="黑体" w:cs="Times New Roman"/>
          <w:b/>
          <w:sz w:val="28"/>
        </w:rPr>
        <w:t>考核评价</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处室考核</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考核实行百分制，分为平时考核、年终考核和年度加减分，平时考核70分，年终考核30分。</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1、平时考核。包括局领导评价10分，专项工作考核60分和加减分项。</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（1）领导评价10分。包括分管领导评价和局领导评价。</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分管领导评价5分，由分管领导根据处室工作完成情况、工作配合情况、沟通协调情况等进行评价。评价分为好、较好、一般、较差四种意见，分别按照100%、80%、60%、40%权重折算得分，其中“好”比例不超过30%。</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局领导评价5分，由局领导班子成员对所有处室的工作情况进行评价。评价分为好、较好、一般、较差四种意见，分别按照100%、80%、60%、40%权重折算得分，其中“好”比例不超过30%。</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（2）专项工作考核60分。</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共性指标。业务处室和其他综合处室共性考核党建工作（10分）、党风廉政建设（5分）、督查督办工作（12分）、依法行政工作（7分）、考勤和请销假工作（5分）、保密和国家安全工作（4分）、学习培训工作（5分）、财务管理工作（5分）、档案管理工作（2分）和政务信息工作（7分）。</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个性指标。业务处室个性考核统计分析工作（10分）和数据质量评估工作（10分）两项内容，总分按比例折算为60分。</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（3）加分项。加分上限3分，局党组层面表彰奖励加2分/次，其他层面表彰奖励加1分/次。</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（4）减分项。减分上限3分，工作（包括数据质量、分析观点内容等）出现重大失误扣2分/次，一类督查通报扣1.5分/次，二类督查通报扣1分/次，三类督查通报扣0.5分/次，其他通报批评扣1分/次。</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（5）考核得分。</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季度考核得分=领导评价得分+专项考核得分+加分项－减分项</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平时考核得分=（第一季度考核得分+第二季度考核得分+第三季度考核得分+第四季度考核得分）/4</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 xml:space="preserve">办公室于每月或每个季度前5个工作日内，汇总考核结果，进行通报。        </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2、年终考核。总分30分，包括“一述双评”考核结果10分和综合测评20分。</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（1）“一述双评”考核10分。每年年末，局内召开述职评议会，各处室对全年“党建+业务”工作进行述职，由参加述职大会的全体人员进行现场打分，根据现场打分折算分值。</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（2）综合测评20分。包括民主测评和基层评分两部分。</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民主测评14分，基层评分6分。</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3、加减分。</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（1）加分项。属同一内容不重复加分，取最高分，加分上限10分。</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获奖项目加分（上限8分）。创新项目加分（上限2分）。</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（2）减分项。属同一内容不重复减分，取最高分，减分上限10分。</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国家统计局业务考核和自治区党委、政府绩效考核中有未完成的工作或出现问题的，对相关处室局、事业单位每项扣2分；受到国家各部委、自治区党委政府通报批评的扣4分，自治区各委办厅局通报批评的扣3分。</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 xml:space="preserve"> 4、考核得分</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年度考核得分=平时考核得分+年终考核得分+年度加分项－年度减分项</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每年1月31日前，办公室根据考核得分进行排序，分业务处室和其他综合处室两组得出年度考核排名，报局党组研究决定。</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5.考核结果</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年度考核得分前6名的业务处室和前3名的其他综合处室被评为优秀集体。</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个人考核</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个人考核分为平时考核和年度考核，平时考核以月度为考核周期，年终考核以年度为考核周期。平时考核占70%，年终考核占30%。</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1、平时考核</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（1）量化评价（60分）</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干部职工每日填写《工作日志》，如实记录每日履行岗位职责情况，结合《工作日志》和个人履职情况，处室负责人对处内人员评分，分管领导对分管处室负责人评分，得分在54分及以上的人员不超过参评人员的40%，分数保留小数点后一位。</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评分内容包括：</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德（5分），能（20分），勤（10分），绩（20分），廉（5分）。</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（2）领导评价（40分）</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局领导对全体处室负责人进行评价，分管领导对分管处室全体人员（除处室负责人）进行评价，评价“A”等级人员不超过参加测评人数的40%。评价意见分为A(A+、A、A-)、B(B+、B、B-)、C(C+、C、C-)、D(D+、D、D-)4个等级12个等次，分别对应“好”、“较好”、“一般”和“较差”四个等次。</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（3）加分项，上限3分</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获得局党组层次表彰奖励加2分/次，局内其他层次表彰奖励和统计青年课题获奖及成果转化等加1分/次。</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干部职工所在处室为排名前6名的业务处室或排名前3名的其他综合处室，同时在领导评价环节被评价为A类的，每人加3分。</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（4）减分项，上限3分</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工作（包括数据质量、分析观点内容等）出现重大失误扣2/次，一类督查通报扣1.5/次，二类督查通报扣1/次，三类督查通报扣0.5/次，其他局内通报批评等扣1分/次。</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（5）考核得分</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考核得分=量化评价+领导评价+加分项－减分项</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（6）考核结果</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按照平时考核得分排序得出干部职工个人得分，90分以上评价为“好”等次，89-70分评价为“较好”等次，69-60分评价为“一般”等次，60分以下为“较差”等次。</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2、年终考核</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（1）民主测评（60分）</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各处室自行开展对所属干部职工（处室负责人除外）的民主测评，全体处室负责人内部开展处室负责人的民主测评。测评结果分为优秀、称职、基本称职、不称职四种意见，其中评价“优秀”意见的比例不超过参加测评人数的40%。评价得分=100分×（优秀票数×100%+称职票数×80%+一般称职票数×60%+不称职票数×40%）/投票总人数</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（2）综合评价（40分）</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平时考核中12个月领导评价的平均分，作为干部职工综合评价得分。</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3、加分项，上限5分</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获国家各部委、自治区党委或政府奖项加4分，获得自治区各部委办厅局、国家级领导小组奖励加3分。</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4、减分项，上限5分</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国家局考核业务考核和自治区党委、政府绩效考核中有未完成的工作或出现问题的，对相关人员每项扣2分；收到国家各部委和自治区党委政府通报批评的每项扣4分；自治区各委办厅局通报批评的扣3分。</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5、考核得分</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年度考核得分=平时考核得分+年终考核得分+加减分</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6、考核结果</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按照年度考核得分排序得出全体干部职工个人分数，提交局党组审议。</w:t>
      </w:r>
    </w:p>
    <w:p>
      <w:pPr>
        <w:keepNext/>
        <w:keepLines/>
        <w:numPr>
          <w:ilvl w:val="3"/>
          <w:numId w:val="1"/>
        </w:numPr>
        <w:tabs>
          <w:tab w:val="left" w:pos="420"/>
        </w:tabs>
        <w:spacing w:before="120" w:after="120" w:line="372" w:lineRule="auto"/>
        <w:ind w:firstLine="1044"/>
        <w:outlineLvl w:val="3"/>
        <w:rPr>
          <w:rFonts w:ascii="Arial" w:hAnsi="Arial" w:eastAsia="黑体" w:cs="Times New Roman"/>
          <w:b/>
          <w:sz w:val="28"/>
        </w:rPr>
      </w:pPr>
      <w:r>
        <w:rPr>
          <w:rFonts w:hint="eastAsia" w:ascii="Arial" w:hAnsi="Arial" w:eastAsia="黑体" w:cs="Times New Roman"/>
          <w:b/>
          <w:sz w:val="28"/>
        </w:rPr>
        <w:t>督查督办数据可视化</w:t>
      </w:r>
    </w:p>
    <w:p>
      <w:pPr>
        <w:spacing w:line="360" w:lineRule="auto"/>
        <w:ind w:firstLine="480" w:firstLineChars="200"/>
        <w:rPr>
          <w:rFonts w:ascii="Times New Roman" w:hAnsi="Times New Roman" w:eastAsia="宋体" w:cs="Times New Roman"/>
          <w:sz w:val="24"/>
          <w:szCs w:val="20"/>
        </w:rPr>
      </w:pPr>
      <w:bookmarkStart w:id="66" w:name="_Toc106368754"/>
      <w:r>
        <w:rPr>
          <w:rFonts w:hint="eastAsia" w:ascii="Times New Roman" w:hAnsi="Times New Roman" w:eastAsia="宋体" w:cs="Times New Roman"/>
          <w:sz w:val="24"/>
          <w:szCs w:val="20"/>
        </w:rPr>
        <w:t>与督查督办系统数据进行对接，对重点展示数据进行抽取，集合排列，进行展示，包含以下板块内容。</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事项统计</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展示统计督查督办事项数量，直观展示事项总体数量、办理中、已办结、办理为超时、办理超时、办结率、超时率等数据。</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督查类型</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以动态饼状图展示督查类型，包含重点、会议、指示批示、来文、常规工作、调研、考核、专项、其他等。</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处室、单位办理指数</w:t>
      </w:r>
    </w:p>
    <w:p>
      <w:pPr>
        <w:spacing w:after="12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通过柱状图和颜色形式展示区分处室，点击柱状图会显示详细信息其中包含（办理指数、办理量、办结率、提前办结、逾期以及催办情况）。</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处室、单位办理量及办结率</w:t>
      </w:r>
    </w:p>
    <w:p>
      <w:pPr>
        <w:spacing w:after="12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通过柱状办理率和折线图形式展示区分处室，点击图形显示部门的办理数量以及办结率。</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处室、单位督办事项逾期情况</w:t>
      </w:r>
    </w:p>
    <w:p>
      <w:pPr>
        <w:spacing w:after="12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通过柱状颜色区分逾期情况，通过系统按钮点击柱状图形显示逾期情况详细信息。</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逾期事项通报</w:t>
      </w:r>
    </w:p>
    <w:p>
      <w:pPr>
        <w:spacing w:after="12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未及时按时完成的部门，会通过逾期事项模块滚动式播报，会在逾期通报显示部门以及未按时完成的任务及具体内容。</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特殊功能键</w:t>
      </w:r>
    </w:p>
    <w:p>
      <w:pPr>
        <w:spacing w:after="12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进入平台按钮、超时预警按钮、督查统计按钮、全部月份下拉式选择按钮、全部处室以及考核切换按钮。</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超时预警</w:t>
      </w:r>
    </w:p>
    <w:p>
      <w:pPr>
        <w:spacing w:after="12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按照柱状图形式展示超时22个处室预警情况，显示1天内需要办结、3天需要办结、一周内需办结及1个月内需办结数量，并用颜色进行区分，点击每个处室柱状图会显示该部门需要多长时间办结、办结事项内容、办结时限和具体负责人。</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督查统计</w:t>
      </w:r>
    </w:p>
    <w:p>
      <w:pPr>
        <w:spacing w:after="12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22个处室的排名、承办、配合、办结、提前办结、办结率、逾期率催办以及办理指数的数据显示，通过颜色区分处室。</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月度结果</w:t>
      </w:r>
    </w:p>
    <w:p>
      <w:pPr>
        <w:spacing w:after="12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可以通过功能键选择全部月份也可以选择其中某一个月的月度情况，其中包括：月度事项统计、处室、单位办理指数，处室单位办理量及办结率，处室单位督办事项逾期情况，以及逾期事项通报等信息。</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处室分析</w:t>
      </w:r>
    </w:p>
    <w:p>
      <w:pPr>
        <w:spacing w:after="12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（1）事项统计、当月表现和累计表现通过优良差指针形式展示出来。</w:t>
      </w:r>
    </w:p>
    <w:p>
      <w:pPr>
        <w:spacing w:after="12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（2）事项的完成进度，超时预警情况和截至目前本处室事项办理情况。</w:t>
      </w:r>
    </w:p>
    <w:p>
      <w:pPr>
        <w:spacing w:after="12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（3）是否有逾期，催办和延期，通过图形显示次数并且通过点击图形显示具体内容。（逾期：显示事项内容、逾期时长；催办：显示催办内容；延期：事项内容、原时限和延期到的时限）。</w:t>
      </w:r>
    </w:p>
    <w:p>
      <w:pPr>
        <w:keepNext/>
        <w:keepLines/>
        <w:numPr>
          <w:ilvl w:val="3"/>
          <w:numId w:val="1"/>
        </w:numPr>
        <w:tabs>
          <w:tab w:val="left" w:pos="420"/>
        </w:tabs>
        <w:spacing w:before="120" w:after="120" w:line="372" w:lineRule="auto"/>
        <w:ind w:firstLine="1044"/>
        <w:outlineLvl w:val="3"/>
        <w:rPr>
          <w:rFonts w:ascii="Arial" w:hAnsi="Arial" w:eastAsia="黑体" w:cs="Times New Roman"/>
          <w:b/>
          <w:sz w:val="28"/>
        </w:rPr>
      </w:pPr>
      <w:r>
        <w:rPr>
          <w:rFonts w:hint="eastAsia" w:ascii="Arial" w:hAnsi="Arial" w:eastAsia="黑体" w:cs="Times New Roman"/>
          <w:b/>
          <w:sz w:val="28"/>
        </w:rPr>
        <w:t>考核数据可视化</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lang w:eastAsia="zh-Hans"/>
        </w:rPr>
        <w:t>与</w:t>
      </w:r>
      <w:r>
        <w:rPr>
          <w:rFonts w:hint="eastAsia" w:ascii="Times New Roman" w:hAnsi="Times New Roman" w:eastAsia="宋体" w:cs="Times New Roman"/>
          <w:sz w:val="24"/>
          <w:szCs w:val="20"/>
        </w:rPr>
        <w:t>考核</w:t>
      </w:r>
      <w:r>
        <w:rPr>
          <w:rFonts w:hint="eastAsia" w:ascii="Times New Roman" w:hAnsi="Times New Roman" w:eastAsia="宋体" w:cs="Times New Roman"/>
          <w:sz w:val="24"/>
          <w:szCs w:val="20"/>
          <w:lang w:eastAsia="zh-Hans"/>
        </w:rPr>
        <w:t>系统数据进行对接，对重点展示数据进行抽取，集合排列，进行展示。包含以下板块内容。</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考核介绍</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通过流程图形式清晰地展示每一项考核办法的分值以及考核内容直观地显示出考核标准流程。</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平时考核</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通过不同图形颜色的显示和分值直观清晰地区分每个指标占比多少，数值多少。</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年终考核</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通过不同图形颜色的显示和分值直观清晰地区分每个指标占比多少，数值多少。</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处室考核结果公示</w:t>
      </w:r>
    </w:p>
    <w:p>
      <w:pPr>
        <w:spacing w:after="12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A类处室和B类处室通过表格列表形式以及不同属性和颜色来区分部门的每一项考核分值以及总分。</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自动化轮播</w:t>
      </w:r>
    </w:p>
    <w:p>
      <w:pPr>
        <w:spacing w:after="12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可通过轮播按钮选择轮流显示，按不同时间的考核结果公示，月度、季度、年度考核结果显示。</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特殊功能键</w:t>
      </w:r>
    </w:p>
    <w:p>
      <w:pPr>
        <w:spacing w:after="12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通过按钮进入平台、考核介绍按钮、全部时间、全部处室、全部专项以及督查切换按钮。</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月度考核结果</w:t>
      </w:r>
    </w:p>
    <w:p>
      <w:pPr>
        <w:spacing w:after="12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通过功能键选择其中某一个月的考核结果，大屏会根据内容显示当月的处室得分情况，其中可以和其他功能键做交叉选择。</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季度考核结果</w:t>
      </w:r>
    </w:p>
    <w:p>
      <w:pPr>
        <w:spacing w:after="12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通过功能键选择其中某一个季度的考核结果，大屏会根据内容显示当季度的处室得分情况，其中可以和其他功能键做交叉选择。</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处室分析</w:t>
      </w:r>
    </w:p>
    <w:p>
      <w:pPr>
        <w:spacing w:after="12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通过功能键选择其中某一个处室的得分情况，可以组合某一个月份或者全部月份显示考核得分，通过点击得分分数可以统计分析扣分原因，显示每一项得分情况，同时通过柱状和饼状图分析工作短板和对每项工作的情况。</w:t>
      </w:r>
    </w:p>
    <w:p>
      <w:pPr>
        <w:keepNext/>
        <w:keepLines/>
        <w:numPr>
          <w:ilvl w:val="4"/>
          <w:numId w:val="1"/>
        </w:numPr>
        <w:tabs>
          <w:tab w:val="left" w:pos="420"/>
        </w:tabs>
        <w:spacing w:before="280" w:after="290" w:line="372" w:lineRule="auto"/>
        <w:ind w:firstLine="1044"/>
        <w:outlineLvl w:val="4"/>
        <w:rPr>
          <w:rFonts w:ascii="Times New Roman" w:hAnsi="Times New Roman" w:eastAsia="宋体" w:cs="Times New Roman"/>
          <w:b/>
          <w:sz w:val="28"/>
        </w:rPr>
      </w:pPr>
      <w:r>
        <w:rPr>
          <w:rFonts w:hint="eastAsia" w:ascii="Times New Roman" w:hAnsi="Times New Roman" w:eastAsia="宋体" w:cs="Times New Roman"/>
          <w:b/>
          <w:sz w:val="28"/>
        </w:rPr>
        <w:t>处室季度分析、月度分析</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通过功能按钮选择季度和处室进行交叉分析，通过表格形式显示季度得分。通过不同颜色的折线图区分月度。</w:t>
      </w:r>
    </w:p>
    <w:p>
      <w:pPr>
        <w:keepNext/>
        <w:keepLines/>
        <w:numPr>
          <w:ilvl w:val="2"/>
          <w:numId w:val="1"/>
        </w:numPr>
        <w:spacing w:line="413" w:lineRule="auto"/>
        <w:ind w:firstLine="1044"/>
        <w:outlineLvl w:val="2"/>
        <w:rPr>
          <w:rFonts w:ascii="Times New Roman" w:hAnsi="Times New Roman" w:eastAsia="宋体" w:cs="Times New Roman"/>
          <w:b/>
        </w:rPr>
      </w:pPr>
      <w:bookmarkStart w:id="67" w:name="_Toc8137"/>
      <w:bookmarkStart w:id="68" w:name="_Toc10810"/>
      <w:r>
        <w:rPr>
          <w:rFonts w:hint="eastAsia" w:ascii="Times New Roman" w:hAnsi="Times New Roman" w:eastAsia="宋体" w:cs="Times New Roman"/>
          <w:b/>
        </w:rPr>
        <w:t>统计“一张图”</w:t>
      </w:r>
      <w:bookmarkEnd w:id="66"/>
      <w:r>
        <w:rPr>
          <w:rFonts w:hint="eastAsia" w:ascii="Times New Roman" w:hAnsi="Times New Roman" w:eastAsia="宋体" w:cs="Times New Roman"/>
          <w:b/>
        </w:rPr>
        <w:t>业务应用</w:t>
      </w:r>
      <w:bookmarkEnd w:id="67"/>
      <w:bookmarkEnd w:id="68"/>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结合内蒙古统计局用户需求，基于统计“一张图”建设成果，对部分功能模块优化升级，并新增相关功能模块。</w:t>
      </w:r>
    </w:p>
    <w:p>
      <w:pPr>
        <w:keepNext/>
        <w:keepLines/>
        <w:numPr>
          <w:ilvl w:val="3"/>
          <w:numId w:val="1"/>
        </w:numPr>
        <w:tabs>
          <w:tab w:val="left" w:pos="420"/>
        </w:tabs>
        <w:spacing w:before="120" w:after="120" w:line="372" w:lineRule="auto"/>
        <w:ind w:firstLine="1044"/>
        <w:outlineLvl w:val="3"/>
        <w:rPr>
          <w:rFonts w:ascii="Arial" w:hAnsi="Arial" w:eastAsia="黑体" w:cs="Times New Roman"/>
          <w:b/>
          <w:sz w:val="28"/>
        </w:rPr>
      </w:pPr>
      <w:r>
        <w:rPr>
          <w:rFonts w:hint="eastAsia" w:ascii="Arial" w:hAnsi="Arial" w:eastAsia="黑体" w:cs="Times New Roman"/>
          <w:b/>
          <w:sz w:val="28"/>
        </w:rPr>
        <w:t>权限精细化控制</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对平台权限进行精细化控制，包含功能权限和数据权限。平台所有功能模块（包括功能模块子项）、数据表都能设置访问/使用权限。各级用户只能查看自己权限范围内的数据表及对应的功能模块，盟市级用户可以查看其他盟市的综合数据，但不能查看微观数据。</w:t>
      </w:r>
    </w:p>
    <w:p>
      <w:pPr>
        <w:keepNext/>
        <w:keepLines/>
        <w:numPr>
          <w:ilvl w:val="3"/>
          <w:numId w:val="1"/>
        </w:numPr>
        <w:tabs>
          <w:tab w:val="left" w:pos="420"/>
        </w:tabs>
        <w:spacing w:before="120" w:after="120" w:line="372" w:lineRule="auto"/>
        <w:ind w:firstLine="1044"/>
        <w:outlineLvl w:val="3"/>
        <w:rPr>
          <w:rFonts w:ascii="Arial" w:hAnsi="Arial" w:eastAsia="黑体" w:cs="Times New Roman"/>
          <w:b/>
          <w:sz w:val="28"/>
        </w:rPr>
      </w:pPr>
      <w:r>
        <w:rPr>
          <w:rFonts w:ascii="Arial" w:hAnsi="Arial" w:eastAsia="黑体" w:cs="Times New Roman"/>
          <w:b/>
          <w:sz w:val="28"/>
        </w:rPr>
        <w:t>一乡镇一台账</w:t>
      </w:r>
      <w:r>
        <w:rPr>
          <w:rFonts w:hint="eastAsia" w:ascii="Arial" w:hAnsi="Arial" w:eastAsia="黑体" w:cs="Times New Roman"/>
          <w:b/>
          <w:sz w:val="28"/>
        </w:rPr>
        <w:t>升级优化</w:t>
      </w:r>
    </w:p>
    <w:p>
      <w:pPr>
        <w:spacing w:line="360" w:lineRule="auto"/>
        <w:ind w:firstLine="480" w:firstLineChars="200"/>
        <w:rPr>
          <w:rFonts w:ascii="宋体" w:hAnsi="宋体" w:eastAsia="宋体" w:cs="Times New Roman"/>
          <w:sz w:val="24"/>
          <w:szCs w:val="20"/>
        </w:rPr>
      </w:pPr>
      <w:r>
        <w:rPr>
          <w:rFonts w:hint="eastAsia" w:ascii="宋体" w:hAnsi="宋体" w:eastAsia="宋体" w:cs="Times New Roman"/>
          <w:sz w:val="24"/>
          <w:szCs w:val="20"/>
        </w:rPr>
        <w:t>对统计“一张图”系统现有“</w:t>
      </w:r>
      <w:r>
        <w:rPr>
          <w:rFonts w:ascii="宋体" w:hAnsi="宋体" w:eastAsia="宋体" w:cs="Times New Roman"/>
          <w:sz w:val="24"/>
          <w:szCs w:val="20"/>
        </w:rPr>
        <w:t>一乡镇一台账</w:t>
      </w:r>
      <w:r>
        <w:rPr>
          <w:rFonts w:hint="eastAsia" w:ascii="宋体" w:hAnsi="宋体" w:eastAsia="宋体" w:cs="Times New Roman"/>
          <w:sz w:val="24"/>
          <w:szCs w:val="20"/>
        </w:rPr>
        <w:t>”模块</w:t>
      </w:r>
      <w:r>
        <w:rPr>
          <w:rFonts w:ascii="宋体" w:hAnsi="宋体" w:eastAsia="宋体" w:cs="Times New Roman"/>
          <w:sz w:val="24"/>
          <w:szCs w:val="20"/>
        </w:rPr>
        <w:t>升级、优化</w:t>
      </w:r>
      <w:r>
        <w:rPr>
          <w:rFonts w:hint="eastAsia" w:ascii="宋体" w:hAnsi="宋体" w:eastAsia="宋体" w:cs="Times New Roman"/>
          <w:sz w:val="24"/>
          <w:szCs w:val="20"/>
        </w:rPr>
        <w:t>。具体如下：</w:t>
      </w:r>
    </w:p>
    <w:p>
      <w:pPr>
        <w:spacing w:line="360" w:lineRule="auto"/>
        <w:ind w:left="480"/>
        <w:rPr>
          <w:rFonts w:ascii="宋体" w:hAnsi="宋体" w:eastAsia="宋体" w:cs="Times New Roman"/>
          <w:sz w:val="24"/>
          <w:szCs w:val="20"/>
        </w:rPr>
      </w:pPr>
      <w:r>
        <w:rPr>
          <w:rFonts w:ascii="宋体" w:hAnsi="宋体" w:eastAsia="宋体" w:cs="Times New Roman"/>
          <w:sz w:val="24"/>
          <w:szCs w:val="20"/>
        </w:rPr>
        <w:t>1</w:t>
      </w:r>
      <w:r>
        <w:rPr>
          <w:rFonts w:hint="eastAsia" w:ascii="宋体" w:hAnsi="宋体" w:eastAsia="宋体" w:cs="Times New Roman"/>
          <w:sz w:val="24"/>
          <w:szCs w:val="20"/>
        </w:rPr>
        <w:t>、</w:t>
      </w:r>
      <w:r>
        <w:rPr>
          <w:rFonts w:ascii="宋体" w:hAnsi="宋体" w:eastAsia="宋体" w:cs="Times New Roman"/>
          <w:sz w:val="24"/>
          <w:szCs w:val="20"/>
        </w:rPr>
        <w:t>在展示页面建立乡镇街道基本情况栏目。</w:t>
      </w:r>
    </w:p>
    <w:p>
      <w:pPr>
        <w:spacing w:line="360" w:lineRule="auto"/>
        <w:ind w:firstLine="480" w:firstLineChars="200"/>
        <w:rPr>
          <w:rFonts w:ascii="宋体" w:hAnsi="宋体" w:eastAsia="宋体" w:cs="Times New Roman"/>
          <w:sz w:val="24"/>
          <w:szCs w:val="20"/>
        </w:rPr>
      </w:pPr>
      <w:r>
        <w:rPr>
          <w:rFonts w:ascii="宋体" w:hAnsi="宋体" w:eastAsia="宋体" w:cs="Times New Roman"/>
          <w:sz w:val="24"/>
          <w:szCs w:val="20"/>
        </w:rPr>
        <w:t>2</w:t>
      </w:r>
      <w:r>
        <w:rPr>
          <w:rFonts w:hint="eastAsia" w:ascii="宋体" w:hAnsi="宋体" w:eastAsia="宋体" w:cs="Times New Roman"/>
          <w:sz w:val="24"/>
          <w:szCs w:val="20"/>
        </w:rPr>
        <w:t>、</w:t>
      </w:r>
      <w:r>
        <w:rPr>
          <w:rFonts w:ascii="宋体" w:hAnsi="宋体" w:eastAsia="宋体" w:cs="Times New Roman"/>
          <w:sz w:val="24"/>
          <w:szCs w:val="20"/>
        </w:rPr>
        <w:t>添加苏木</w:t>
      </w:r>
      <w:r>
        <w:rPr>
          <w:rFonts w:hint="eastAsia" w:ascii="宋体" w:hAnsi="宋体" w:eastAsia="宋体" w:cs="Times New Roman"/>
          <w:sz w:val="24"/>
          <w:szCs w:val="20"/>
        </w:rPr>
        <w:t>/</w:t>
      </w:r>
      <w:r>
        <w:rPr>
          <w:rFonts w:ascii="宋体" w:hAnsi="宋体" w:eastAsia="宋体" w:cs="Times New Roman"/>
          <w:sz w:val="24"/>
          <w:szCs w:val="20"/>
        </w:rPr>
        <w:t>乡镇街道调研检查情况</w:t>
      </w:r>
      <w:r>
        <w:rPr>
          <w:rFonts w:hint="eastAsia" w:ascii="宋体" w:hAnsi="宋体" w:eastAsia="宋体" w:cs="Times New Roman"/>
          <w:sz w:val="24"/>
          <w:szCs w:val="20"/>
        </w:rPr>
        <w:t>功能</w:t>
      </w:r>
      <w:r>
        <w:rPr>
          <w:rFonts w:ascii="宋体" w:hAnsi="宋体" w:eastAsia="宋体" w:cs="Times New Roman"/>
          <w:sz w:val="24"/>
          <w:szCs w:val="20"/>
        </w:rPr>
        <w:t>。</w:t>
      </w:r>
    </w:p>
    <w:p>
      <w:pPr>
        <w:spacing w:line="360" w:lineRule="auto"/>
        <w:ind w:firstLine="480" w:firstLineChars="200"/>
        <w:rPr>
          <w:rFonts w:ascii="宋体" w:hAnsi="宋体" w:eastAsia="宋体" w:cs="Times New Roman"/>
          <w:sz w:val="24"/>
          <w:szCs w:val="20"/>
        </w:rPr>
      </w:pPr>
      <w:r>
        <w:rPr>
          <w:rFonts w:ascii="宋体" w:hAnsi="宋体" w:eastAsia="宋体" w:cs="Times New Roman"/>
          <w:sz w:val="24"/>
          <w:szCs w:val="20"/>
        </w:rPr>
        <w:t>3</w:t>
      </w:r>
      <w:r>
        <w:rPr>
          <w:rFonts w:hint="eastAsia" w:ascii="宋体" w:hAnsi="宋体" w:eastAsia="宋体" w:cs="Times New Roman"/>
          <w:sz w:val="24"/>
          <w:szCs w:val="20"/>
        </w:rPr>
        <w:t>、</w:t>
      </w:r>
      <w:r>
        <w:rPr>
          <w:rFonts w:ascii="宋体" w:hAnsi="宋体" w:eastAsia="宋体" w:cs="Times New Roman"/>
          <w:sz w:val="24"/>
          <w:szCs w:val="20"/>
        </w:rPr>
        <w:t>添加嘎查</w:t>
      </w:r>
      <w:r>
        <w:rPr>
          <w:rFonts w:hint="eastAsia" w:ascii="宋体" w:hAnsi="宋体" w:eastAsia="宋体" w:cs="Times New Roman"/>
          <w:sz w:val="24"/>
          <w:szCs w:val="20"/>
        </w:rPr>
        <w:t>/</w:t>
      </w:r>
      <w:r>
        <w:rPr>
          <w:rFonts w:ascii="宋体" w:hAnsi="宋体" w:eastAsia="宋体" w:cs="Times New Roman"/>
          <w:sz w:val="24"/>
          <w:szCs w:val="20"/>
        </w:rPr>
        <w:t>村社区调研检查情况</w:t>
      </w:r>
      <w:r>
        <w:rPr>
          <w:rFonts w:hint="eastAsia" w:ascii="宋体" w:hAnsi="宋体" w:eastAsia="宋体" w:cs="Times New Roman"/>
          <w:sz w:val="24"/>
          <w:szCs w:val="20"/>
        </w:rPr>
        <w:t>功能</w:t>
      </w:r>
      <w:r>
        <w:rPr>
          <w:rFonts w:ascii="宋体" w:hAnsi="宋体" w:eastAsia="宋体" w:cs="Times New Roman"/>
          <w:sz w:val="24"/>
          <w:szCs w:val="20"/>
        </w:rPr>
        <w:t>。</w:t>
      </w:r>
    </w:p>
    <w:p>
      <w:pPr>
        <w:spacing w:line="360" w:lineRule="auto"/>
        <w:ind w:firstLine="480" w:firstLineChars="200"/>
        <w:rPr>
          <w:rFonts w:ascii="宋体" w:hAnsi="宋体" w:eastAsia="宋体" w:cs="Times New Roman"/>
          <w:sz w:val="24"/>
          <w:szCs w:val="20"/>
        </w:rPr>
      </w:pPr>
      <w:r>
        <w:rPr>
          <w:rFonts w:hint="eastAsia" w:ascii="宋体" w:hAnsi="宋体" w:eastAsia="宋体" w:cs="Times New Roman"/>
          <w:sz w:val="24"/>
          <w:szCs w:val="20"/>
        </w:rPr>
        <w:t>4、</w:t>
      </w:r>
      <w:r>
        <w:rPr>
          <w:rFonts w:ascii="宋体" w:hAnsi="宋体" w:eastAsia="宋体" w:cs="Times New Roman"/>
          <w:sz w:val="24"/>
          <w:szCs w:val="20"/>
        </w:rPr>
        <w:t>添加盟市、旗县统计局开网修改时间，建议为每月15日—20日。</w:t>
      </w:r>
    </w:p>
    <w:p>
      <w:pPr>
        <w:spacing w:line="360" w:lineRule="auto"/>
        <w:ind w:firstLine="480" w:firstLineChars="200"/>
        <w:rPr>
          <w:rFonts w:ascii="宋体" w:hAnsi="宋体" w:eastAsia="宋体" w:cs="Times New Roman"/>
          <w:sz w:val="24"/>
          <w:szCs w:val="20"/>
        </w:rPr>
      </w:pPr>
      <w:r>
        <w:rPr>
          <w:rFonts w:hint="eastAsia" w:ascii="宋体" w:hAnsi="宋体" w:eastAsia="宋体" w:cs="Times New Roman"/>
          <w:sz w:val="24"/>
          <w:szCs w:val="20"/>
        </w:rPr>
        <w:t>5、</w:t>
      </w:r>
      <w:r>
        <w:rPr>
          <w:rFonts w:ascii="宋体" w:hAnsi="宋体" w:eastAsia="宋体" w:cs="Times New Roman"/>
          <w:sz w:val="24"/>
          <w:szCs w:val="20"/>
        </w:rPr>
        <w:t>添加乡镇人员照片功能</w:t>
      </w:r>
      <w:r>
        <w:rPr>
          <w:rFonts w:hint="eastAsia" w:ascii="宋体" w:hAnsi="宋体" w:eastAsia="宋体" w:cs="Times New Roman"/>
          <w:sz w:val="24"/>
          <w:szCs w:val="20"/>
        </w:rPr>
        <w:t>，对</w:t>
      </w:r>
      <w:r>
        <w:rPr>
          <w:rFonts w:ascii="宋体" w:hAnsi="宋体" w:eastAsia="宋体" w:cs="Times New Roman"/>
          <w:sz w:val="24"/>
          <w:szCs w:val="20"/>
        </w:rPr>
        <w:t>身份证号码和联系方式进行隐藏。添加人员胸牌编码</w:t>
      </w:r>
      <w:r>
        <w:rPr>
          <w:rFonts w:hint="eastAsia" w:ascii="宋体" w:hAnsi="宋体" w:eastAsia="宋体" w:cs="Times New Roman"/>
          <w:sz w:val="24"/>
          <w:szCs w:val="20"/>
        </w:rPr>
        <w:t>信息</w:t>
      </w:r>
      <w:r>
        <w:rPr>
          <w:rFonts w:ascii="宋体" w:hAnsi="宋体" w:eastAsia="宋体" w:cs="Times New Roman"/>
          <w:sz w:val="24"/>
          <w:szCs w:val="20"/>
        </w:rPr>
        <w:t>，与统计微讯中企业乡镇人员信息库中的编码进行匹配，将编码过录进指定栏。</w:t>
      </w:r>
    </w:p>
    <w:p>
      <w:pPr>
        <w:spacing w:line="360" w:lineRule="auto"/>
        <w:ind w:firstLine="480" w:firstLineChars="200"/>
        <w:rPr>
          <w:rFonts w:ascii="宋体" w:hAnsi="宋体" w:eastAsia="宋体" w:cs="Times New Roman"/>
          <w:sz w:val="24"/>
          <w:szCs w:val="20"/>
        </w:rPr>
      </w:pPr>
      <w:r>
        <w:rPr>
          <w:rFonts w:ascii="宋体" w:hAnsi="宋体" w:eastAsia="宋体" w:cs="Times New Roman"/>
          <w:sz w:val="24"/>
          <w:szCs w:val="20"/>
        </w:rPr>
        <w:t>6</w:t>
      </w:r>
      <w:r>
        <w:rPr>
          <w:rFonts w:hint="eastAsia" w:ascii="宋体" w:hAnsi="宋体" w:eastAsia="宋体" w:cs="Times New Roman"/>
          <w:sz w:val="24"/>
          <w:szCs w:val="20"/>
        </w:rPr>
        <w:t>、</w:t>
      </w:r>
      <w:r>
        <w:rPr>
          <w:rFonts w:ascii="宋体" w:hAnsi="宋体" w:eastAsia="宋体" w:cs="Times New Roman"/>
          <w:sz w:val="24"/>
          <w:szCs w:val="20"/>
        </w:rPr>
        <w:t>添加村级报表电子化栏目。</w:t>
      </w:r>
    </w:p>
    <w:p>
      <w:pPr>
        <w:spacing w:line="360" w:lineRule="auto"/>
        <w:ind w:firstLine="480" w:firstLineChars="200"/>
        <w:rPr>
          <w:rFonts w:ascii="宋体" w:hAnsi="宋体" w:eastAsia="宋体" w:cs="Times New Roman"/>
          <w:sz w:val="24"/>
          <w:szCs w:val="20"/>
        </w:rPr>
      </w:pPr>
      <w:r>
        <w:rPr>
          <w:rFonts w:ascii="宋体" w:hAnsi="宋体" w:eastAsia="宋体" w:cs="Times New Roman"/>
          <w:sz w:val="24"/>
          <w:szCs w:val="20"/>
        </w:rPr>
        <w:t>7</w:t>
      </w:r>
      <w:r>
        <w:rPr>
          <w:rFonts w:hint="eastAsia" w:ascii="宋体" w:hAnsi="宋体" w:eastAsia="宋体" w:cs="Times New Roman"/>
          <w:sz w:val="24"/>
          <w:szCs w:val="20"/>
        </w:rPr>
        <w:t>、</w:t>
      </w:r>
      <w:r>
        <w:rPr>
          <w:rFonts w:ascii="宋体" w:hAnsi="宋体" w:eastAsia="宋体" w:cs="Times New Roman"/>
          <w:sz w:val="24"/>
          <w:szCs w:val="20"/>
        </w:rPr>
        <w:t>统计分析栏目中的汇总表</w:t>
      </w:r>
      <w:r>
        <w:rPr>
          <w:rFonts w:hint="eastAsia" w:ascii="宋体" w:hAnsi="宋体" w:eastAsia="宋体" w:cs="Times New Roman"/>
          <w:sz w:val="24"/>
          <w:szCs w:val="20"/>
        </w:rPr>
        <w:t>优化。</w:t>
      </w:r>
    </w:p>
    <w:p>
      <w:pPr>
        <w:spacing w:line="360" w:lineRule="auto"/>
        <w:ind w:firstLine="480" w:firstLineChars="200"/>
        <w:rPr>
          <w:rFonts w:ascii="Times New Roman" w:hAnsi="Times New Roman" w:eastAsia="宋体" w:cs="Times New Roman"/>
          <w:sz w:val="24"/>
          <w:szCs w:val="20"/>
        </w:rPr>
      </w:pPr>
      <w:r>
        <w:rPr>
          <w:rFonts w:hint="eastAsia" w:ascii="宋体" w:hAnsi="宋体" w:eastAsia="宋体" w:cs="Times New Roman"/>
          <w:sz w:val="24"/>
          <w:szCs w:val="20"/>
        </w:rPr>
        <w:t>8、</w:t>
      </w:r>
      <w:r>
        <w:rPr>
          <w:rFonts w:ascii="宋体" w:hAnsi="宋体" w:eastAsia="宋体" w:cs="Times New Roman"/>
          <w:sz w:val="24"/>
          <w:szCs w:val="20"/>
        </w:rPr>
        <w:t>优化显示界面</w:t>
      </w:r>
      <w:r>
        <w:rPr>
          <w:rFonts w:hint="eastAsia" w:ascii="宋体" w:hAnsi="宋体" w:eastAsia="宋体" w:cs="Times New Roman"/>
          <w:sz w:val="24"/>
          <w:szCs w:val="20"/>
        </w:rPr>
        <w:t>的样式</w:t>
      </w:r>
      <w:r>
        <w:rPr>
          <w:rFonts w:hint="eastAsia" w:ascii="Times New Roman" w:hAnsi="Times New Roman" w:eastAsia="宋体" w:cs="Times New Roman"/>
          <w:sz w:val="24"/>
          <w:szCs w:val="20"/>
        </w:rPr>
        <w:t>。</w:t>
      </w:r>
    </w:p>
    <w:p>
      <w:pPr>
        <w:keepNext/>
        <w:keepLines/>
        <w:numPr>
          <w:ilvl w:val="3"/>
          <w:numId w:val="1"/>
        </w:numPr>
        <w:tabs>
          <w:tab w:val="left" w:pos="420"/>
        </w:tabs>
        <w:spacing w:before="120" w:after="120" w:line="372" w:lineRule="auto"/>
        <w:ind w:firstLine="1044"/>
        <w:outlineLvl w:val="3"/>
        <w:rPr>
          <w:rFonts w:ascii="Arial" w:hAnsi="Arial" w:eastAsia="黑体" w:cs="Times New Roman"/>
          <w:b/>
          <w:sz w:val="28"/>
        </w:rPr>
      </w:pPr>
      <w:r>
        <w:rPr>
          <w:rFonts w:hint="eastAsia" w:ascii="Arial" w:hAnsi="Arial" w:eastAsia="黑体" w:cs="Times New Roman"/>
          <w:b/>
          <w:sz w:val="28"/>
        </w:rPr>
        <w:t>一企业一台账</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一企业一台账模块新增统计功能，统计“一企业一台账”里的企业台账属性，智能报表可以提取执法平台的相关数据进行统计、制作图表，制作的图表在执法专题前端进行展示。</w:t>
      </w:r>
    </w:p>
    <w:p>
      <w:pPr>
        <w:keepNext/>
        <w:keepLines/>
        <w:numPr>
          <w:ilvl w:val="3"/>
          <w:numId w:val="1"/>
        </w:numPr>
        <w:tabs>
          <w:tab w:val="left" w:pos="420"/>
        </w:tabs>
        <w:spacing w:before="120" w:after="120" w:line="372" w:lineRule="auto"/>
        <w:ind w:firstLine="1044"/>
        <w:outlineLvl w:val="3"/>
        <w:rPr>
          <w:rFonts w:ascii="Arial" w:hAnsi="Arial" w:eastAsia="黑体" w:cs="Times New Roman"/>
          <w:b/>
          <w:sz w:val="28"/>
        </w:rPr>
      </w:pPr>
      <w:r>
        <w:rPr>
          <w:rFonts w:hint="eastAsia" w:ascii="Arial" w:hAnsi="Arial" w:eastAsia="黑体" w:cs="Times New Roman"/>
          <w:b/>
          <w:sz w:val="28"/>
        </w:rPr>
        <w:t>一旗县一台账</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建设一旗县一台账功能，将旗县级统计工作规范化建设落实情况进行展示，对“五规范四提升”（规范统计工作管理、规范数据生产流程、规范统计培训教育、规范统计信息发布、规范统计资料管理、提升数据质量管控水平、提升统计法治建设水平、提升统计基层基础建设水平、提升统计信息技术支撑水平）27条建设标准的佐证材料进行清晰展示。</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将区直部门统计工作规范化建设落实情况进行展示，对“六规范五强化”（规范部门统计管理、规范统计调查设计、规范调查项目核准、规范统计调查活动、规范统计业务培训、规范数据公布内容、强化部门数据共享、强化名录信息维护、强化统计法治建设、强化质量评估验收、强化信息技术支撑）21条建设标准的佐证材料进行清晰展示。</w:t>
      </w:r>
    </w:p>
    <w:bookmarkEnd w:id="40"/>
    <w:bookmarkEnd w:id="63"/>
    <w:bookmarkEnd w:id="64"/>
    <w:bookmarkEnd w:id="65"/>
    <w:p>
      <w:pPr>
        <w:keepNext/>
        <w:keepLines/>
        <w:numPr>
          <w:ilvl w:val="1"/>
          <w:numId w:val="1"/>
        </w:numPr>
        <w:spacing w:before="260" w:after="260" w:line="413" w:lineRule="auto"/>
        <w:ind w:left="575" w:hanging="575"/>
        <w:outlineLvl w:val="1"/>
        <w:rPr>
          <w:rFonts w:ascii="Arial" w:hAnsi="Arial" w:eastAsia="黑体" w:cs="Times New Roman"/>
          <w:b/>
        </w:rPr>
      </w:pPr>
      <w:bookmarkStart w:id="69" w:name="_Toc25688"/>
      <w:bookmarkStart w:id="70" w:name="_Toc27711"/>
      <w:r>
        <w:rPr>
          <w:rFonts w:hint="eastAsia" w:ascii="Arial" w:hAnsi="Arial" w:eastAsia="黑体" w:cs="Times New Roman"/>
          <w:b/>
        </w:rPr>
        <w:t>数据处理和存储系统设计</w:t>
      </w:r>
      <w:bookmarkEnd w:id="41"/>
      <w:bookmarkEnd w:id="69"/>
      <w:bookmarkEnd w:id="70"/>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本项目充分利用政务云建设成果，将基于政务云的云计算资源和存储资源进行数据处理和存储系统建设。</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通过采用成熟的数据库技术、元数据技术和数据存储技术，建立数据处理和存储系统，满足海量数据的存储管理要求；整合系统资源，在统计局已有系统基础上充分利旧，避免或减少重复建设，降低数据管理成本；整合数据资源，保证数据的完整性和一致性；通过安全机制及数据备份，保证数据的安全性。</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按照数据组织结构的不同可分为结构化数据和非结构化数据；按照数据生命周期的角度数据可归于：数据采集区、数据存储区、数据管理区和数据服务区几个数据分区。通过对本项目总体建设内容的深入分析和理解，对本项目数据库总体数据架构设计如下图所示：</w:t>
      </w:r>
    </w:p>
    <w:p>
      <w:pPr>
        <w:widowControl/>
        <w:tabs>
          <w:tab w:val="left" w:pos="0"/>
          <w:tab w:val="left" w:pos="851"/>
        </w:tabs>
        <w:spacing w:line="360" w:lineRule="auto"/>
        <w:ind w:firstLine="480" w:firstLineChars="200"/>
        <w:jc w:val="left"/>
        <w:rPr>
          <w:rFonts w:ascii="仿宋_GB2312" w:hAnsi="宋体" w:cs="宋体"/>
          <w:kern w:val="0"/>
          <w:sz w:val="28"/>
          <w:szCs w:val="28"/>
        </w:rPr>
      </w:pPr>
      <w:r>
        <w:rPr>
          <w:rFonts w:ascii="宋体" w:hAnsi="宋体" w:eastAsia="宋体" w:cs="宋体"/>
          <w:kern w:val="0"/>
          <w:sz w:val="24"/>
        </w:rPr>
        <w:drawing>
          <wp:inline distT="0" distB="0" distL="0" distR="0">
            <wp:extent cx="4857750" cy="27717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t="18227"/>
                    <a:stretch>
                      <a:fillRect/>
                    </a:stretch>
                  </pic:blipFill>
                  <pic:spPr>
                    <a:xfrm>
                      <a:off x="0" y="0"/>
                      <a:ext cx="4857750" cy="2771775"/>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本系统数据库体系结构主要由数据采集区、数据存储区、数据管理区、数据服务区等组成。</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1、数据采集区</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主要包括：访问授权、数据收集、数据处理、数据存储、数据交换…</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2、数据存储区</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主要包括：基础数据库、业务数据库、业务管理库、分析数据库、系统管理库。</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3、数据管理区</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主要包括：数据权限管理、数据更新、元数据管理、数据备份、数据监控。</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4、数据服务区</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主要包括：数据综合查询、数据分类共享、数据跟踪反馈、统计分析服务。</w:t>
      </w:r>
    </w:p>
    <w:p>
      <w:pPr>
        <w:keepNext/>
        <w:keepLines/>
        <w:numPr>
          <w:ilvl w:val="1"/>
          <w:numId w:val="1"/>
        </w:numPr>
        <w:spacing w:before="260" w:after="260" w:line="413" w:lineRule="auto"/>
        <w:ind w:left="575" w:hanging="575"/>
        <w:outlineLvl w:val="1"/>
        <w:rPr>
          <w:rFonts w:ascii="Arial" w:hAnsi="Arial" w:eastAsia="黑体" w:cs="Times New Roman"/>
          <w:b/>
        </w:rPr>
      </w:pPr>
      <w:bookmarkStart w:id="71" w:name="_Toc4679"/>
      <w:r>
        <w:rPr>
          <w:rFonts w:hint="eastAsia" w:ascii="Arial" w:hAnsi="Arial" w:eastAsia="黑体" w:cs="Times New Roman"/>
          <w:b/>
        </w:rPr>
        <w:t>终端系统及接口设计</w:t>
      </w:r>
      <w:bookmarkEnd w:id="2"/>
      <w:bookmarkEnd w:id="3"/>
      <w:bookmarkEnd w:id="71"/>
    </w:p>
    <w:p>
      <w:pPr>
        <w:keepNext/>
        <w:keepLines/>
        <w:numPr>
          <w:ilvl w:val="2"/>
          <w:numId w:val="1"/>
        </w:numPr>
        <w:spacing w:line="413" w:lineRule="auto"/>
        <w:ind w:firstLine="480"/>
        <w:outlineLvl w:val="2"/>
        <w:rPr>
          <w:rFonts w:ascii="Times New Roman" w:hAnsi="Times New Roman" w:eastAsia="宋体" w:cs="Times New Roman"/>
          <w:b/>
        </w:rPr>
      </w:pPr>
      <w:bookmarkStart w:id="72" w:name="_Toc25366"/>
      <w:bookmarkStart w:id="73" w:name="_Toc23259"/>
      <w:r>
        <w:rPr>
          <w:rFonts w:hint="eastAsia" w:ascii="Times New Roman" w:hAnsi="Times New Roman" w:eastAsia="宋体" w:cs="Times New Roman"/>
          <w:b/>
        </w:rPr>
        <w:t>终端系统设计</w:t>
      </w:r>
      <w:bookmarkEnd w:id="72"/>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本系统将构建PC端、移动终端应用。</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其中PC端应用主要包括指标管理系统、报表管理系统、在线演示、执法检查、园区专题、督考一体化等系统，为统计局专业业务工作精细化、便捷化、智能可视化提供更可靠的技术支撑，实现内蒙古统计数字化、智能化的推广应用，提升统计局各专业处室的工作效率，全面提升统计信息化工作和服务水平。</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移动终端应用则主要用于运行统计数字化平台移动端应用、</w:t>
      </w:r>
      <w:r>
        <w:rPr>
          <w:rFonts w:hint="eastAsia" w:ascii="Times New Roman" w:hAnsi="Times New Roman" w:eastAsia="宋体" w:cs="Times New Roman"/>
          <w:sz w:val="24"/>
          <w:szCs w:val="20"/>
        </w:rPr>
        <w:t>督考一体化平台手机APP端</w:t>
      </w:r>
      <w:r>
        <w:rPr>
          <w:rFonts w:hint="eastAsia" w:ascii="宋体" w:hAnsi="宋体" w:eastAsia="宋体" w:cs="Times New Roman"/>
          <w:sz w:val="24"/>
        </w:rPr>
        <w:t>，为统计业务工作人员和领导提供便捷的信息获取渠道。</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相关系统的设计参见5.4、5.5章节内容。</w:t>
      </w:r>
    </w:p>
    <w:p>
      <w:pPr>
        <w:keepNext/>
        <w:keepLines/>
        <w:numPr>
          <w:ilvl w:val="2"/>
          <w:numId w:val="1"/>
        </w:numPr>
        <w:spacing w:line="413" w:lineRule="auto"/>
        <w:ind w:firstLine="1044"/>
        <w:outlineLvl w:val="2"/>
        <w:rPr>
          <w:rFonts w:ascii="Times New Roman" w:hAnsi="Times New Roman" w:eastAsia="宋体" w:cs="Times New Roman"/>
          <w:b/>
          <w:szCs w:val="20"/>
        </w:rPr>
      </w:pPr>
      <w:bookmarkStart w:id="74" w:name="_Toc21091"/>
      <w:r>
        <w:rPr>
          <w:rFonts w:hint="eastAsia" w:ascii="Times New Roman" w:hAnsi="Times New Roman" w:eastAsia="宋体" w:cs="Times New Roman"/>
          <w:b/>
          <w:szCs w:val="20"/>
        </w:rPr>
        <w:t>系统接口设计</w:t>
      </w:r>
      <w:bookmarkEnd w:id="74"/>
    </w:p>
    <w:p>
      <w:pPr>
        <w:keepNext/>
        <w:keepLines/>
        <w:numPr>
          <w:ilvl w:val="3"/>
          <w:numId w:val="1"/>
        </w:numPr>
        <w:tabs>
          <w:tab w:val="left" w:pos="420"/>
        </w:tabs>
        <w:spacing w:before="120" w:after="120" w:line="372" w:lineRule="auto"/>
        <w:ind w:firstLine="1044"/>
        <w:outlineLvl w:val="3"/>
        <w:rPr>
          <w:rFonts w:ascii="Arial" w:hAnsi="Arial" w:eastAsia="黑体" w:cs="Times New Roman"/>
          <w:b/>
          <w:sz w:val="28"/>
          <w:szCs w:val="20"/>
        </w:rPr>
      </w:pPr>
      <w:r>
        <w:rPr>
          <w:rFonts w:hint="eastAsia" w:ascii="Arial" w:hAnsi="Arial" w:eastAsia="黑体" w:cs="Times New Roman"/>
          <w:b/>
          <w:sz w:val="28"/>
          <w:szCs w:val="20"/>
        </w:rPr>
        <w:t>接口设计原则</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接口设计总体上遵循高内聚、低耦合、精分解的设计原则，尽量减少耦合度、降低操作复杂度、保证实现的通用性、提高系统的重用性和扩展性，具体原则如下：</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（1）所有接口设计需遵循《GB/T 28167-2011 信息技术XML元数据交换（XMI）》、《GB/T 18793 信息技术 可扩展置标语言（XML）1.0》等接口规范；</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（2）技术上考虑SOA的组件化设计思想，实现系统间的松散耦合；</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（3）以XML格式数据为主要的数据传输载体；</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（4）充分考虑接口所涉及的各个系统的应用扩展情况，能灵活的支撑需求变化；</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（5）保证接口数据在接口所涉及的各个系统间的一致性；</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（6）在数据交互过程中，应具有传送和接收后的确认过程；</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（7）使用简单、快捷，通用性好，可靠性高。</w:t>
      </w:r>
    </w:p>
    <w:p>
      <w:pPr>
        <w:keepNext/>
        <w:keepLines/>
        <w:numPr>
          <w:ilvl w:val="3"/>
          <w:numId w:val="1"/>
        </w:numPr>
        <w:tabs>
          <w:tab w:val="left" w:pos="420"/>
        </w:tabs>
        <w:spacing w:before="120" w:after="120" w:line="372" w:lineRule="auto"/>
        <w:ind w:firstLine="1044"/>
        <w:outlineLvl w:val="3"/>
        <w:rPr>
          <w:rFonts w:ascii="Arial" w:hAnsi="Arial" w:eastAsia="黑体" w:cs="Times New Roman"/>
          <w:b/>
          <w:sz w:val="28"/>
          <w:szCs w:val="20"/>
        </w:rPr>
      </w:pPr>
      <w:r>
        <w:rPr>
          <w:rFonts w:hint="eastAsia" w:ascii="Arial" w:hAnsi="Arial" w:eastAsia="黑体" w:cs="Times New Roman"/>
          <w:b/>
          <w:sz w:val="28"/>
          <w:szCs w:val="20"/>
        </w:rPr>
        <w:t>接口实现方式</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通过对本系统的统一接口与原系统、其他单位等系统共享数据分析，主要提供以下接口形式：</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（1）REST接口</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REST 描述了 HTTP 层里客户端和服务器端的数据交互规则；客户端通过向服务器端发送 HTTP（s）请求，接收服务器的响应，完成一次 HTTP 交互。这个交互过程中，REST 架构约定两个重要方面就是 HTTP 请求所采用的方法，以及请求的链接。</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（2）数据库间数据抽取</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适应于批量基于数据库的数据交换，通常用于定时批量、异步交换。</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（3）文件目录</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可以通过文件目录的形式访问专题文件、图片、视频、电子文档等非结构化数据。</w:t>
      </w:r>
    </w:p>
    <w:p>
      <w:pPr>
        <w:keepNext/>
        <w:keepLines/>
        <w:numPr>
          <w:ilvl w:val="3"/>
          <w:numId w:val="1"/>
        </w:numPr>
        <w:tabs>
          <w:tab w:val="left" w:pos="420"/>
        </w:tabs>
        <w:spacing w:before="120" w:after="120" w:line="372" w:lineRule="auto"/>
        <w:ind w:firstLine="1044"/>
        <w:outlineLvl w:val="3"/>
        <w:rPr>
          <w:rFonts w:ascii="Arial" w:hAnsi="Arial" w:eastAsia="黑体" w:cs="Times New Roman"/>
          <w:b/>
          <w:sz w:val="28"/>
          <w:szCs w:val="20"/>
        </w:rPr>
      </w:pPr>
      <w:r>
        <w:rPr>
          <w:rFonts w:hint="eastAsia" w:ascii="Arial" w:hAnsi="Arial" w:eastAsia="黑体" w:cs="Times New Roman"/>
          <w:b/>
          <w:sz w:val="28"/>
          <w:szCs w:val="20"/>
        </w:rPr>
        <w:t>数据交换接口管理</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本期项目数据共享交换接口包含经济、文化、教育、卫生、建设、工业、交通等相关统计数据的共享交换接口，以实现向</w:t>
      </w:r>
      <w:r>
        <w:rPr>
          <w:rFonts w:hint="eastAsia" w:ascii="Times New Roman" w:hAnsi="Times New Roman" w:eastAsia="宋体" w:cs="Times New Roman"/>
          <w:sz w:val="24"/>
          <w:szCs w:val="20"/>
        </w:rPr>
        <w:t>税务、发改、民政</w:t>
      </w:r>
      <w:r>
        <w:rPr>
          <w:rFonts w:hint="eastAsia" w:ascii="宋体" w:hAnsi="宋体" w:eastAsia="宋体" w:cs="Times New Roman"/>
          <w:sz w:val="24"/>
        </w:rPr>
        <w:t>等外部单位进行数据共享交换。</w:t>
      </w:r>
    </w:p>
    <w:p>
      <w:pPr>
        <w:keepNext/>
        <w:keepLines/>
        <w:numPr>
          <w:ilvl w:val="1"/>
          <w:numId w:val="1"/>
        </w:numPr>
        <w:spacing w:before="260" w:after="260" w:line="413" w:lineRule="auto"/>
        <w:ind w:left="575" w:hanging="575"/>
        <w:outlineLvl w:val="1"/>
        <w:rPr>
          <w:rFonts w:ascii="Arial" w:hAnsi="Arial" w:eastAsia="黑体" w:cs="Times New Roman"/>
          <w:b/>
        </w:rPr>
      </w:pPr>
      <w:bookmarkStart w:id="75" w:name="_Toc8194"/>
      <w:bookmarkStart w:id="76" w:name="_Toc14857"/>
      <w:r>
        <w:rPr>
          <w:rFonts w:hint="eastAsia" w:ascii="Arial" w:hAnsi="Arial" w:eastAsia="黑体" w:cs="Times New Roman"/>
          <w:b/>
        </w:rPr>
        <w:t>网络系统设计</w:t>
      </w:r>
      <w:bookmarkEnd w:id="73"/>
      <w:bookmarkEnd w:id="75"/>
      <w:bookmarkEnd w:id="76"/>
    </w:p>
    <w:p>
      <w:pPr>
        <w:spacing w:line="360" w:lineRule="auto"/>
        <w:ind w:firstLine="480" w:firstLineChars="200"/>
        <w:rPr>
          <w:rFonts w:ascii="Times New Roman" w:hAnsi="Times New Roman" w:eastAsia="宋体" w:cs="Times New Roman"/>
          <w:sz w:val="24"/>
          <w:szCs w:val="20"/>
        </w:rPr>
      </w:pPr>
      <w:bookmarkStart w:id="77" w:name="_Toc15140"/>
      <w:r>
        <w:rPr>
          <w:rFonts w:hint="eastAsia" w:ascii="Times New Roman" w:hAnsi="Times New Roman" w:eastAsia="宋体" w:cs="Times New Roman"/>
          <w:sz w:val="24"/>
          <w:szCs w:val="20"/>
        </w:rPr>
        <w:t>本项目建设整体将</w:t>
      </w:r>
      <w:r>
        <w:rPr>
          <w:rFonts w:ascii="Times New Roman" w:hAnsi="Times New Roman" w:eastAsia="宋体" w:cs="Times New Roman"/>
          <w:sz w:val="24"/>
          <w:szCs w:val="20"/>
        </w:rPr>
        <w:t>利用</w:t>
      </w:r>
      <w:r>
        <w:rPr>
          <w:rFonts w:hint="eastAsia" w:ascii="Times New Roman" w:hAnsi="Times New Roman" w:eastAsia="宋体" w:cs="Times New Roman"/>
          <w:sz w:val="24"/>
          <w:szCs w:val="20"/>
        </w:rPr>
        <w:t>自治区电子政务云</w:t>
      </w:r>
      <w:r>
        <w:rPr>
          <w:rFonts w:ascii="Times New Roman" w:hAnsi="Times New Roman" w:eastAsia="宋体" w:cs="Times New Roman"/>
          <w:sz w:val="24"/>
          <w:szCs w:val="20"/>
        </w:rPr>
        <w:t>进行部署</w:t>
      </w:r>
      <w:r>
        <w:rPr>
          <w:rFonts w:hint="eastAsia" w:ascii="Times New Roman" w:hAnsi="Times New Roman" w:eastAsia="宋体" w:cs="Times New Roman"/>
          <w:sz w:val="24"/>
          <w:szCs w:val="20"/>
        </w:rPr>
        <w:t>，由大数据中心采用虚拟化方式向本项目提供计算、存储、网络等资源。各类业务</w:t>
      </w:r>
      <w:r>
        <w:rPr>
          <w:rFonts w:ascii="Times New Roman" w:hAnsi="Times New Roman" w:eastAsia="宋体" w:cs="Times New Roman"/>
          <w:sz w:val="24"/>
          <w:szCs w:val="20"/>
        </w:rPr>
        <w:t>系统部署于政务外网</w:t>
      </w:r>
      <w:r>
        <w:rPr>
          <w:rFonts w:hint="eastAsia" w:ascii="宋体" w:hAnsi="宋体" w:eastAsia="宋体" w:cs="Times New Roman"/>
          <w:sz w:val="24"/>
        </w:rPr>
        <w:t>应用服务区域，</w:t>
      </w:r>
      <w:r>
        <w:rPr>
          <w:rFonts w:hint="eastAsia" w:ascii="Times New Roman" w:hAnsi="Times New Roman" w:eastAsia="宋体" w:cs="Times New Roman"/>
          <w:sz w:val="24"/>
          <w:szCs w:val="20"/>
        </w:rPr>
        <w:t>此区域用来承载各厅局的内部业务系统或办公系统，与互联网隔离不允许访问外网。内蒙古自治区统计局现有统计“一张图”</w:t>
      </w:r>
      <w:r>
        <w:rPr>
          <w:rFonts w:ascii="Times New Roman" w:hAnsi="Times New Roman" w:eastAsia="宋体" w:cs="Times New Roman"/>
          <w:sz w:val="24"/>
          <w:szCs w:val="20"/>
        </w:rPr>
        <w:t>系统部署于</w:t>
      </w:r>
      <w:r>
        <w:rPr>
          <w:rFonts w:hint="eastAsia" w:ascii="Times New Roman" w:hAnsi="Times New Roman" w:eastAsia="宋体" w:cs="Times New Roman"/>
          <w:sz w:val="24"/>
          <w:szCs w:val="20"/>
        </w:rPr>
        <w:t>统计局自有机房核心</w:t>
      </w:r>
      <w:r>
        <w:rPr>
          <w:rFonts w:ascii="Times New Roman" w:hAnsi="Times New Roman" w:eastAsia="宋体" w:cs="Times New Roman"/>
          <w:sz w:val="24"/>
          <w:szCs w:val="20"/>
        </w:rPr>
        <w:t>业务区</w:t>
      </w:r>
      <w:r>
        <w:rPr>
          <w:rFonts w:hint="eastAsia" w:ascii="Times New Roman" w:hAnsi="Times New Roman" w:eastAsia="宋体" w:cs="Times New Roman"/>
          <w:sz w:val="24"/>
          <w:szCs w:val="20"/>
        </w:rPr>
        <w:t>，</w:t>
      </w:r>
      <w:r>
        <w:rPr>
          <w:rFonts w:ascii="Times New Roman" w:hAnsi="Times New Roman" w:eastAsia="宋体" w:cs="Times New Roman"/>
          <w:sz w:val="24"/>
          <w:szCs w:val="20"/>
        </w:rPr>
        <w:t>电子政务外网和</w:t>
      </w:r>
      <w:r>
        <w:rPr>
          <w:rFonts w:hint="eastAsia" w:ascii="Times New Roman" w:hAnsi="Times New Roman" w:eastAsia="宋体" w:cs="Times New Roman"/>
          <w:sz w:val="24"/>
          <w:szCs w:val="20"/>
        </w:rPr>
        <w:t>统计专网</w:t>
      </w:r>
      <w:r>
        <w:rPr>
          <w:rFonts w:ascii="Times New Roman" w:hAnsi="Times New Roman" w:eastAsia="宋体" w:cs="Times New Roman"/>
          <w:sz w:val="24"/>
          <w:szCs w:val="20"/>
        </w:rPr>
        <w:t>之间采用网闸方式进行数据交换</w:t>
      </w:r>
      <w:r>
        <w:rPr>
          <w:rFonts w:hint="eastAsia" w:ascii="Times New Roman" w:hAnsi="Times New Roman" w:eastAsia="宋体" w:cs="Times New Roman"/>
          <w:sz w:val="24"/>
          <w:szCs w:val="20"/>
        </w:rPr>
        <w:t>和数据同步</w:t>
      </w:r>
      <w:r>
        <w:rPr>
          <w:rFonts w:ascii="Times New Roman" w:hAnsi="Times New Roman" w:eastAsia="宋体" w:cs="Times New Roman"/>
          <w:sz w:val="24"/>
          <w:szCs w:val="20"/>
        </w:rPr>
        <w:t>，以确保电子政务外网数据的安全可靠。</w:t>
      </w:r>
      <w:r>
        <w:rPr>
          <w:rFonts w:hint="eastAsia" w:ascii="Times New Roman" w:hAnsi="Times New Roman" w:eastAsia="宋体" w:cs="Times New Roman"/>
          <w:sz w:val="24"/>
          <w:szCs w:val="20"/>
        </w:rPr>
        <w:t>政府侧用户通过电子政务外网访问，统计业务人员通过统计专网访问。</w:t>
      </w:r>
      <w:r>
        <w:rPr>
          <w:rFonts w:ascii="Times New Roman" w:hAnsi="Times New Roman" w:eastAsia="宋体" w:cs="Times New Roman"/>
          <w:sz w:val="24"/>
          <w:szCs w:val="20"/>
        </w:rPr>
        <w:t>如下</w:t>
      </w:r>
      <w:r>
        <w:rPr>
          <w:rFonts w:hint="eastAsia" w:ascii="Times New Roman" w:hAnsi="Times New Roman" w:eastAsia="宋体" w:cs="Times New Roman"/>
          <w:sz w:val="24"/>
          <w:szCs w:val="20"/>
        </w:rPr>
        <w:t>图</w:t>
      </w:r>
      <w:r>
        <w:rPr>
          <w:rFonts w:ascii="Times New Roman" w:hAnsi="Times New Roman" w:eastAsia="宋体" w:cs="Times New Roman"/>
          <w:sz w:val="24"/>
          <w:szCs w:val="20"/>
        </w:rPr>
        <w:t>所示：</w:t>
      </w:r>
    </w:p>
    <w:p>
      <w:pPr>
        <w:spacing w:after="120" w:line="360" w:lineRule="auto"/>
        <w:ind w:left="480" w:hanging="480" w:hangingChars="200"/>
        <w:rPr>
          <w:rFonts w:ascii="Times New Roman" w:hAnsi="Times New Roman" w:eastAsia="宋体" w:cs="Times New Roman"/>
          <w:sz w:val="24"/>
        </w:rPr>
      </w:pPr>
      <w:r>
        <w:rPr>
          <w:rFonts w:hint="eastAsia" w:ascii="Times New Roman" w:hAnsi="Times New Roman" w:eastAsia="宋体" w:cs="Times New Roman"/>
          <w:sz w:val="24"/>
        </w:rPr>
        <w:object>
          <v:shape id="_x0000_i1025" o:spt="75" type="#_x0000_t75" style="height:267.75pt;width:414.75pt;" o:ole="t" filled="f" o:preferrelative="t" stroked="f" coordsize="21600,21600">
            <v:path/>
            <v:fill on="f" focussize="0,0"/>
            <v:stroke on="f" joinstyle="miter"/>
            <v:imagedata r:id="rId8" o:title=""/>
            <o:lock v:ext="edit" aspectratio="f"/>
            <w10:wrap type="none"/>
            <w10:anchorlock/>
          </v:shape>
          <o:OLEObject Type="Embed" ProgID="Visio.Drawing.15" ShapeID="_x0000_i1025" DrawAspect="Content" ObjectID="_1468075725" r:id="rId7">
            <o:LockedField>false</o:LockedField>
          </o:OLEObject>
        </w:object>
      </w:r>
    </w:p>
    <w:p>
      <w:pPr>
        <w:keepNext/>
        <w:keepLines/>
        <w:numPr>
          <w:ilvl w:val="1"/>
          <w:numId w:val="1"/>
        </w:numPr>
        <w:spacing w:before="260" w:after="260" w:line="413" w:lineRule="auto"/>
        <w:ind w:left="575" w:hanging="575"/>
        <w:outlineLvl w:val="1"/>
        <w:rPr>
          <w:rFonts w:ascii="Arial" w:hAnsi="Arial" w:eastAsia="黑体" w:cs="Times New Roman"/>
          <w:b/>
        </w:rPr>
      </w:pPr>
      <w:bookmarkStart w:id="78" w:name="_Toc20592"/>
      <w:bookmarkStart w:id="79" w:name="_Toc25217"/>
      <w:r>
        <w:rPr>
          <w:rFonts w:hint="eastAsia" w:ascii="Arial" w:hAnsi="Arial" w:eastAsia="黑体" w:cs="Times New Roman"/>
          <w:b/>
        </w:rPr>
        <w:t>安全系统设计</w:t>
      </w:r>
      <w:bookmarkEnd w:id="77"/>
      <w:bookmarkEnd w:id="78"/>
      <w:bookmarkEnd w:id="79"/>
    </w:p>
    <w:p>
      <w:pPr>
        <w:keepNext/>
        <w:keepLines/>
        <w:numPr>
          <w:ilvl w:val="2"/>
          <w:numId w:val="1"/>
        </w:numPr>
        <w:spacing w:line="413" w:lineRule="auto"/>
        <w:ind w:firstLine="1044"/>
        <w:outlineLvl w:val="2"/>
        <w:rPr>
          <w:rFonts w:ascii="Times New Roman" w:hAnsi="Times New Roman" w:eastAsia="宋体" w:cs="Times New Roman"/>
          <w:b/>
        </w:rPr>
      </w:pPr>
      <w:bookmarkStart w:id="80" w:name="_Toc4088082"/>
      <w:bookmarkStart w:id="81" w:name="_Toc24351"/>
      <w:bookmarkStart w:id="82" w:name="_Toc533799469"/>
      <w:bookmarkStart w:id="83" w:name="_Toc17796"/>
      <w:bookmarkStart w:id="84" w:name="_Toc519242015"/>
      <w:bookmarkStart w:id="85" w:name="_Toc15650"/>
      <w:bookmarkStart w:id="86" w:name="_Toc6851208"/>
      <w:bookmarkStart w:id="87" w:name="_Toc517188054"/>
      <w:bookmarkStart w:id="88" w:name="_Toc2335"/>
      <w:r>
        <w:rPr>
          <w:rFonts w:ascii="Times New Roman" w:hAnsi="Times New Roman" w:eastAsia="宋体" w:cs="Times New Roman"/>
          <w:b/>
        </w:rPr>
        <w:t>等保定级</w:t>
      </w:r>
      <w:bookmarkEnd w:id="80"/>
      <w:bookmarkEnd w:id="81"/>
      <w:bookmarkEnd w:id="82"/>
      <w:bookmarkEnd w:id="83"/>
      <w:bookmarkEnd w:id="84"/>
      <w:bookmarkEnd w:id="85"/>
      <w:bookmarkEnd w:id="86"/>
      <w:bookmarkEnd w:id="87"/>
    </w:p>
    <w:p>
      <w:pPr>
        <w:adjustRightInd w:val="0"/>
        <w:snapToGrid w:val="0"/>
        <w:spacing w:line="360" w:lineRule="auto"/>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安全保障系统旨在保障平台自身安全可靠的运行，应遵守国家信息安全等级保护相关规定，结合系统架构和业务特点，在技术和管理两方面对系统实施安全保护，确保信息传输、交换、存储和处理等安全。</w:t>
      </w:r>
    </w:p>
    <w:p>
      <w:pPr>
        <w:adjustRightInd w:val="0"/>
        <w:snapToGrid w:val="0"/>
        <w:spacing w:line="360" w:lineRule="auto"/>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根据《信息安全技术网络信息安全等级保护基本要求》，按照信息和信息系统遭到破坏或泄露后对国家安全、社会秩序、公共利益以及公民、法人和其他组织的合法权益的危害程度来进行定级，由低到高划分为五级，如下表所示。</w:t>
      </w:r>
    </w:p>
    <w:tbl>
      <w:tblPr>
        <w:tblStyle w:val="2"/>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905"/>
        <w:gridCol w:w="1306"/>
        <w:gridCol w:w="1306"/>
        <w:gridCol w:w="1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3905" w:type="dxa"/>
            <w:vMerge w:val="restart"/>
            <w:shd w:val="clear" w:color="auto" w:fill="BFBFBF"/>
            <w:tcMar>
              <w:top w:w="77" w:type="dxa"/>
              <w:left w:w="154" w:type="dxa"/>
              <w:bottom w:w="77" w:type="dxa"/>
              <w:right w:w="154" w:type="dxa"/>
            </w:tcMar>
            <w:vAlign w:val="center"/>
          </w:tcPr>
          <w:p>
            <w:pPr>
              <w:kinsoku w:val="0"/>
              <w:overflowPunct w:val="0"/>
              <w:autoSpaceDE w:val="0"/>
              <w:autoSpaceDN w:val="0"/>
              <w:adjustRightInd w:val="0"/>
              <w:snapToGrid w:val="0"/>
              <w:rPr>
                <w:rFonts w:ascii="Times New Roman" w:hAnsi="Times New Roman" w:eastAsia="宋体" w:cs="Times New Roman"/>
                <w:sz w:val="21"/>
                <w:szCs w:val="20"/>
              </w:rPr>
            </w:pPr>
            <w:r>
              <w:rPr>
                <w:rFonts w:ascii="Times New Roman" w:hAnsi="Times New Roman" w:eastAsia="宋体" w:cs="Times New Roman"/>
                <w:sz w:val="21"/>
                <w:szCs w:val="20"/>
              </w:rPr>
              <w:t>受侵害的客体</w:t>
            </w:r>
          </w:p>
        </w:tc>
        <w:tc>
          <w:tcPr>
            <w:tcW w:w="4391" w:type="dxa"/>
            <w:gridSpan w:val="3"/>
            <w:shd w:val="clear" w:color="auto" w:fill="BFBFBF"/>
            <w:tcMar>
              <w:top w:w="77" w:type="dxa"/>
              <w:left w:w="154" w:type="dxa"/>
              <w:bottom w:w="77" w:type="dxa"/>
              <w:right w:w="154" w:type="dxa"/>
            </w:tcMar>
            <w:vAlign w:val="center"/>
          </w:tcPr>
          <w:p>
            <w:pPr>
              <w:kinsoku w:val="0"/>
              <w:overflowPunct w:val="0"/>
              <w:autoSpaceDE w:val="0"/>
              <w:autoSpaceDN w:val="0"/>
              <w:adjustRightInd w:val="0"/>
              <w:snapToGrid w:val="0"/>
              <w:rPr>
                <w:rFonts w:ascii="Times New Roman" w:hAnsi="Times New Roman" w:eastAsia="宋体" w:cs="Times New Roman"/>
                <w:sz w:val="21"/>
                <w:szCs w:val="20"/>
              </w:rPr>
            </w:pPr>
            <w:r>
              <w:rPr>
                <w:rFonts w:ascii="Times New Roman" w:hAnsi="Times New Roman" w:eastAsia="宋体" w:cs="Times New Roman"/>
                <w:sz w:val="21"/>
                <w:szCs w:val="20"/>
              </w:rPr>
              <w:t>对客体的侵害程度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3905" w:type="dxa"/>
            <w:vMerge w:val="continue"/>
            <w:shd w:val="clear" w:color="auto" w:fill="BFBFBF"/>
            <w:vAlign w:val="center"/>
          </w:tcPr>
          <w:p>
            <w:pPr>
              <w:kinsoku w:val="0"/>
              <w:overflowPunct w:val="0"/>
              <w:autoSpaceDE w:val="0"/>
              <w:autoSpaceDN w:val="0"/>
              <w:adjustRightInd w:val="0"/>
              <w:snapToGrid w:val="0"/>
              <w:rPr>
                <w:rFonts w:ascii="Times New Roman" w:hAnsi="Times New Roman" w:eastAsia="宋体" w:cs="Times New Roman"/>
                <w:sz w:val="21"/>
                <w:szCs w:val="20"/>
              </w:rPr>
            </w:pPr>
          </w:p>
        </w:tc>
        <w:tc>
          <w:tcPr>
            <w:tcW w:w="1306" w:type="dxa"/>
            <w:shd w:val="clear" w:color="auto" w:fill="BFBFBF"/>
            <w:tcMar>
              <w:top w:w="77" w:type="dxa"/>
              <w:left w:w="154" w:type="dxa"/>
              <w:bottom w:w="77" w:type="dxa"/>
              <w:right w:w="154" w:type="dxa"/>
            </w:tcMar>
            <w:vAlign w:val="center"/>
          </w:tcPr>
          <w:p>
            <w:pPr>
              <w:kinsoku w:val="0"/>
              <w:overflowPunct w:val="0"/>
              <w:autoSpaceDE w:val="0"/>
              <w:autoSpaceDN w:val="0"/>
              <w:adjustRightInd w:val="0"/>
              <w:snapToGrid w:val="0"/>
              <w:rPr>
                <w:rFonts w:ascii="Times New Roman" w:hAnsi="Times New Roman" w:eastAsia="宋体" w:cs="Times New Roman"/>
                <w:sz w:val="21"/>
                <w:szCs w:val="20"/>
              </w:rPr>
            </w:pPr>
            <w:r>
              <w:rPr>
                <w:rFonts w:ascii="Times New Roman" w:hAnsi="Times New Roman" w:eastAsia="宋体" w:cs="Times New Roman"/>
                <w:sz w:val="21"/>
                <w:szCs w:val="20"/>
              </w:rPr>
              <w:t>一般损害</w:t>
            </w:r>
          </w:p>
        </w:tc>
        <w:tc>
          <w:tcPr>
            <w:tcW w:w="1306" w:type="dxa"/>
            <w:shd w:val="clear" w:color="auto" w:fill="BFBFBF"/>
            <w:tcMar>
              <w:top w:w="77" w:type="dxa"/>
              <w:left w:w="154" w:type="dxa"/>
              <w:bottom w:w="77" w:type="dxa"/>
              <w:right w:w="154" w:type="dxa"/>
            </w:tcMar>
            <w:vAlign w:val="center"/>
          </w:tcPr>
          <w:p>
            <w:pPr>
              <w:kinsoku w:val="0"/>
              <w:overflowPunct w:val="0"/>
              <w:autoSpaceDE w:val="0"/>
              <w:autoSpaceDN w:val="0"/>
              <w:adjustRightInd w:val="0"/>
              <w:snapToGrid w:val="0"/>
              <w:rPr>
                <w:rFonts w:ascii="Times New Roman" w:hAnsi="Times New Roman" w:eastAsia="宋体" w:cs="Times New Roman"/>
                <w:sz w:val="21"/>
                <w:szCs w:val="20"/>
              </w:rPr>
            </w:pPr>
            <w:r>
              <w:rPr>
                <w:rFonts w:ascii="Times New Roman" w:hAnsi="Times New Roman" w:eastAsia="宋体" w:cs="Times New Roman"/>
                <w:sz w:val="21"/>
                <w:szCs w:val="20"/>
              </w:rPr>
              <w:t>严重损害</w:t>
            </w:r>
          </w:p>
        </w:tc>
        <w:tc>
          <w:tcPr>
            <w:tcW w:w="1779" w:type="dxa"/>
            <w:shd w:val="clear" w:color="auto" w:fill="BFBFBF"/>
            <w:tcMar>
              <w:top w:w="77" w:type="dxa"/>
              <w:left w:w="154" w:type="dxa"/>
              <w:bottom w:w="77" w:type="dxa"/>
              <w:right w:w="154" w:type="dxa"/>
            </w:tcMar>
            <w:vAlign w:val="center"/>
          </w:tcPr>
          <w:p>
            <w:pPr>
              <w:kinsoku w:val="0"/>
              <w:overflowPunct w:val="0"/>
              <w:autoSpaceDE w:val="0"/>
              <w:autoSpaceDN w:val="0"/>
              <w:adjustRightInd w:val="0"/>
              <w:snapToGrid w:val="0"/>
              <w:rPr>
                <w:rFonts w:ascii="Times New Roman" w:hAnsi="Times New Roman" w:eastAsia="宋体" w:cs="Times New Roman"/>
                <w:sz w:val="21"/>
                <w:szCs w:val="20"/>
              </w:rPr>
            </w:pPr>
            <w:r>
              <w:rPr>
                <w:rFonts w:ascii="Times New Roman" w:hAnsi="Times New Roman" w:eastAsia="宋体" w:cs="Times New Roman"/>
                <w:sz w:val="21"/>
                <w:szCs w:val="20"/>
              </w:rPr>
              <w:t>特别严重损害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3905" w:type="dxa"/>
            <w:shd w:val="clear" w:color="auto" w:fill="auto"/>
            <w:tcMar>
              <w:top w:w="77" w:type="dxa"/>
              <w:left w:w="154" w:type="dxa"/>
              <w:bottom w:w="77" w:type="dxa"/>
              <w:right w:w="154" w:type="dxa"/>
            </w:tcMar>
            <w:vAlign w:val="center"/>
          </w:tcPr>
          <w:p>
            <w:pPr>
              <w:kinsoku w:val="0"/>
              <w:overflowPunct w:val="0"/>
              <w:autoSpaceDE w:val="0"/>
              <w:autoSpaceDN w:val="0"/>
              <w:adjustRightInd w:val="0"/>
              <w:snapToGrid w:val="0"/>
              <w:rPr>
                <w:rFonts w:ascii="Times New Roman" w:hAnsi="Times New Roman" w:eastAsia="宋体" w:cs="Times New Roman"/>
                <w:sz w:val="21"/>
                <w:szCs w:val="20"/>
              </w:rPr>
            </w:pPr>
            <w:r>
              <w:rPr>
                <w:rFonts w:ascii="Times New Roman" w:hAnsi="Times New Roman" w:eastAsia="宋体" w:cs="Times New Roman"/>
                <w:sz w:val="21"/>
                <w:szCs w:val="20"/>
              </w:rPr>
              <w:t>公民、法人和其他组织的合法权益</w:t>
            </w:r>
          </w:p>
        </w:tc>
        <w:tc>
          <w:tcPr>
            <w:tcW w:w="1306" w:type="dxa"/>
            <w:shd w:val="clear" w:color="auto" w:fill="auto"/>
            <w:tcMar>
              <w:top w:w="77" w:type="dxa"/>
              <w:left w:w="154" w:type="dxa"/>
              <w:bottom w:w="77" w:type="dxa"/>
              <w:right w:w="154" w:type="dxa"/>
            </w:tcMar>
            <w:vAlign w:val="center"/>
          </w:tcPr>
          <w:p>
            <w:pPr>
              <w:kinsoku w:val="0"/>
              <w:overflowPunct w:val="0"/>
              <w:autoSpaceDE w:val="0"/>
              <w:autoSpaceDN w:val="0"/>
              <w:adjustRightInd w:val="0"/>
              <w:snapToGrid w:val="0"/>
              <w:rPr>
                <w:rFonts w:ascii="Times New Roman" w:hAnsi="Times New Roman" w:eastAsia="宋体" w:cs="Times New Roman"/>
                <w:sz w:val="21"/>
                <w:szCs w:val="20"/>
              </w:rPr>
            </w:pPr>
            <w:r>
              <w:rPr>
                <w:rFonts w:ascii="Times New Roman" w:hAnsi="Times New Roman" w:eastAsia="宋体" w:cs="Times New Roman"/>
                <w:sz w:val="21"/>
                <w:szCs w:val="20"/>
              </w:rPr>
              <w:t>第一级</w:t>
            </w:r>
          </w:p>
        </w:tc>
        <w:tc>
          <w:tcPr>
            <w:tcW w:w="1306" w:type="dxa"/>
            <w:shd w:val="clear" w:color="auto" w:fill="auto"/>
            <w:tcMar>
              <w:top w:w="77" w:type="dxa"/>
              <w:left w:w="154" w:type="dxa"/>
              <w:bottom w:w="77" w:type="dxa"/>
              <w:right w:w="154" w:type="dxa"/>
            </w:tcMar>
            <w:vAlign w:val="center"/>
          </w:tcPr>
          <w:p>
            <w:pPr>
              <w:kinsoku w:val="0"/>
              <w:overflowPunct w:val="0"/>
              <w:autoSpaceDE w:val="0"/>
              <w:autoSpaceDN w:val="0"/>
              <w:adjustRightInd w:val="0"/>
              <w:snapToGrid w:val="0"/>
              <w:rPr>
                <w:rFonts w:ascii="Times New Roman" w:hAnsi="Times New Roman" w:eastAsia="宋体" w:cs="Times New Roman"/>
                <w:sz w:val="21"/>
                <w:szCs w:val="20"/>
              </w:rPr>
            </w:pPr>
            <w:r>
              <w:rPr>
                <w:rFonts w:ascii="Times New Roman" w:hAnsi="Times New Roman" w:eastAsia="宋体" w:cs="Times New Roman"/>
                <w:sz w:val="21"/>
                <w:szCs w:val="20"/>
              </w:rPr>
              <w:t>第二级</w:t>
            </w:r>
          </w:p>
        </w:tc>
        <w:tc>
          <w:tcPr>
            <w:tcW w:w="1779" w:type="dxa"/>
            <w:shd w:val="clear" w:color="auto" w:fill="auto"/>
            <w:tcMar>
              <w:top w:w="77" w:type="dxa"/>
              <w:left w:w="154" w:type="dxa"/>
              <w:bottom w:w="77" w:type="dxa"/>
              <w:right w:w="154" w:type="dxa"/>
            </w:tcMar>
            <w:vAlign w:val="center"/>
          </w:tcPr>
          <w:p>
            <w:pPr>
              <w:kinsoku w:val="0"/>
              <w:overflowPunct w:val="0"/>
              <w:autoSpaceDE w:val="0"/>
              <w:autoSpaceDN w:val="0"/>
              <w:adjustRightInd w:val="0"/>
              <w:snapToGrid w:val="0"/>
              <w:rPr>
                <w:rFonts w:ascii="Times New Roman" w:hAnsi="Times New Roman" w:eastAsia="宋体" w:cs="Times New Roman"/>
                <w:sz w:val="21"/>
                <w:szCs w:val="20"/>
              </w:rPr>
            </w:pPr>
            <w:r>
              <w:rPr>
                <w:rFonts w:ascii="Times New Roman" w:hAnsi="Times New Roman" w:eastAsia="宋体" w:cs="Times New Roman"/>
                <w:sz w:val="21"/>
                <w:szCs w:val="20"/>
              </w:rPr>
              <w:t>第二级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3905" w:type="dxa"/>
            <w:shd w:val="clear" w:color="auto" w:fill="auto"/>
            <w:tcMar>
              <w:top w:w="77" w:type="dxa"/>
              <w:left w:w="154" w:type="dxa"/>
              <w:bottom w:w="77" w:type="dxa"/>
              <w:right w:w="154" w:type="dxa"/>
            </w:tcMar>
            <w:vAlign w:val="center"/>
          </w:tcPr>
          <w:p>
            <w:pPr>
              <w:kinsoku w:val="0"/>
              <w:overflowPunct w:val="0"/>
              <w:autoSpaceDE w:val="0"/>
              <w:autoSpaceDN w:val="0"/>
              <w:adjustRightInd w:val="0"/>
              <w:snapToGrid w:val="0"/>
              <w:rPr>
                <w:rFonts w:ascii="Times New Roman" w:hAnsi="Times New Roman" w:eastAsia="宋体" w:cs="Times New Roman"/>
                <w:sz w:val="21"/>
                <w:szCs w:val="20"/>
              </w:rPr>
            </w:pPr>
            <w:r>
              <w:rPr>
                <w:rFonts w:ascii="Times New Roman" w:hAnsi="Times New Roman" w:eastAsia="宋体" w:cs="Times New Roman"/>
                <w:sz w:val="21"/>
                <w:szCs w:val="20"/>
              </w:rPr>
              <w:t>社会秩序、公共利益</w:t>
            </w:r>
          </w:p>
        </w:tc>
        <w:tc>
          <w:tcPr>
            <w:tcW w:w="1306" w:type="dxa"/>
            <w:shd w:val="clear" w:color="auto" w:fill="auto"/>
            <w:tcMar>
              <w:top w:w="77" w:type="dxa"/>
              <w:left w:w="154" w:type="dxa"/>
              <w:bottom w:w="77" w:type="dxa"/>
              <w:right w:w="154" w:type="dxa"/>
            </w:tcMar>
            <w:vAlign w:val="center"/>
          </w:tcPr>
          <w:p>
            <w:pPr>
              <w:kinsoku w:val="0"/>
              <w:overflowPunct w:val="0"/>
              <w:autoSpaceDE w:val="0"/>
              <w:autoSpaceDN w:val="0"/>
              <w:adjustRightInd w:val="0"/>
              <w:snapToGrid w:val="0"/>
              <w:rPr>
                <w:rFonts w:ascii="Times New Roman" w:hAnsi="Times New Roman" w:eastAsia="宋体" w:cs="Times New Roman"/>
                <w:sz w:val="21"/>
                <w:szCs w:val="20"/>
              </w:rPr>
            </w:pPr>
            <w:r>
              <w:rPr>
                <w:rFonts w:ascii="Times New Roman" w:hAnsi="Times New Roman" w:eastAsia="宋体" w:cs="Times New Roman"/>
                <w:sz w:val="21"/>
                <w:szCs w:val="20"/>
              </w:rPr>
              <w:t>第二级</w:t>
            </w:r>
          </w:p>
        </w:tc>
        <w:tc>
          <w:tcPr>
            <w:tcW w:w="1306" w:type="dxa"/>
            <w:shd w:val="clear" w:color="auto" w:fill="auto"/>
            <w:tcMar>
              <w:top w:w="77" w:type="dxa"/>
              <w:left w:w="154" w:type="dxa"/>
              <w:bottom w:w="77" w:type="dxa"/>
              <w:right w:w="154" w:type="dxa"/>
            </w:tcMar>
            <w:vAlign w:val="center"/>
          </w:tcPr>
          <w:p>
            <w:pPr>
              <w:kinsoku w:val="0"/>
              <w:overflowPunct w:val="0"/>
              <w:autoSpaceDE w:val="0"/>
              <w:autoSpaceDN w:val="0"/>
              <w:adjustRightInd w:val="0"/>
              <w:snapToGrid w:val="0"/>
              <w:rPr>
                <w:rFonts w:ascii="Times New Roman" w:hAnsi="Times New Roman" w:eastAsia="宋体" w:cs="Times New Roman"/>
                <w:sz w:val="21"/>
                <w:szCs w:val="20"/>
              </w:rPr>
            </w:pPr>
            <w:r>
              <w:rPr>
                <w:rFonts w:ascii="Times New Roman" w:hAnsi="Times New Roman" w:eastAsia="宋体" w:cs="Times New Roman"/>
                <w:sz w:val="21"/>
                <w:szCs w:val="20"/>
              </w:rPr>
              <w:t>第三级</w:t>
            </w:r>
          </w:p>
        </w:tc>
        <w:tc>
          <w:tcPr>
            <w:tcW w:w="1779" w:type="dxa"/>
            <w:shd w:val="clear" w:color="auto" w:fill="auto"/>
            <w:tcMar>
              <w:top w:w="77" w:type="dxa"/>
              <w:left w:w="154" w:type="dxa"/>
              <w:bottom w:w="77" w:type="dxa"/>
              <w:right w:w="154" w:type="dxa"/>
            </w:tcMar>
            <w:vAlign w:val="center"/>
          </w:tcPr>
          <w:p>
            <w:pPr>
              <w:kinsoku w:val="0"/>
              <w:overflowPunct w:val="0"/>
              <w:autoSpaceDE w:val="0"/>
              <w:autoSpaceDN w:val="0"/>
              <w:adjustRightInd w:val="0"/>
              <w:snapToGrid w:val="0"/>
              <w:rPr>
                <w:rFonts w:ascii="Times New Roman" w:hAnsi="Times New Roman" w:eastAsia="宋体" w:cs="Times New Roman"/>
                <w:sz w:val="21"/>
                <w:szCs w:val="20"/>
              </w:rPr>
            </w:pPr>
            <w:r>
              <w:rPr>
                <w:rFonts w:ascii="Times New Roman" w:hAnsi="Times New Roman" w:eastAsia="宋体" w:cs="Times New Roman"/>
                <w:sz w:val="21"/>
                <w:szCs w:val="20"/>
              </w:rPr>
              <w:t>第四级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3905" w:type="dxa"/>
            <w:shd w:val="clear" w:color="auto" w:fill="auto"/>
            <w:tcMar>
              <w:top w:w="77" w:type="dxa"/>
              <w:left w:w="154" w:type="dxa"/>
              <w:bottom w:w="77" w:type="dxa"/>
              <w:right w:w="154" w:type="dxa"/>
            </w:tcMar>
            <w:vAlign w:val="center"/>
          </w:tcPr>
          <w:p>
            <w:pPr>
              <w:kinsoku w:val="0"/>
              <w:overflowPunct w:val="0"/>
              <w:autoSpaceDE w:val="0"/>
              <w:autoSpaceDN w:val="0"/>
              <w:adjustRightInd w:val="0"/>
              <w:snapToGrid w:val="0"/>
              <w:rPr>
                <w:rFonts w:ascii="Times New Roman" w:hAnsi="Times New Roman" w:eastAsia="宋体" w:cs="Times New Roman"/>
                <w:sz w:val="21"/>
                <w:szCs w:val="20"/>
              </w:rPr>
            </w:pPr>
            <w:r>
              <w:rPr>
                <w:rFonts w:ascii="Times New Roman" w:hAnsi="Times New Roman" w:eastAsia="宋体" w:cs="Times New Roman"/>
                <w:sz w:val="21"/>
                <w:szCs w:val="20"/>
              </w:rPr>
              <w:t>国家安全</w:t>
            </w:r>
          </w:p>
        </w:tc>
        <w:tc>
          <w:tcPr>
            <w:tcW w:w="1306" w:type="dxa"/>
            <w:shd w:val="clear" w:color="auto" w:fill="auto"/>
            <w:tcMar>
              <w:top w:w="77" w:type="dxa"/>
              <w:left w:w="154" w:type="dxa"/>
              <w:bottom w:w="77" w:type="dxa"/>
              <w:right w:w="154" w:type="dxa"/>
            </w:tcMar>
            <w:vAlign w:val="center"/>
          </w:tcPr>
          <w:p>
            <w:pPr>
              <w:kinsoku w:val="0"/>
              <w:overflowPunct w:val="0"/>
              <w:autoSpaceDE w:val="0"/>
              <w:autoSpaceDN w:val="0"/>
              <w:adjustRightInd w:val="0"/>
              <w:snapToGrid w:val="0"/>
              <w:rPr>
                <w:rFonts w:ascii="Times New Roman" w:hAnsi="Times New Roman" w:eastAsia="宋体" w:cs="Times New Roman"/>
                <w:sz w:val="21"/>
                <w:szCs w:val="20"/>
              </w:rPr>
            </w:pPr>
            <w:r>
              <w:rPr>
                <w:rFonts w:ascii="Times New Roman" w:hAnsi="Times New Roman" w:eastAsia="宋体" w:cs="Times New Roman"/>
                <w:sz w:val="21"/>
                <w:szCs w:val="20"/>
              </w:rPr>
              <w:t>第三级</w:t>
            </w:r>
          </w:p>
        </w:tc>
        <w:tc>
          <w:tcPr>
            <w:tcW w:w="1306" w:type="dxa"/>
            <w:shd w:val="clear" w:color="auto" w:fill="auto"/>
            <w:tcMar>
              <w:top w:w="77" w:type="dxa"/>
              <w:left w:w="154" w:type="dxa"/>
              <w:bottom w:w="77" w:type="dxa"/>
              <w:right w:w="154" w:type="dxa"/>
            </w:tcMar>
            <w:vAlign w:val="center"/>
          </w:tcPr>
          <w:p>
            <w:pPr>
              <w:kinsoku w:val="0"/>
              <w:overflowPunct w:val="0"/>
              <w:autoSpaceDE w:val="0"/>
              <w:autoSpaceDN w:val="0"/>
              <w:adjustRightInd w:val="0"/>
              <w:snapToGrid w:val="0"/>
              <w:rPr>
                <w:rFonts w:ascii="Times New Roman" w:hAnsi="Times New Roman" w:eastAsia="宋体" w:cs="Times New Roman"/>
                <w:sz w:val="21"/>
                <w:szCs w:val="20"/>
              </w:rPr>
            </w:pPr>
            <w:r>
              <w:rPr>
                <w:rFonts w:ascii="Times New Roman" w:hAnsi="Times New Roman" w:eastAsia="宋体" w:cs="Times New Roman"/>
                <w:sz w:val="21"/>
                <w:szCs w:val="20"/>
              </w:rPr>
              <w:t>第四级</w:t>
            </w:r>
          </w:p>
        </w:tc>
        <w:tc>
          <w:tcPr>
            <w:tcW w:w="1779" w:type="dxa"/>
            <w:shd w:val="clear" w:color="auto" w:fill="auto"/>
            <w:tcMar>
              <w:top w:w="77" w:type="dxa"/>
              <w:left w:w="154" w:type="dxa"/>
              <w:bottom w:w="77" w:type="dxa"/>
              <w:right w:w="154" w:type="dxa"/>
            </w:tcMar>
            <w:vAlign w:val="center"/>
          </w:tcPr>
          <w:p>
            <w:pPr>
              <w:kinsoku w:val="0"/>
              <w:overflowPunct w:val="0"/>
              <w:autoSpaceDE w:val="0"/>
              <w:autoSpaceDN w:val="0"/>
              <w:adjustRightInd w:val="0"/>
              <w:snapToGrid w:val="0"/>
              <w:rPr>
                <w:rFonts w:ascii="Times New Roman" w:hAnsi="Times New Roman" w:eastAsia="宋体" w:cs="Times New Roman"/>
                <w:sz w:val="21"/>
                <w:szCs w:val="20"/>
              </w:rPr>
            </w:pPr>
            <w:r>
              <w:rPr>
                <w:rFonts w:ascii="Times New Roman" w:hAnsi="Times New Roman" w:eastAsia="宋体" w:cs="Times New Roman"/>
                <w:sz w:val="21"/>
                <w:szCs w:val="20"/>
              </w:rPr>
              <w:t>第五级</w:t>
            </w:r>
          </w:p>
        </w:tc>
      </w:tr>
    </w:tbl>
    <w:p>
      <w:pPr>
        <w:adjustRightInd w:val="0"/>
        <w:snapToGrid w:val="0"/>
        <w:spacing w:line="360" w:lineRule="auto"/>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根据规定，第三级为指导保护级，信息系统受到破坏后，会对公民、法人和其他组织的合法权益产生严重损害，或者对社会秩序和公共利益造成损害，但不损害国家安全。本系统属于党政机关处理国家事务的重要信息系统，主要服务于</w:t>
      </w:r>
      <w:r>
        <w:rPr>
          <w:rFonts w:hint="eastAsia" w:ascii="Times New Roman" w:hAnsi="Times New Roman" w:eastAsia="宋体" w:cs="Times New Roman"/>
          <w:sz w:val="24"/>
          <w:szCs w:val="20"/>
        </w:rPr>
        <w:t>内蒙古自治区统计局</w:t>
      </w:r>
      <w:r>
        <w:rPr>
          <w:rFonts w:ascii="Times New Roman" w:hAnsi="Times New Roman" w:eastAsia="宋体" w:cs="Times New Roman"/>
          <w:sz w:val="24"/>
          <w:szCs w:val="20"/>
        </w:rPr>
        <w:t>，信息系统受到破坏会对</w:t>
      </w:r>
      <w:r>
        <w:rPr>
          <w:rFonts w:hint="eastAsia" w:ascii="Times New Roman" w:hAnsi="Times New Roman" w:eastAsia="宋体" w:cs="Times New Roman"/>
          <w:sz w:val="24"/>
          <w:szCs w:val="20"/>
        </w:rPr>
        <w:t>自治区统计局</w:t>
      </w:r>
      <w:r>
        <w:rPr>
          <w:rFonts w:ascii="Times New Roman" w:hAnsi="Times New Roman" w:eastAsia="宋体" w:cs="Times New Roman"/>
          <w:sz w:val="24"/>
          <w:szCs w:val="20"/>
        </w:rPr>
        <w:t>履行政务职能造成严重影响；业务信息完整性或可用性被破坏会对社会秩序和公共利益造成损害。鉴于系统的重要性，建议信息系统整体按照等保三级进行安全防护。</w:t>
      </w:r>
    </w:p>
    <w:p>
      <w:pPr>
        <w:adjustRightInd w:val="0"/>
        <w:snapToGrid w:val="0"/>
        <w:spacing w:line="360" w:lineRule="auto"/>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按照《信息安全等级保护管理办法》，系统等保定级应报上级主管部门批准，系统投入运行后30日内，应到当地公安机关网监部门办理备案手续。</w:t>
      </w:r>
    </w:p>
    <w:p>
      <w:pPr>
        <w:keepNext/>
        <w:keepLines/>
        <w:numPr>
          <w:ilvl w:val="2"/>
          <w:numId w:val="1"/>
        </w:numPr>
        <w:spacing w:line="413" w:lineRule="auto"/>
        <w:ind w:firstLine="1044"/>
        <w:outlineLvl w:val="2"/>
        <w:rPr>
          <w:rFonts w:ascii="Times New Roman" w:hAnsi="Times New Roman" w:eastAsia="宋体" w:cs="Times New Roman"/>
          <w:b/>
        </w:rPr>
      </w:pPr>
      <w:bookmarkStart w:id="89" w:name="_Toc25928"/>
      <w:bookmarkStart w:id="90" w:name="_Toc2657"/>
      <w:r>
        <w:rPr>
          <w:rFonts w:hint="eastAsia" w:ascii="Times New Roman" w:hAnsi="Times New Roman" w:eastAsia="宋体" w:cs="Times New Roman"/>
          <w:b/>
        </w:rPr>
        <w:t>网络安全设计</w:t>
      </w:r>
      <w:bookmarkEnd w:id="89"/>
      <w:bookmarkEnd w:id="90"/>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本期项目为纯软件建设项目，系统部署在政务云平台，网络安全</w:t>
      </w:r>
      <w:r>
        <w:rPr>
          <w:rFonts w:hint="eastAsia" w:ascii="Times New Roman" w:hAnsi="Times New Roman" w:eastAsia="宋体" w:cs="Times New Roman"/>
          <w:sz w:val="24"/>
          <w:szCs w:val="20"/>
        </w:rPr>
        <w:t>依托政务云实现网络安全的防护</w:t>
      </w:r>
      <w:r>
        <w:rPr>
          <w:rFonts w:hint="eastAsia" w:ascii="宋体" w:hAnsi="宋体" w:eastAsia="宋体" w:cs="Times New Roman"/>
          <w:sz w:val="24"/>
        </w:rPr>
        <w:t>。</w:t>
      </w:r>
    </w:p>
    <w:p>
      <w:pPr>
        <w:keepNext/>
        <w:keepLines/>
        <w:numPr>
          <w:ilvl w:val="2"/>
          <w:numId w:val="1"/>
        </w:numPr>
        <w:spacing w:line="413" w:lineRule="auto"/>
        <w:ind w:left="720" w:hanging="720"/>
        <w:outlineLvl w:val="2"/>
        <w:rPr>
          <w:rFonts w:ascii="Times New Roman" w:hAnsi="Times New Roman" w:eastAsia="宋体" w:cs="Times New Roman"/>
          <w:b/>
          <w:lang w:val="zh-CN"/>
        </w:rPr>
      </w:pPr>
      <w:bookmarkStart w:id="91" w:name="_Toc26707"/>
      <w:bookmarkStart w:id="92" w:name="_Toc20614"/>
      <w:bookmarkStart w:id="93" w:name="_Toc22493"/>
      <w:bookmarkStart w:id="94" w:name="_Toc7420"/>
      <w:r>
        <w:rPr>
          <w:rFonts w:hint="eastAsia" w:ascii="Times New Roman" w:hAnsi="Times New Roman" w:eastAsia="宋体" w:cs="Times New Roman"/>
          <w:b/>
          <w:lang w:val="zh-CN"/>
        </w:rPr>
        <w:t>基础设施层安全</w:t>
      </w:r>
      <w:bookmarkEnd w:id="91"/>
      <w:bookmarkEnd w:id="92"/>
      <w:bookmarkEnd w:id="93"/>
      <w:bookmarkEnd w:id="94"/>
    </w:p>
    <w:p>
      <w:pPr>
        <w:spacing w:line="360" w:lineRule="auto"/>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本项目建设的相关系统等将全部部署于自治区政务云中心机房，机房基础设施均已通过国家信息安全等级保护三级，具有较高的安全性。</w:t>
      </w:r>
    </w:p>
    <w:p>
      <w:pPr>
        <w:keepNext/>
        <w:keepLines/>
        <w:numPr>
          <w:ilvl w:val="3"/>
          <w:numId w:val="1"/>
        </w:numPr>
        <w:spacing w:before="120" w:after="120" w:line="372" w:lineRule="auto"/>
        <w:ind w:left="864" w:hanging="864"/>
        <w:outlineLvl w:val="3"/>
        <w:rPr>
          <w:rFonts w:ascii="Arial" w:hAnsi="Arial" w:eastAsia="黑体" w:cs="Times New Roman"/>
          <w:b/>
          <w:sz w:val="28"/>
        </w:rPr>
      </w:pPr>
      <w:bookmarkStart w:id="95" w:name="_Toc478805194"/>
      <w:r>
        <w:rPr>
          <w:rFonts w:ascii="Arial" w:hAnsi="Arial" w:eastAsia="黑体" w:cs="Times New Roman"/>
          <w:b/>
          <w:sz w:val="28"/>
        </w:rPr>
        <w:t>物理和环境安全</w:t>
      </w:r>
      <w:bookmarkEnd w:id="95"/>
    </w:p>
    <w:p>
      <w:pPr>
        <w:spacing w:line="360" w:lineRule="auto"/>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《信息安全技术 信息系统安全等级保护基本要求》明确要求物理安全包括：环境安全、设备安全、记录介质安全。因此，物理安全主要在环境安全、设备安全和介质安全三个方面采取保护措施，如门控系统、监控报警系统和区域保护措施等。</w:t>
      </w:r>
    </w:p>
    <w:p>
      <w:pPr>
        <w:spacing w:line="360" w:lineRule="auto"/>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物理和环境安全防范是网络整体安全架构的基础，对保障网络系统正常运行具有重要的作用。根据信息安全等级保护要求，信息平台机房应符合相关的标准规范，并具备防盗、防火、防雷、防水、防静电等条件，配备UPS、空调、门禁等相关措施。</w:t>
      </w:r>
    </w:p>
    <w:p>
      <w:pPr>
        <w:spacing w:line="360" w:lineRule="auto"/>
        <w:ind w:firstLine="482" w:firstLineChars="200"/>
        <w:rPr>
          <w:rFonts w:ascii="Times New Roman" w:hAnsi="Times New Roman" w:eastAsia="宋体" w:cs="Times New Roman"/>
          <w:b/>
          <w:bCs/>
          <w:sz w:val="24"/>
          <w:szCs w:val="20"/>
        </w:rPr>
      </w:pPr>
      <w:bookmarkStart w:id="96" w:name="_Toc478805195"/>
      <w:r>
        <w:rPr>
          <w:rFonts w:ascii="Times New Roman" w:hAnsi="Times New Roman" w:eastAsia="宋体" w:cs="Times New Roman"/>
          <w:b/>
          <w:bCs/>
          <w:sz w:val="24"/>
          <w:szCs w:val="20"/>
        </w:rPr>
        <w:t>1.网络和通信安全</w:t>
      </w:r>
      <w:bookmarkEnd w:id="96"/>
    </w:p>
    <w:p>
      <w:pPr>
        <w:spacing w:line="360" w:lineRule="auto"/>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平台的数据归集利用自治区政务外网及互联网。电子政务外网与互联网隔离，</w:t>
      </w:r>
      <w:r>
        <w:rPr>
          <w:rFonts w:hint="eastAsia" w:ascii="Times New Roman" w:hAnsi="Times New Roman" w:eastAsia="宋体" w:cs="Times New Roman"/>
          <w:sz w:val="24"/>
          <w:szCs w:val="20"/>
        </w:rPr>
        <w:t>有效地实现了</w:t>
      </w:r>
      <w:r>
        <w:rPr>
          <w:rFonts w:ascii="Times New Roman" w:hAnsi="Times New Roman" w:eastAsia="宋体" w:cs="Times New Roman"/>
          <w:sz w:val="24"/>
          <w:szCs w:val="20"/>
        </w:rPr>
        <w:t>数据分层分级应用，数据通信安全。</w:t>
      </w:r>
    </w:p>
    <w:p>
      <w:pPr>
        <w:spacing w:line="360" w:lineRule="auto"/>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自治区电子政务外网与互联网通过网闸隔离，各区域从设备安全、组网安全、数据传输安全等方面进行全面优化部署，保障基础网络安全。</w:t>
      </w:r>
    </w:p>
    <w:p>
      <w:pPr>
        <w:spacing w:line="360" w:lineRule="auto"/>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针对本次项目，将划分政务外网应用区域和互联网应用区域，两个区域之间逻辑隔离，通过网闸进行通信及数据交换。政务外网应用区域和互联网应用区域中的数据库服务器需要同其他应用服务器进行隔离，只开放数据库端口。</w:t>
      </w:r>
    </w:p>
    <w:p>
      <w:pPr>
        <w:spacing w:line="360" w:lineRule="auto"/>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(1)政务外网应用区域</w:t>
      </w:r>
    </w:p>
    <w:p>
      <w:pPr>
        <w:spacing w:line="360" w:lineRule="auto"/>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政务外网应用区域主要完成数据的统一交换和处理，并部署面向政务部门的应用，政务外网应用区域应采取必要的安全技术，包括DDOS系统、入侵防护系统、网络审计系统、防火墙(其他专网安全边界)、数据库审计、日志审计、运维审计、WAF应用防火墙、运维审计、入侵防御IPS等。</w:t>
      </w:r>
    </w:p>
    <w:p>
      <w:pPr>
        <w:spacing w:line="360" w:lineRule="auto"/>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(2)互联网应用区域</w:t>
      </w:r>
    </w:p>
    <w:p>
      <w:pPr>
        <w:spacing w:line="360" w:lineRule="auto"/>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互联网应用区域与互联网直接连接，互联出口区域是最容易遭受到攻击的区域，所以应对该区域加强访问控制，提供互联网出口防火墙、流控和审计、负载均衡、视频网防火墙、边界防火墙、WAF防火墙、SSL VPN、防火墙(互联网安全边界)等设备，保障这一区域安全。</w:t>
      </w:r>
    </w:p>
    <w:p>
      <w:pPr>
        <w:spacing w:line="360" w:lineRule="auto"/>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主要安全设备的功能如下：</w:t>
      </w:r>
    </w:p>
    <w:p>
      <w:pPr>
        <w:spacing w:line="360" w:lineRule="auto"/>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(A)防火墙设备</w:t>
      </w:r>
    </w:p>
    <w:p>
      <w:pPr>
        <w:spacing w:line="360" w:lineRule="auto"/>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在采集节点互联网出入口安全区域边界部署防火墙，实现安全域的逻辑隔离，通过配置访问控制策略，对网络层进行访问控制。</w:t>
      </w:r>
    </w:p>
    <w:p>
      <w:pPr>
        <w:spacing w:line="360" w:lineRule="auto"/>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在互联网接入安全域边界部署防火墙，具有入侵防御、防病毒、VPN功能，使系统免受来自互联网的安全威胁。IPS提供主动的、实时的防护，监测网络异常流量，自动对各类攻击性的流量，尤其是应用层的威胁进行实时阻断；IPS如果监测到攻击企图，就会自动地将攻击包丢掉或采取措施将攻击源阻断，而不把攻击流量放进内部网络；防病毒功能实现对普通病毒、邮件病毒、特洛伊木马、网页恶意代码和蠕虫等的过滤；在网络边界采用VPN(支持SPSEC和SSL)的方式保障系统通过互联网采集IDC数据的传输安全，以及用户单机的安全接入。</w:t>
      </w:r>
    </w:p>
    <w:p>
      <w:pPr>
        <w:spacing w:line="360" w:lineRule="auto"/>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(B)入侵检测设备</w:t>
      </w:r>
    </w:p>
    <w:p>
      <w:pPr>
        <w:spacing w:line="360" w:lineRule="auto"/>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为了对来自内部和外部的攻击行进有效的检测，需要部署入侵检测系统进行威胁检测、分析与管理，IPS在保证全面威胁检测的同时，强调用户使用的体验，实用、易用、在检测威胁的同时方便用户对威胁进行有效分析和处理、实现对威胁的闭环处理。</w:t>
      </w:r>
    </w:p>
    <w:p>
      <w:pPr>
        <w:spacing w:line="360" w:lineRule="auto"/>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在核心交换机处部署IDS，可以检测来自外部网络和内部网络的各种攻击和非法入侵行为，提供报警信息，并与防火墙系统联动，使系统免受非法用户的入侵。</w:t>
      </w:r>
    </w:p>
    <w:p>
      <w:pPr>
        <w:spacing w:line="360" w:lineRule="auto"/>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入侵检测与管理系统对于病毒、木马、蠕虫、僵尸网络、缓冲区溢出攻击、DDoS、扫描探测、欺骗劫持、SQL注入、XSS、网站挂马、异常流量等恶性攻击行为有非常准确高效的检测效果，并通过简单易懂的去技术化语言帮助用户分析威胁，对威胁进行有效处理。</w:t>
      </w:r>
    </w:p>
    <w:p>
      <w:pPr>
        <w:spacing w:line="360" w:lineRule="auto"/>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入侵检测与管理系统内置的智能分析引擎能够对上报的事件进行关联分析，识别出重要报警，提醒用户关注，同时，对不重要的报警进行智能过滤，解决了传统监控设备(如IDS)大量报警导致对威胁分析和处理难的问题。</w:t>
      </w:r>
    </w:p>
    <w:p>
      <w:pPr>
        <w:spacing w:line="360" w:lineRule="auto"/>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IPS的威胁管理涉及到：威胁发现、威胁展示、威胁分析、威胁处理四个部分，这四个部分组成闭环的威胁管理。入侵检测与管理系统可以保证威胁发现的准确性；采用多维度图、表、数据结合的方法保证威胁展示的简单性、充分性；同时通过智能分析过滤的方法过滤掉无需关注的事件，保证威胁展示的质量；采用去技</w:t>
      </w:r>
      <w:r>
        <w:rPr>
          <w:rFonts w:hint="eastAsia" w:ascii="Times New Roman" w:hAnsi="Times New Roman" w:eastAsia="宋体" w:cs="Times New Roman"/>
          <w:sz w:val="24"/>
          <w:szCs w:val="20"/>
        </w:rPr>
        <w:t>术化地向导</w:t>
      </w:r>
      <w:r>
        <w:rPr>
          <w:rFonts w:ascii="Times New Roman" w:hAnsi="Times New Roman" w:eastAsia="宋体" w:cs="Times New Roman"/>
          <w:sz w:val="24"/>
          <w:szCs w:val="20"/>
        </w:rPr>
        <w:t>对威胁进行分析和处理</w:t>
      </w:r>
    </w:p>
    <w:p>
      <w:pPr>
        <w:spacing w:line="360" w:lineRule="auto"/>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(C)WEB应用防火墙</w:t>
      </w:r>
    </w:p>
    <w:p>
      <w:pPr>
        <w:spacing w:line="360" w:lineRule="auto"/>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Web应用防火墙(WAF)通过对HTTP协议进行深入分析，能够为Web应用提供实时有效的安全防护，抵御包括SQL注入、跨站脚本攻击、会话劫持、应用层DDoS、网页篡改在内的各种高危害性Web攻击。</w:t>
      </w:r>
    </w:p>
    <w:p>
      <w:pPr>
        <w:spacing w:line="360" w:lineRule="auto"/>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(D)网络综合安全审计系统</w:t>
      </w:r>
    </w:p>
    <w:p>
      <w:pPr>
        <w:spacing w:line="360" w:lineRule="auto"/>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实时监听网络数据流，监视和记录内、外部用户出入网络的相关操作，对数据库及应用系统的违规行为进行审计记录与报警，以便为事后的安全审计追踪、系统安全漏洞分析提供原始证据，发现违规模式和未授权访问。</w:t>
      </w:r>
    </w:p>
    <w:p>
      <w:pPr>
        <w:spacing w:line="360" w:lineRule="auto"/>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(E)安全管理中心(SOC)</w:t>
      </w:r>
    </w:p>
    <w:p>
      <w:pPr>
        <w:spacing w:line="360" w:lineRule="auto"/>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首先通过对包括网络设备、安全设备、主机和应用在内的节点状态进行统一监控，保障系统的整体运行安全，及时发现网络和系统主机的故障和性能瓶颈；其次，通过实时获取各类安全信息，进行关联分析，实现系统的安全态势感知，对内部违规和外部入侵行为进行审计；然后，将所有资产和威胁信息汇集到一起，通过决策分析获得可测量的安全风险，并实施有效的安全策略调整。将整个监控、审计和决策过程都统一在一体化管理平台之下，对设备状态、恶意代码、补丁升级、安全审计等安全相关事项进行集中管理，构建全面可控安全管理体系。</w:t>
      </w:r>
    </w:p>
    <w:p>
      <w:pPr>
        <w:spacing w:line="360" w:lineRule="auto"/>
        <w:ind w:firstLine="482" w:firstLineChars="200"/>
        <w:rPr>
          <w:rFonts w:ascii="Times New Roman" w:hAnsi="Times New Roman" w:eastAsia="宋体" w:cs="Times New Roman"/>
          <w:b/>
          <w:bCs/>
          <w:sz w:val="24"/>
          <w:szCs w:val="20"/>
        </w:rPr>
      </w:pPr>
      <w:bookmarkStart w:id="97" w:name="_Toc478805196"/>
      <w:r>
        <w:rPr>
          <w:rFonts w:ascii="Times New Roman" w:hAnsi="Times New Roman" w:eastAsia="宋体" w:cs="Times New Roman"/>
          <w:b/>
          <w:bCs/>
          <w:sz w:val="24"/>
          <w:szCs w:val="20"/>
        </w:rPr>
        <w:t>2.设备和计算安全</w:t>
      </w:r>
      <w:bookmarkEnd w:id="97"/>
    </w:p>
    <w:p>
      <w:pPr>
        <w:spacing w:line="360" w:lineRule="auto"/>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设备和计算安全主要是服务器安全，其重点是解决服务器和主机的安全，通过在服务器和主机上安装配置网络版杀毒软件，有效地杀除主机病毒查杀，并能够自动在线升级病毒库，防范最新的病毒，维护服务器和主机的整体安全。同时，对服务器进行各种安全策略的配置，为服务器的运行提供一个安全的运行环境。</w:t>
      </w:r>
    </w:p>
    <w:p>
      <w:pPr>
        <w:keepNext/>
        <w:keepLines/>
        <w:numPr>
          <w:ilvl w:val="3"/>
          <w:numId w:val="1"/>
        </w:numPr>
        <w:spacing w:before="120" w:after="120" w:line="372" w:lineRule="auto"/>
        <w:ind w:left="864" w:hanging="864"/>
        <w:outlineLvl w:val="3"/>
        <w:rPr>
          <w:rFonts w:ascii="Arial" w:hAnsi="Arial" w:eastAsia="黑体" w:cs="Times New Roman"/>
          <w:b/>
          <w:sz w:val="28"/>
        </w:rPr>
      </w:pPr>
      <w:bookmarkStart w:id="98" w:name="_Toc478805197"/>
      <w:r>
        <w:rPr>
          <w:rFonts w:ascii="Arial" w:hAnsi="Arial" w:eastAsia="黑体" w:cs="Times New Roman"/>
          <w:b/>
          <w:sz w:val="28"/>
        </w:rPr>
        <w:t>系统安全</w:t>
      </w:r>
      <w:bookmarkEnd w:id="98"/>
    </w:p>
    <w:p>
      <w:pPr>
        <w:spacing w:line="360" w:lineRule="auto"/>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系统安全重点解决操作系统、数据库等系统级安全问题，以建立一个安全的系统运行平台，来有效抵抗黑客利用系统的安全缺陷对系统进行攻击。主要措施包括：系统漏洞扫描和修补、定期升级、数据库安全设置、数据备份等。</w:t>
      </w:r>
    </w:p>
    <w:p>
      <w:pPr>
        <w:keepNext/>
        <w:keepLines/>
        <w:numPr>
          <w:ilvl w:val="2"/>
          <w:numId w:val="1"/>
        </w:numPr>
        <w:spacing w:line="413" w:lineRule="auto"/>
        <w:ind w:firstLine="1044"/>
        <w:outlineLvl w:val="2"/>
        <w:rPr>
          <w:rFonts w:ascii="Times New Roman" w:hAnsi="Times New Roman" w:eastAsia="宋体" w:cs="Times New Roman"/>
          <w:b/>
        </w:rPr>
      </w:pPr>
      <w:bookmarkStart w:id="99" w:name="_Toc248"/>
      <w:bookmarkStart w:id="100" w:name="_Toc23086"/>
      <w:r>
        <w:rPr>
          <w:rFonts w:hint="eastAsia" w:ascii="Times New Roman" w:hAnsi="Times New Roman" w:eastAsia="宋体" w:cs="Times New Roman"/>
          <w:b/>
        </w:rPr>
        <w:t>应用系统安全设计</w:t>
      </w:r>
      <w:bookmarkEnd w:id="99"/>
      <w:bookmarkEnd w:id="100"/>
    </w:p>
    <w:p>
      <w:pPr>
        <w:keepNext/>
        <w:keepLines/>
        <w:numPr>
          <w:ilvl w:val="3"/>
          <w:numId w:val="1"/>
        </w:numPr>
        <w:tabs>
          <w:tab w:val="left" w:pos="420"/>
        </w:tabs>
        <w:spacing w:before="120" w:after="120" w:line="372" w:lineRule="auto"/>
        <w:ind w:firstLine="1044"/>
        <w:outlineLvl w:val="3"/>
        <w:rPr>
          <w:rFonts w:ascii="Arial" w:hAnsi="Arial" w:eastAsia="黑体" w:cs="Times New Roman"/>
          <w:b/>
          <w:sz w:val="28"/>
        </w:rPr>
      </w:pPr>
      <w:r>
        <w:rPr>
          <w:rFonts w:hint="eastAsia" w:ascii="Arial" w:hAnsi="Arial" w:eastAsia="黑体" w:cs="Times New Roman"/>
          <w:b/>
          <w:sz w:val="28"/>
        </w:rPr>
        <w:t xml:space="preserve">身份鉴别和访问控制 </w:t>
      </w:r>
    </w:p>
    <w:p>
      <w:pPr>
        <w:spacing w:line="360" w:lineRule="auto"/>
        <w:ind w:firstLine="480" w:firstLineChars="200"/>
        <w:rPr>
          <w:rFonts w:ascii="宋体" w:hAnsi="宋体" w:eastAsia="宋体" w:cs="宋体"/>
          <w:sz w:val="24"/>
        </w:rPr>
      </w:pPr>
      <w:r>
        <w:rPr>
          <w:rFonts w:ascii="宋体" w:hAnsi="宋体" w:eastAsia="宋体" w:cs="宋体"/>
          <w:sz w:val="24"/>
        </w:rPr>
        <w:t>采用专用的登录控制模块对登录用户进行身份标识和鉴别；具有用户身份标识唯一和鉴别信息复杂度检查功能，保证应用系统中不存在重复用户身份标识，身份鉴别信息不易被冒用；登录失败采取结束会话方式，限制非法登录次数，当网络登录连接超时自动退出等；具有自主访问控制功能，依据安全策略控制用户对文件、数据库表等客体的访问；由主机配置访问控制策略，并禁止默认帐户的访问。</w:t>
      </w:r>
    </w:p>
    <w:p>
      <w:pPr>
        <w:keepNext/>
        <w:keepLines/>
        <w:numPr>
          <w:ilvl w:val="3"/>
          <w:numId w:val="1"/>
        </w:numPr>
        <w:tabs>
          <w:tab w:val="left" w:pos="420"/>
        </w:tabs>
        <w:spacing w:before="120" w:after="120" w:line="372" w:lineRule="auto"/>
        <w:ind w:firstLine="1044"/>
        <w:outlineLvl w:val="3"/>
        <w:rPr>
          <w:rFonts w:ascii="Arial" w:hAnsi="Arial" w:eastAsia="黑体" w:cs="Times New Roman"/>
          <w:b/>
          <w:sz w:val="28"/>
        </w:rPr>
      </w:pPr>
      <w:r>
        <w:rPr>
          <w:rFonts w:hint="eastAsia" w:ascii="Arial" w:hAnsi="Arial" w:eastAsia="黑体" w:cs="Times New Roman"/>
          <w:b/>
          <w:sz w:val="28"/>
        </w:rPr>
        <w:t xml:space="preserve">应用安全措施 </w:t>
      </w:r>
    </w:p>
    <w:p>
      <w:pPr>
        <w:spacing w:line="360" w:lineRule="auto"/>
        <w:ind w:firstLine="480" w:firstLineChars="200"/>
        <w:rPr>
          <w:rFonts w:ascii="宋体" w:hAnsi="宋体" w:eastAsia="宋体" w:cs="宋体"/>
          <w:sz w:val="24"/>
        </w:rPr>
      </w:pPr>
      <w:r>
        <w:rPr>
          <w:rFonts w:ascii="宋体" w:hAnsi="宋体" w:eastAsia="宋体" w:cs="宋体"/>
          <w:sz w:val="24"/>
        </w:rPr>
        <w:t xml:space="preserve">后台管理系统安全设计 </w:t>
      </w:r>
    </w:p>
    <w:p>
      <w:pPr>
        <w:spacing w:line="360" w:lineRule="auto"/>
        <w:ind w:firstLine="480" w:firstLineChars="200"/>
        <w:rPr>
          <w:rFonts w:ascii="宋体" w:hAnsi="宋体" w:eastAsia="宋体" w:cs="宋体"/>
          <w:sz w:val="24"/>
        </w:rPr>
      </w:pPr>
      <w:r>
        <w:rPr>
          <w:rFonts w:ascii="宋体" w:hAnsi="宋体" w:eastAsia="宋体" w:cs="宋体"/>
          <w:sz w:val="24"/>
        </w:rPr>
        <w:t>所有后台管理系统使用程序强制要求用户密码满足相应的用户密码复杂度策略。 密码超过一定天数没有修改就自动冻结帐户，登陆时强制用户修改密码，并不能和上次密码一样。</w:t>
      </w:r>
    </w:p>
    <w:p>
      <w:pPr>
        <w:spacing w:line="360" w:lineRule="auto"/>
        <w:ind w:firstLine="480" w:firstLineChars="200"/>
        <w:rPr>
          <w:rFonts w:ascii="宋体" w:hAnsi="宋体" w:eastAsia="宋体" w:cs="宋体"/>
          <w:sz w:val="24"/>
        </w:rPr>
      </w:pPr>
      <w:r>
        <w:rPr>
          <w:rFonts w:ascii="宋体" w:hAnsi="宋体" w:eastAsia="宋体" w:cs="宋体"/>
          <w:sz w:val="24"/>
        </w:rPr>
        <w:t xml:space="preserve">密码连续多次输入错误就冻结帐户十分钟，同时记录登陆 IP。 </w:t>
      </w:r>
    </w:p>
    <w:p>
      <w:pPr>
        <w:spacing w:line="360" w:lineRule="auto"/>
        <w:ind w:firstLine="480" w:firstLineChars="200"/>
        <w:rPr>
          <w:rFonts w:ascii="宋体" w:hAnsi="宋体" w:eastAsia="宋体" w:cs="宋体"/>
          <w:sz w:val="24"/>
        </w:rPr>
      </w:pPr>
      <w:r>
        <w:rPr>
          <w:rFonts w:hint="eastAsia" w:ascii="宋体" w:hAnsi="宋体" w:eastAsia="宋体" w:cs="宋体"/>
          <w:sz w:val="24"/>
        </w:rPr>
        <w:t>用户登录</w:t>
      </w:r>
      <w:r>
        <w:rPr>
          <w:rFonts w:ascii="宋体" w:hAnsi="宋体" w:eastAsia="宋体" w:cs="宋体"/>
          <w:sz w:val="24"/>
        </w:rPr>
        <w:t xml:space="preserve">成功时提示上次登陆 IP 和登陆时间，如果上次登陆IP和本次登陆IP不同则提示用户。 </w:t>
      </w:r>
    </w:p>
    <w:p>
      <w:pPr>
        <w:spacing w:line="360" w:lineRule="auto"/>
        <w:ind w:firstLine="480" w:firstLineChars="200"/>
        <w:rPr>
          <w:rFonts w:ascii="宋体" w:hAnsi="宋体" w:eastAsia="宋体" w:cs="宋体"/>
          <w:sz w:val="24"/>
        </w:rPr>
      </w:pPr>
      <w:r>
        <w:rPr>
          <w:rFonts w:ascii="宋体" w:hAnsi="宋体" w:eastAsia="宋体" w:cs="宋体"/>
          <w:sz w:val="24"/>
        </w:rPr>
        <w:t>有密码输入错误记录，</w:t>
      </w:r>
      <w:r>
        <w:rPr>
          <w:rFonts w:hint="eastAsia" w:ascii="宋体" w:hAnsi="宋体" w:eastAsia="宋体" w:cs="宋体"/>
          <w:sz w:val="24"/>
        </w:rPr>
        <w:t>用户登录</w:t>
      </w:r>
      <w:r>
        <w:rPr>
          <w:rFonts w:ascii="宋体" w:hAnsi="宋体" w:eastAsia="宋体" w:cs="宋体"/>
          <w:sz w:val="24"/>
        </w:rPr>
        <w:t>成功后提示用户上次密码输入错误时间和连续输入错误次数及尝试用错误</w:t>
      </w:r>
      <w:r>
        <w:rPr>
          <w:rFonts w:hint="eastAsia" w:ascii="宋体" w:hAnsi="宋体" w:eastAsia="宋体" w:cs="宋体"/>
          <w:sz w:val="24"/>
        </w:rPr>
        <w:t>密码登录</w:t>
      </w:r>
      <w:r>
        <w:rPr>
          <w:rFonts w:ascii="宋体" w:hAnsi="宋体" w:eastAsia="宋体" w:cs="宋体"/>
          <w:sz w:val="24"/>
        </w:rPr>
        <w:t xml:space="preserve">的IP。 </w:t>
      </w:r>
    </w:p>
    <w:p>
      <w:pPr>
        <w:spacing w:line="360" w:lineRule="auto"/>
        <w:ind w:firstLine="480" w:firstLineChars="200"/>
        <w:rPr>
          <w:rFonts w:ascii="宋体" w:hAnsi="宋体" w:eastAsia="宋体" w:cs="宋体"/>
          <w:sz w:val="24"/>
        </w:rPr>
      </w:pPr>
      <w:r>
        <w:rPr>
          <w:rFonts w:ascii="宋体" w:hAnsi="宋体" w:eastAsia="宋体" w:cs="宋体"/>
          <w:sz w:val="24"/>
        </w:rPr>
        <w:t xml:space="preserve">程序失败了保证程序正常终止，在出错提示中不包含任何系统信息，配置信息等错误信息。全部给出“服务器忙请稍候再试”的统一错误信息。 </w:t>
      </w:r>
    </w:p>
    <w:p>
      <w:pPr>
        <w:spacing w:line="360" w:lineRule="auto"/>
        <w:ind w:firstLine="480" w:firstLineChars="200"/>
        <w:rPr>
          <w:rFonts w:ascii="宋体" w:hAnsi="宋体" w:eastAsia="宋体" w:cs="宋体"/>
          <w:sz w:val="24"/>
        </w:rPr>
      </w:pPr>
      <w:r>
        <w:rPr>
          <w:rFonts w:ascii="宋体" w:hAnsi="宋体" w:eastAsia="宋体" w:cs="宋体"/>
          <w:sz w:val="24"/>
        </w:rPr>
        <w:t xml:space="preserve">登陆错误提示信息全部一样，不显示“不存在该用户”或“密码不对”这样的提示，防止利用错误提示获取用户名列表。统一给出“用户名或密码错误”的错误提示。 </w:t>
      </w:r>
    </w:p>
    <w:p>
      <w:pPr>
        <w:spacing w:line="360" w:lineRule="auto"/>
        <w:ind w:firstLine="480" w:firstLineChars="200"/>
        <w:rPr>
          <w:rFonts w:ascii="Times New Roman" w:hAnsi="Times New Roman" w:eastAsia="宋体" w:cs="Times New Roman"/>
          <w:sz w:val="24"/>
        </w:rPr>
      </w:pPr>
      <w:r>
        <w:rPr>
          <w:rFonts w:ascii="宋体" w:hAnsi="宋体" w:eastAsia="宋体" w:cs="宋体"/>
          <w:sz w:val="24"/>
        </w:rPr>
        <w:t>设计统一的 Apache 或者 IIS 的错误页面，来替换现在的401 403 404 500 等Apache或IIS自带的错误页面，让所有的错误返回的信息都完全一样，提交页面返回的错误信息可以给入侵者提供丰富的信息，例如探测后台管理目录时，如果返回的是403错误，就说明该目录存在。</w:t>
      </w:r>
    </w:p>
    <w:p>
      <w:pPr>
        <w:keepNext/>
        <w:keepLines/>
        <w:numPr>
          <w:ilvl w:val="2"/>
          <w:numId w:val="1"/>
        </w:numPr>
        <w:spacing w:line="413" w:lineRule="auto"/>
        <w:ind w:firstLine="1044"/>
        <w:outlineLvl w:val="2"/>
        <w:rPr>
          <w:rFonts w:ascii="Times New Roman" w:hAnsi="Times New Roman" w:eastAsia="宋体" w:cs="Times New Roman"/>
          <w:b/>
        </w:rPr>
      </w:pPr>
      <w:bookmarkStart w:id="101" w:name="_Toc2909"/>
      <w:bookmarkStart w:id="102" w:name="_Toc14033"/>
      <w:r>
        <w:rPr>
          <w:rFonts w:hint="eastAsia" w:ascii="Times New Roman" w:hAnsi="Times New Roman" w:eastAsia="宋体" w:cs="Times New Roman"/>
          <w:b/>
        </w:rPr>
        <w:t>数据安全设计</w:t>
      </w:r>
      <w:bookmarkEnd w:id="101"/>
      <w:bookmarkEnd w:id="102"/>
    </w:p>
    <w:p>
      <w:pPr>
        <w:keepNext/>
        <w:keepLines/>
        <w:numPr>
          <w:ilvl w:val="3"/>
          <w:numId w:val="1"/>
        </w:numPr>
        <w:tabs>
          <w:tab w:val="left" w:pos="1080"/>
          <w:tab w:val="clear" w:pos="1304"/>
        </w:tabs>
        <w:spacing w:before="120" w:after="120" w:line="372" w:lineRule="auto"/>
        <w:ind w:left="862" w:hanging="862"/>
        <w:outlineLvl w:val="3"/>
        <w:rPr>
          <w:rFonts w:ascii="Times New Roman" w:hAnsi="Times New Roman" w:eastAsia="黑体" w:cs="Times New Roman"/>
          <w:b/>
          <w:sz w:val="28"/>
        </w:rPr>
      </w:pPr>
      <w:r>
        <w:rPr>
          <w:rFonts w:hint="eastAsia" w:ascii="Times New Roman" w:hAnsi="Times New Roman" w:eastAsia="黑体" w:cs="Times New Roman"/>
          <w:b/>
          <w:sz w:val="28"/>
        </w:rPr>
        <w:t>密钥设计</w:t>
      </w:r>
    </w:p>
    <w:p>
      <w:pPr>
        <w:adjustRightInd w:val="0"/>
        <w:snapToGrid w:val="0"/>
        <w:spacing w:before="156" w:beforeLines="50" w:after="156" w:afterLines="50"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密钥的设计活动要考虑到权限分散与分层管理的问题，同时兼顾文件的保护、用户证书密钥管理等内容，提前做好加密设置与处理，最大限度地完善码流信息的传输保护，通过科学化管理的方式来满足算法的实际要求。</w:t>
      </w:r>
    </w:p>
    <w:p>
      <w:pPr>
        <w:keepNext/>
        <w:keepLines/>
        <w:numPr>
          <w:ilvl w:val="3"/>
          <w:numId w:val="1"/>
        </w:numPr>
        <w:tabs>
          <w:tab w:val="left" w:pos="1080"/>
          <w:tab w:val="clear" w:pos="1304"/>
        </w:tabs>
        <w:spacing w:before="120" w:after="120" w:line="372" w:lineRule="auto"/>
        <w:ind w:left="862" w:hanging="862"/>
        <w:outlineLvl w:val="3"/>
        <w:rPr>
          <w:rFonts w:ascii="Times New Roman" w:hAnsi="Times New Roman" w:eastAsia="黑体" w:cs="Times New Roman"/>
          <w:b/>
          <w:sz w:val="28"/>
        </w:rPr>
      </w:pPr>
      <w:bookmarkStart w:id="103" w:name="_Toc478805205"/>
      <w:r>
        <w:rPr>
          <w:rFonts w:hint="eastAsia" w:ascii="Times New Roman" w:hAnsi="Times New Roman" w:eastAsia="黑体" w:cs="Times New Roman"/>
          <w:b/>
          <w:sz w:val="28"/>
        </w:rPr>
        <w:t>数据传输安全</w:t>
      </w:r>
      <w:bookmarkEnd w:id="103"/>
    </w:p>
    <w:p>
      <w:pPr>
        <w:adjustRightInd w:val="0"/>
        <w:snapToGrid w:val="0"/>
        <w:spacing w:before="156" w:beforeLines="50" w:after="156" w:afterLines="50"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1.安全套接层（SSL）</w:t>
      </w:r>
    </w:p>
    <w:p>
      <w:pPr>
        <w:adjustRightInd w:val="0"/>
        <w:snapToGrid w:val="0"/>
        <w:spacing w:before="156" w:beforeLines="50" w:after="156" w:afterLines="50"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SSL协议位于TCP/IP协议与各种应用层协议之间，为数据通讯提供安全支持。SSL协议可分为两层：SSL记录协议（SSL Record Protocol）：它建立在可靠的传输协议（如TCP）之上，为高层协议提供数据封装、压缩、加密等基本功能的支持。SSL握手协议（SSL Handshake Protocol）：它建立在SSL记录协议之上，用于在实际的数据传输开始前，通讯双方进行身份认证、协商加密算法、交换加密密钥等。</w:t>
      </w:r>
    </w:p>
    <w:p>
      <w:pPr>
        <w:adjustRightInd w:val="0"/>
        <w:snapToGrid w:val="0"/>
        <w:spacing w:before="156" w:beforeLines="50" w:after="156" w:afterLines="50"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2.通过SSL协议传输数据</w:t>
      </w:r>
    </w:p>
    <w:p>
      <w:pPr>
        <w:adjustRightInd w:val="0"/>
        <w:snapToGrid w:val="0"/>
        <w:spacing w:before="156" w:beforeLines="50" w:after="156" w:afterLines="50"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数据传输安全通过安全传输协议（SSL）、数据加密等技术来保证。利用SSL协议可以有效加强数据传输的保密性、完整性和真实性，能够防止数据在传输过程中被非法窃取或篡改，从而保证数据的传输安全。</w:t>
      </w:r>
    </w:p>
    <w:p>
      <w:pPr>
        <w:keepNext/>
        <w:keepLines/>
        <w:numPr>
          <w:ilvl w:val="3"/>
          <w:numId w:val="1"/>
        </w:numPr>
        <w:tabs>
          <w:tab w:val="left" w:pos="1080"/>
          <w:tab w:val="clear" w:pos="1304"/>
        </w:tabs>
        <w:spacing w:before="120" w:after="120" w:line="372" w:lineRule="auto"/>
        <w:ind w:left="862" w:hanging="862"/>
        <w:outlineLvl w:val="3"/>
        <w:rPr>
          <w:rFonts w:ascii="Times New Roman" w:hAnsi="Times New Roman" w:eastAsia="黑体" w:cs="Times New Roman"/>
          <w:b/>
          <w:sz w:val="28"/>
        </w:rPr>
      </w:pPr>
      <w:bookmarkStart w:id="104" w:name="_Toc478805206"/>
      <w:r>
        <w:rPr>
          <w:rFonts w:hint="eastAsia" w:ascii="Times New Roman" w:hAnsi="Times New Roman" w:eastAsia="黑体" w:cs="Times New Roman"/>
          <w:b/>
          <w:sz w:val="28"/>
        </w:rPr>
        <w:t>数据不可抵赖性</w:t>
      </w:r>
      <w:bookmarkEnd w:id="104"/>
    </w:p>
    <w:p>
      <w:pPr>
        <w:adjustRightInd w:val="0"/>
        <w:snapToGrid w:val="0"/>
        <w:spacing w:before="156" w:beforeLines="50" w:after="156" w:afterLines="50"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指采取必要的身份认证、数字签名、强制授权访问控制、完备的日志审计记录等技术手段确保读取或是修改数据的主体身份及其行为的确定性、可控性、可记录性和不可抵赖性。</w:t>
      </w:r>
    </w:p>
    <w:p>
      <w:pPr>
        <w:keepNext/>
        <w:keepLines/>
        <w:numPr>
          <w:ilvl w:val="3"/>
          <w:numId w:val="1"/>
        </w:numPr>
        <w:tabs>
          <w:tab w:val="left" w:pos="1080"/>
          <w:tab w:val="clear" w:pos="1304"/>
        </w:tabs>
        <w:spacing w:before="120" w:after="120" w:line="372" w:lineRule="auto"/>
        <w:ind w:left="862" w:hanging="862"/>
        <w:outlineLvl w:val="3"/>
        <w:rPr>
          <w:rFonts w:ascii="Times New Roman" w:hAnsi="Times New Roman" w:eastAsia="黑体" w:cs="Times New Roman"/>
          <w:b/>
          <w:sz w:val="28"/>
        </w:rPr>
      </w:pPr>
      <w:bookmarkStart w:id="105" w:name="_Toc478805207"/>
      <w:r>
        <w:rPr>
          <w:rFonts w:hint="eastAsia" w:ascii="Times New Roman" w:hAnsi="Times New Roman" w:eastAsia="黑体" w:cs="Times New Roman"/>
          <w:b/>
          <w:sz w:val="28"/>
        </w:rPr>
        <w:t>数据分级管理</w:t>
      </w:r>
      <w:bookmarkEnd w:id="105"/>
    </w:p>
    <w:p>
      <w:pPr>
        <w:adjustRightInd w:val="0"/>
        <w:snapToGrid w:val="0"/>
        <w:spacing w:before="156" w:beforeLines="50" w:after="156" w:afterLines="50"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系统核心数据采用分级管理模式，通过对数据库中数据字段级安全级别的定义维护，当用户进行数据使用时，将用户的级别和数据级别进行比较，判断用户是否可以使用该数据。</w:t>
      </w:r>
    </w:p>
    <w:p>
      <w:pPr>
        <w:keepNext/>
        <w:keepLines/>
        <w:numPr>
          <w:ilvl w:val="3"/>
          <w:numId w:val="1"/>
        </w:numPr>
        <w:tabs>
          <w:tab w:val="left" w:pos="1080"/>
          <w:tab w:val="clear" w:pos="1304"/>
        </w:tabs>
        <w:spacing w:before="120" w:after="120" w:line="372" w:lineRule="auto"/>
        <w:ind w:left="862" w:hanging="862"/>
        <w:outlineLvl w:val="3"/>
        <w:rPr>
          <w:rFonts w:ascii="Times New Roman" w:hAnsi="Times New Roman" w:eastAsia="黑体" w:cs="Times New Roman"/>
          <w:b/>
          <w:sz w:val="28"/>
        </w:rPr>
      </w:pPr>
      <w:bookmarkStart w:id="106" w:name="_Toc478805208"/>
      <w:r>
        <w:rPr>
          <w:rFonts w:hint="eastAsia" w:ascii="Times New Roman" w:hAnsi="Times New Roman" w:eastAsia="黑体" w:cs="Times New Roman"/>
          <w:b/>
          <w:sz w:val="28"/>
        </w:rPr>
        <w:t>数据备份恢复</w:t>
      </w:r>
      <w:bookmarkEnd w:id="106"/>
    </w:p>
    <w:p>
      <w:pPr>
        <w:adjustRightInd w:val="0"/>
        <w:snapToGrid w:val="0"/>
        <w:spacing w:before="156" w:beforeLines="50" w:after="156" w:afterLines="50"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制定完备的备份方案和采取必要的冗余技术（例如，RAID5、双机备份、多机备份等，并且至少应具备双机备份）以确保丢失数据的可能性尽可能的小，恢复数据尽可能的完备、方便、快捷。</w:t>
      </w:r>
    </w:p>
    <w:p>
      <w:pPr>
        <w:keepNext/>
        <w:keepLines/>
        <w:numPr>
          <w:ilvl w:val="3"/>
          <w:numId w:val="1"/>
        </w:numPr>
        <w:tabs>
          <w:tab w:val="left" w:pos="1080"/>
          <w:tab w:val="clear" w:pos="1304"/>
        </w:tabs>
        <w:spacing w:before="120" w:after="120" w:line="372" w:lineRule="auto"/>
        <w:ind w:left="862" w:hanging="862"/>
        <w:outlineLvl w:val="3"/>
        <w:rPr>
          <w:rFonts w:ascii="Times New Roman" w:hAnsi="Times New Roman" w:eastAsia="黑体" w:cs="Times New Roman"/>
          <w:b/>
          <w:sz w:val="28"/>
        </w:rPr>
      </w:pPr>
      <w:bookmarkStart w:id="107" w:name="_Toc478805209"/>
      <w:r>
        <w:rPr>
          <w:rFonts w:hint="eastAsia" w:ascii="Times New Roman" w:hAnsi="Times New Roman" w:eastAsia="黑体" w:cs="Times New Roman"/>
          <w:b/>
          <w:sz w:val="28"/>
        </w:rPr>
        <w:t>数据防泄密</w:t>
      </w:r>
      <w:bookmarkEnd w:id="107"/>
    </w:p>
    <w:p>
      <w:pPr>
        <w:adjustRightInd w:val="0"/>
        <w:snapToGrid w:val="0"/>
        <w:spacing w:before="156" w:beforeLines="50" w:after="156" w:afterLines="50"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配备数据泄露防护系统，灵活采取加密、隔离、敏感内容识别等多安全种技术手段，按需提供针对性整体解决方案，避免敏感数据泄露、扩散。系统能够在数据和文件使用时便对其进行自动加密，确保以任何方式泄漏的数据和文件均是密文，同时能够有效防止数据和文件通过任何非法操作和传输路径（如：截屏和另存、共享和外设、邮件、和移动存储设备）等方式泄漏，从而更好地管理数据存储、使用、传输的生命周期全过程。</w:t>
      </w:r>
    </w:p>
    <w:p>
      <w:pPr>
        <w:keepNext/>
        <w:keepLines/>
        <w:numPr>
          <w:ilvl w:val="3"/>
          <w:numId w:val="1"/>
        </w:numPr>
        <w:tabs>
          <w:tab w:val="left" w:pos="420"/>
        </w:tabs>
        <w:spacing w:before="120" w:after="120" w:line="372" w:lineRule="auto"/>
        <w:ind w:firstLine="1044"/>
        <w:outlineLvl w:val="3"/>
        <w:rPr>
          <w:rFonts w:ascii="Arial" w:hAnsi="Arial" w:eastAsia="黑体" w:cs="Times New Roman"/>
          <w:b/>
          <w:sz w:val="28"/>
        </w:rPr>
      </w:pPr>
      <w:r>
        <w:rPr>
          <w:rFonts w:hint="eastAsia" w:ascii="Arial" w:hAnsi="Arial" w:eastAsia="黑体" w:cs="Times New Roman"/>
          <w:b/>
          <w:sz w:val="28"/>
        </w:rPr>
        <w:t>数据完整性和保密性</w:t>
      </w:r>
    </w:p>
    <w:p>
      <w:pPr>
        <w:spacing w:after="120" w:line="360" w:lineRule="auto"/>
        <w:ind w:firstLine="480" w:firstLineChars="200"/>
        <w:rPr>
          <w:rFonts w:ascii="宋体" w:hAnsi="宋体" w:eastAsia="宋体" w:cs="宋体"/>
          <w:sz w:val="24"/>
        </w:rPr>
      </w:pPr>
      <w:r>
        <w:rPr>
          <w:rFonts w:ascii="宋体" w:hAnsi="宋体" w:eastAsia="宋体" w:cs="宋体"/>
          <w:sz w:val="24"/>
        </w:rPr>
        <w:t>采用数据传输加密技术，对传输中的数据流加密，以防止通信线路上的窃听、泄漏、篡改和破坏。数据传输的完整性通过数字签名的方式来实现，数据的发送方在发送数据的同时利用单向的不可逆加密算法 Hash 函数</w:t>
      </w:r>
      <w:r>
        <w:rPr>
          <w:rFonts w:hint="eastAsia" w:ascii="宋体" w:hAnsi="宋体" w:eastAsia="宋体" w:cs="宋体"/>
          <w:sz w:val="24"/>
        </w:rPr>
        <w:t>或者其他</w:t>
      </w:r>
      <w:r>
        <w:rPr>
          <w:rFonts w:ascii="宋体" w:hAnsi="宋体" w:eastAsia="宋体" w:cs="宋体"/>
          <w:sz w:val="24"/>
        </w:rPr>
        <w:t>信息文摘算法计算出所传输数据的消息文摘，并把该消息文摘作为数字签名随数据一同发送。接收方在收到数据的同时也收到该数据的数字签名，接收方使用相同的算法计算出接收到的数据的数字签名，并把该数字签名和接收到的数字签名进行比较，若二者相同，则说明数据在传输过程中未被修改，数据完整性得到了保证。</w:t>
      </w:r>
    </w:p>
    <w:p>
      <w:pPr>
        <w:keepNext/>
        <w:keepLines/>
        <w:numPr>
          <w:ilvl w:val="3"/>
          <w:numId w:val="1"/>
        </w:numPr>
        <w:tabs>
          <w:tab w:val="left" w:pos="420"/>
        </w:tabs>
        <w:spacing w:before="120" w:after="120" w:line="372" w:lineRule="auto"/>
        <w:ind w:firstLine="1044"/>
        <w:outlineLvl w:val="3"/>
        <w:rPr>
          <w:rFonts w:ascii="Arial" w:hAnsi="Arial" w:eastAsia="黑体" w:cs="Times New Roman"/>
          <w:b/>
          <w:sz w:val="28"/>
        </w:rPr>
      </w:pPr>
      <w:r>
        <w:rPr>
          <w:rFonts w:hint="eastAsia" w:ascii="Arial" w:hAnsi="Arial" w:eastAsia="黑体" w:cs="Times New Roman"/>
          <w:b/>
          <w:sz w:val="28"/>
        </w:rPr>
        <w:t xml:space="preserve">备份和恢复 </w:t>
      </w:r>
    </w:p>
    <w:p>
      <w:pPr>
        <w:spacing w:after="120" w:line="360" w:lineRule="auto"/>
        <w:ind w:firstLine="480" w:firstLineChars="200"/>
        <w:rPr>
          <w:rFonts w:ascii="Times New Roman" w:hAnsi="Times New Roman" w:eastAsia="宋体" w:cs="Times New Roman"/>
          <w:sz w:val="24"/>
        </w:rPr>
      </w:pPr>
      <w:r>
        <w:rPr>
          <w:rFonts w:ascii="宋体" w:hAnsi="宋体" w:eastAsia="宋体" w:cs="宋体"/>
          <w:sz w:val="24"/>
        </w:rPr>
        <w:t>零停机备份与恢复方案，通过采用全面的数据镜像，操作允许将生产环境与备份和恢复环境分开，从而为最关键的业务应用提供了停机时间为零且不影响操作的数据保护。零停机时间备份与恢复方案为关键业务应用和数据库提供了安全的自动实时备份，在备份进行过程中，应用将保持不间断运行，而且性能丝毫不受影响，有效地保护数据，无论出现何种灾难，至少能有效地恢复数据；极大降低业务在备份操作时性能的下降，保证业务系统的7x24小时运转。备份时无须关闭数据库，也不会因为备份而降低系统的响应时间；最大限度地保护数据的完整性。</w:t>
      </w:r>
    </w:p>
    <w:p>
      <w:pPr>
        <w:keepNext/>
        <w:keepLines/>
        <w:numPr>
          <w:ilvl w:val="2"/>
          <w:numId w:val="1"/>
        </w:numPr>
        <w:spacing w:line="413" w:lineRule="auto"/>
        <w:ind w:firstLine="1044"/>
        <w:outlineLvl w:val="2"/>
        <w:rPr>
          <w:rFonts w:ascii="Times New Roman" w:hAnsi="Times New Roman" w:eastAsia="宋体" w:cs="Times New Roman"/>
          <w:b/>
        </w:rPr>
      </w:pPr>
      <w:bookmarkStart w:id="108" w:name="_Toc4173"/>
      <w:bookmarkStart w:id="109" w:name="_Toc15483"/>
      <w:r>
        <w:rPr>
          <w:rFonts w:hint="eastAsia" w:ascii="Times New Roman" w:hAnsi="Times New Roman" w:eastAsia="宋体" w:cs="Times New Roman"/>
          <w:b/>
        </w:rPr>
        <w:t>信息安全管理</w:t>
      </w:r>
      <w:bookmarkEnd w:id="108"/>
      <w:bookmarkEnd w:id="109"/>
    </w:p>
    <w:p>
      <w:pPr>
        <w:keepNext/>
        <w:keepLines/>
        <w:numPr>
          <w:ilvl w:val="3"/>
          <w:numId w:val="1"/>
        </w:numPr>
        <w:tabs>
          <w:tab w:val="left" w:pos="420"/>
        </w:tabs>
        <w:spacing w:before="120" w:after="120" w:line="372" w:lineRule="auto"/>
        <w:ind w:firstLine="1044"/>
        <w:outlineLvl w:val="3"/>
        <w:rPr>
          <w:rFonts w:ascii="Arial" w:hAnsi="Arial" w:eastAsia="黑体" w:cs="Times New Roman"/>
          <w:b/>
          <w:sz w:val="28"/>
        </w:rPr>
      </w:pPr>
      <w:r>
        <w:rPr>
          <w:rFonts w:hint="eastAsia" w:ascii="Arial" w:hAnsi="Arial" w:eastAsia="黑体" w:cs="Times New Roman"/>
          <w:b/>
          <w:sz w:val="28"/>
        </w:rPr>
        <w:t xml:space="preserve">安全管理制度 </w:t>
      </w:r>
    </w:p>
    <w:p>
      <w:pPr>
        <w:spacing w:line="360" w:lineRule="auto"/>
        <w:ind w:firstLine="480" w:firstLineChars="200"/>
        <w:rPr>
          <w:rFonts w:ascii="宋体" w:hAnsi="宋体" w:eastAsia="宋体" w:cs="宋体"/>
          <w:sz w:val="24"/>
        </w:rPr>
      </w:pPr>
      <w:r>
        <w:rPr>
          <w:rFonts w:ascii="宋体" w:hAnsi="宋体" w:eastAsia="宋体" w:cs="宋体"/>
          <w:sz w:val="24"/>
        </w:rPr>
        <w:t xml:space="preserve">在信息安全中，最活跃的因素是人，对人的管理包括法律、法规与政策的约 束、安全指南的帮助、安全意识的提高、安全技能的培训、人力资源管理措施， 这些功能的实现都是以完备的安全管理政策和制度为前提。这里所说的安全管理 制度包括信息安全工作的总体方针、策略、规范各种安全管理活动的管理制度以及管理人员或操作人员日常操作的操作规程。 </w:t>
      </w:r>
    </w:p>
    <w:p>
      <w:pPr>
        <w:spacing w:line="360" w:lineRule="auto"/>
        <w:ind w:firstLine="480" w:firstLineChars="200"/>
        <w:rPr>
          <w:rFonts w:ascii="宋体" w:hAnsi="宋体" w:eastAsia="宋体" w:cs="宋体"/>
          <w:sz w:val="24"/>
        </w:rPr>
      </w:pPr>
      <w:r>
        <w:rPr>
          <w:rFonts w:ascii="宋体" w:hAnsi="宋体" w:eastAsia="宋体" w:cs="宋体"/>
          <w:sz w:val="24"/>
        </w:rPr>
        <w:t>本项目针对所有参与建设、管理的相关人员需签署保密协议，后期项目实施 针对所有新参与人员签署保密协议。同时，项目在通过等级保护</w:t>
      </w:r>
      <w:r>
        <w:rPr>
          <w:rFonts w:hint="eastAsia" w:ascii="宋体" w:hAnsi="宋体" w:eastAsia="宋体" w:cs="宋体"/>
          <w:sz w:val="24"/>
        </w:rPr>
        <w:t>三</w:t>
      </w:r>
      <w:r>
        <w:rPr>
          <w:rFonts w:ascii="宋体" w:hAnsi="宋体" w:eastAsia="宋体" w:cs="宋体"/>
          <w:sz w:val="24"/>
        </w:rPr>
        <w:t>级测评后，需 制定相关的安全管理制度，内容涉及物理/主机安全管理、应用系统安全管理、 密码安全管理、权限划分管理、数据库安全管理、安全风险管理等。</w:t>
      </w:r>
    </w:p>
    <w:p>
      <w:pPr>
        <w:keepNext/>
        <w:keepLines/>
        <w:numPr>
          <w:ilvl w:val="3"/>
          <w:numId w:val="1"/>
        </w:numPr>
        <w:tabs>
          <w:tab w:val="left" w:pos="420"/>
        </w:tabs>
        <w:spacing w:before="120" w:after="120" w:line="372" w:lineRule="auto"/>
        <w:ind w:firstLine="1044"/>
        <w:outlineLvl w:val="3"/>
        <w:rPr>
          <w:rFonts w:ascii="Arial" w:hAnsi="Arial" w:eastAsia="黑体" w:cs="Times New Roman"/>
          <w:b/>
          <w:sz w:val="28"/>
        </w:rPr>
      </w:pPr>
      <w:r>
        <w:rPr>
          <w:rFonts w:hint="eastAsia" w:ascii="Arial" w:hAnsi="Arial" w:eastAsia="黑体" w:cs="Times New Roman"/>
          <w:b/>
          <w:sz w:val="28"/>
        </w:rPr>
        <w:t xml:space="preserve">安全管理机构 </w:t>
      </w:r>
    </w:p>
    <w:p>
      <w:pPr>
        <w:spacing w:after="120" w:line="360" w:lineRule="auto"/>
        <w:ind w:firstLine="480" w:firstLineChars="200"/>
        <w:rPr>
          <w:rFonts w:ascii="宋体" w:hAnsi="宋体" w:eastAsia="宋体" w:cs="宋体"/>
          <w:sz w:val="24"/>
        </w:rPr>
      </w:pPr>
      <w:r>
        <w:rPr>
          <w:rFonts w:ascii="宋体" w:hAnsi="宋体" w:eastAsia="宋体" w:cs="宋体"/>
          <w:sz w:val="24"/>
        </w:rPr>
        <w:t xml:space="preserve">要建立一个健全、务实、有效、统一指挥、统一步调的完善的安全管理机构， 明确机构成员的安全职责，这是信息安全管理得以实施、推广的基础。在单位的 内部结构上必须建立一整套从单位最高管理层到执行管理层以及业务运营层的 管理结构来约束和保证各项安全管理措施的执行。其主要工作内容包括对机构内 重要的信息安全工作进行授权和审批、内部相关业务部门和安全管理部门之间的 沟通协调以及与机构外部各类单位的合作、定期对系统的安全措施落实情况进行 检查，以发现问题进行改进。 </w:t>
      </w:r>
    </w:p>
    <w:p>
      <w:pPr>
        <w:keepNext/>
        <w:keepLines/>
        <w:numPr>
          <w:ilvl w:val="3"/>
          <w:numId w:val="1"/>
        </w:numPr>
        <w:tabs>
          <w:tab w:val="left" w:pos="420"/>
        </w:tabs>
        <w:spacing w:before="120" w:after="120" w:line="372" w:lineRule="auto"/>
        <w:ind w:firstLine="1044"/>
        <w:outlineLvl w:val="3"/>
        <w:rPr>
          <w:rFonts w:ascii="Arial" w:hAnsi="Arial" w:eastAsia="黑体" w:cs="Times New Roman"/>
          <w:b/>
          <w:sz w:val="28"/>
        </w:rPr>
      </w:pPr>
      <w:r>
        <w:rPr>
          <w:rFonts w:hint="eastAsia" w:ascii="Arial" w:hAnsi="Arial" w:eastAsia="黑体" w:cs="Times New Roman"/>
          <w:b/>
          <w:sz w:val="28"/>
        </w:rPr>
        <w:t xml:space="preserve">人员安全管理 </w:t>
      </w:r>
    </w:p>
    <w:p>
      <w:pPr>
        <w:spacing w:after="120" w:line="360" w:lineRule="auto"/>
        <w:ind w:firstLine="480" w:firstLineChars="200"/>
        <w:rPr>
          <w:rFonts w:ascii="宋体" w:hAnsi="宋体" w:eastAsia="宋体" w:cs="宋体"/>
          <w:sz w:val="24"/>
        </w:rPr>
      </w:pPr>
      <w:r>
        <w:rPr>
          <w:rFonts w:ascii="宋体" w:hAnsi="宋体" w:eastAsia="宋体" w:cs="宋体"/>
          <w:sz w:val="24"/>
        </w:rPr>
        <w:t xml:space="preserve">很多重要的信息系统安全问题都涉及到用户、设计人员、实施人员以及管理 人员。如果这些与人员有关的安全问题没有得到很好的解决，任何一个信息系统 都不可能达到真正的安全。只有对人员进行了正确完善的管理，才有可能降低人 为错误、盗窃、诈骗和误用设备的风险，从而减小了信息系统遭受人员错误造成 损失的概率。 </w:t>
      </w:r>
    </w:p>
    <w:p>
      <w:pPr>
        <w:spacing w:after="120" w:line="360" w:lineRule="auto"/>
        <w:ind w:firstLine="480" w:firstLineChars="200"/>
        <w:rPr>
          <w:rFonts w:ascii="Times New Roman" w:hAnsi="Times New Roman" w:eastAsia="宋体" w:cs="Times New Roman"/>
          <w:sz w:val="24"/>
        </w:rPr>
      </w:pPr>
      <w:r>
        <w:rPr>
          <w:rFonts w:ascii="宋体" w:hAnsi="宋体" w:eastAsia="宋体" w:cs="宋体"/>
          <w:sz w:val="24"/>
        </w:rPr>
        <w:t>对人员安全的管理，主要涉及两方面：对内部人员的安全管理和对外部人员 的安全管理。具体包括：人员录用、人员离岗、人员考核、安全意识教育和培训 和外部人员访问管理等。增强对关键岗位人员的录用、离岗和考核要求，对人员 的培训教育更具有针对性，外部人员访问要求更具体</w:t>
      </w:r>
      <w:r>
        <w:rPr>
          <w:rFonts w:hint="eastAsia" w:ascii="宋体" w:hAnsi="宋体" w:eastAsia="宋体" w:cs="宋体"/>
          <w:sz w:val="24"/>
        </w:rPr>
        <w:t>。</w:t>
      </w:r>
    </w:p>
    <w:p>
      <w:pPr>
        <w:keepNext/>
        <w:keepLines/>
        <w:numPr>
          <w:ilvl w:val="1"/>
          <w:numId w:val="1"/>
        </w:numPr>
        <w:spacing w:before="260" w:after="260" w:line="413" w:lineRule="auto"/>
        <w:ind w:left="575" w:hanging="575"/>
        <w:outlineLvl w:val="1"/>
        <w:rPr>
          <w:rFonts w:ascii="Arial" w:hAnsi="Arial" w:eastAsia="黑体" w:cs="Times New Roman"/>
          <w:b/>
        </w:rPr>
      </w:pPr>
      <w:bookmarkStart w:id="110" w:name="_Toc4175"/>
      <w:bookmarkStart w:id="111" w:name="_Toc29042"/>
      <w:r>
        <w:rPr>
          <w:rFonts w:hint="eastAsia" w:ascii="Arial" w:hAnsi="Arial" w:eastAsia="黑体" w:cs="Times New Roman"/>
          <w:b/>
        </w:rPr>
        <w:t>备份系统设计</w:t>
      </w:r>
      <w:bookmarkEnd w:id="88"/>
      <w:bookmarkEnd w:id="110"/>
      <w:bookmarkEnd w:id="111"/>
    </w:p>
    <w:p>
      <w:pPr>
        <w:spacing w:line="360" w:lineRule="auto"/>
        <w:ind w:firstLine="480" w:firstLineChars="200"/>
        <w:rPr>
          <w:rFonts w:ascii="Times New Roman" w:hAnsi="Times New Roman" w:eastAsia="宋体" w:cs="Times New Roman"/>
          <w:sz w:val="24"/>
          <w:szCs w:val="20"/>
        </w:rPr>
      </w:pPr>
      <w:bookmarkStart w:id="112" w:name="_Toc16981"/>
      <w:r>
        <w:rPr>
          <w:rFonts w:hint="eastAsia" w:ascii="Times New Roman" w:hAnsi="Times New Roman" w:eastAsia="宋体" w:cs="Times New Roman"/>
          <w:sz w:val="24"/>
          <w:szCs w:val="20"/>
        </w:rPr>
        <w:t>容灾备份系统是对整个平台进行备份和容灾，提高系统受灾时的恢复能力。容灾备份系统将遵循我国信息安全等级保护制度要求，根据《信息系统安全等级保护基本要求》和《重要信息系统灾难恢复指南》的规定进行容灾备份系统的建设。</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本项目建立网络、数据、系统软件和关键硬件等系统的备份机制，以及备份与恢复配套管理制度。具体应满足如下要求：</w:t>
      </w:r>
    </w:p>
    <w:p>
      <w:pPr>
        <w:numPr>
          <w:ilvl w:val="0"/>
          <w:numId w:val="15"/>
        </w:numPr>
        <w:spacing w:line="360" w:lineRule="auto"/>
        <w:rPr>
          <w:rFonts w:ascii="Times New Roman" w:hAnsi="Times New Roman" w:eastAsia="宋体" w:cs="Times New Roman"/>
          <w:sz w:val="24"/>
        </w:rPr>
      </w:pPr>
      <w:r>
        <w:rPr>
          <w:rFonts w:hint="eastAsia" w:ascii="Times New Roman" w:hAnsi="Times New Roman" w:eastAsia="宋体" w:cs="Times New Roman"/>
          <w:sz w:val="24"/>
        </w:rPr>
        <w:t>应提供本地数据备份与恢复功能，完全数据备份至少每天一次，备份介质场外存放；</w:t>
      </w:r>
    </w:p>
    <w:p>
      <w:pPr>
        <w:numPr>
          <w:ilvl w:val="0"/>
          <w:numId w:val="15"/>
        </w:numPr>
        <w:spacing w:line="360" w:lineRule="auto"/>
        <w:rPr>
          <w:rFonts w:ascii="Times New Roman" w:hAnsi="Times New Roman" w:eastAsia="宋体" w:cs="Times New Roman"/>
          <w:sz w:val="24"/>
        </w:rPr>
      </w:pPr>
      <w:r>
        <w:rPr>
          <w:rFonts w:hint="eastAsia" w:ascii="Times New Roman" w:hAnsi="Times New Roman" w:eastAsia="宋体" w:cs="Times New Roman"/>
          <w:sz w:val="24"/>
        </w:rPr>
        <w:t>应提供异地数据备份功能，利用通信网络将关键数据定时批量传送至备用场地；</w:t>
      </w:r>
    </w:p>
    <w:p>
      <w:pPr>
        <w:spacing w:line="360" w:lineRule="auto"/>
        <w:ind w:firstLine="480"/>
        <w:rPr>
          <w:rFonts w:ascii="Times New Roman" w:hAnsi="Times New Roman" w:eastAsia="宋体" w:cs="Times New Roman"/>
          <w:sz w:val="24"/>
          <w:szCs w:val="20"/>
        </w:rPr>
      </w:pPr>
      <w:r>
        <w:rPr>
          <w:rFonts w:hint="eastAsia" w:ascii="Times New Roman" w:hAnsi="Times New Roman" w:eastAsia="宋体" w:cs="Times New Roman"/>
          <w:sz w:val="24"/>
          <w:szCs w:val="20"/>
        </w:rPr>
        <w:t>（3）应采用冗余技术设计网络拓扑结构，避免关键节点存在单点故障；</w:t>
      </w:r>
    </w:p>
    <w:p>
      <w:pPr>
        <w:spacing w:line="360" w:lineRule="auto"/>
        <w:ind w:firstLine="480"/>
        <w:rPr>
          <w:rFonts w:ascii="Times New Roman" w:hAnsi="Times New Roman" w:eastAsia="宋体" w:cs="Times New Roman"/>
          <w:sz w:val="24"/>
          <w:szCs w:val="20"/>
        </w:rPr>
      </w:pPr>
      <w:r>
        <w:rPr>
          <w:rFonts w:hint="eastAsia" w:ascii="Times New Roman" w:hAnsi="Times New Roman" w:eastAsia="宋体" w:cs="Times New Roman"/>
          <w:sz w:val="24"/>
          <w:szCs w:val="20"/>
        </w:rPr>
        <w:t>（4）应提供主要网络设备、通信线路和数据处理系统的硬件冗余，主要设备双冗余电源，保证系统的高可用性。</w:t>
      </w:r>
    </w:p>
    <w:p>
      <w:pPr>
        <w:spacing w:line="360" w:lineRule="auto"/>
        <w:ind w:left="480"/>
        <w:rPr>
          <w:rFonts w:ascii="Times New Roman" w:hAnsi="Times New Roman" w:eastAsia="宋体" w:cs="Times New Roman"/>
          <w:sz w:val="24"/>
          <w:szCs w:val="20"/>
        </w:rPr>
      </w:pPr>
      <w:r>
        <w:rPr>
          <w:rFonts w:hint="eastAsia" w:ascii="Times New Roman" w:hAnsi="Times New Roman" w:eastAsia="宋体" w:cs="Times New Roman"/>
          <w:sz w:val="24"/>
          <w:szCs w:val="20"/>
        </w:rPr>
        <w:t>在网络、应用系统和存储系统的建设中应考虑：</w:t>
      </w:r>
    </w:p>
    <w:p>
      <w:pPr>
        <w:numPr>
          <w:ilvl w:val="0"/>
          <w:numId w:val="16"/>
        </w:numPr>
        <w:spacing w:line="360" w:lineRule="auto"/>
        <w:rPr>
          <w:rFonts w:ascii="Times New Roman" w:hAnsi="Times New Roman" w:eastAsia="宋体" w:cs="Times New Roman"/>
          <w:sz w:val="24"/>
        </w:rPr>
      </w:pPr>
      <w:r>
        <w:rPr>
          <w:rFonts w:hint="eastAsia" w:ascii="Times New Roman" w:hAnsi="Times New Roman" w:eastAsia="宋体" w:cs="Times New Roman"/>
          <w:sz w:val="24"/>
        </w:rPr>
        <w:t>采用磁带机或磁盘阵列、服务器等备份机制，对数据进行备份和恢复；</w:t>
      </w:r>
    </w:p>
    <w:p>
      <w:pPr>
        <w:numPr>
          <w:ilvl w:val="0"/>
          <w:numId w:val="16"/>
        </w:numPr>
        <w:spacing w:line="360" w:lineRule="auto"/>
        <w:rPr>
          <w:rFonts w:ascii="Times New Roman" w:hAnsi="Times New Roman" w:eastAsia="宋体" w:cs="Times New Roman"/>
          <w:sz w:val="24"/>
        </w:rPr>
      </w:pPr>
      <w:r>
        <w:rPr>
          <w:rFonts w:hint="eastAsia" w:ascii="Times New Roman" w:hAnsi="Times New Roman" w:eastAsia="宋体" w:cs="Times New Roman"/>
          <w:sz w:val="24"/>
        </w:rPr>
        <w:t>建设异地数据备份机制；</w:t>
      </w:r>
    </w:p>
    <w:p>
      <w:pPr>
        <w:numPr>
          <w:ilvl w:val="0"/>
          <w:numId w:val="16"/>
        </w:numPr>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关键节点设备、网络设备、服务器采用双机热备方式或集群方式部署，主要通信线路双线路备份。</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此外，针对数据备份和软件备份必须制定相应的备份管理制度，维护人员必须定期进行数据的脱机备份，备份存储介质采用异地存放的方式进行保存。</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本项目备份主要考虑建设数据容灾备份，备份的整体考虑如下。</w:t>
      </w:r>
    </w:p>
    <w:p>
      <w:pPr>
        <w:numPr>
          <w:ilvl w:val="0"/>
          <w:numId w:val="17"/>
        </w:numPr>
        <w:spacing w:line="360" w:lineRule="auto"/>
        <w:rPr>
          <w:rFonts w:ascii="Times New Roman" w:hAnsi="Times New Roman" w:eastAsia="宋体" w:cs="Times New Roman"/>
          <w:sz w:val="24"/>
        </w:rPr>
      </w:pPr>
      <w:r>
        <w:rPr>
          <w:rFonts w:hint="eastAsia" w:ascii="Times New Roman" w:hAnsi="Times New Roman" w:eastAsia="宋体" w:cs="Times New Roman"/>
          <w:sz w:val="24"/>
        </w:rPr>
        <w:t>系统建设本地数据备份与恢复功能，可以保证可随时备份与恢复；</w:t>
      </w:r>
    </w:p>
    <w:p>
      <w:pPr>
        <w:numPr>
          <w:ilvl w:val="0"/>
          <w:numId w:val="17"/>
        </w:numPr>
        <w:spacing w:line="360" w:lineRule="auto"/>
        <w:rPr>
          <w:rFonts w:ascii="Times New Roman" w:hAnsi="Times New Roman" w:eastAsia="宋体" w:cs="Times New Roman"/>
          <w:sz w:val="24"/>
        </w:rPr>
      </w:pPr>
      <w:r>
        <w:rPr>
          <w:rFonts w:hint="eastAsia" w:ascii="Times New Roman" w:hAnsi="Times New Roman" w:eastAsia="宋体" w:cs="Times New Roman"/>
          <w:sz w:val="24"/>
        </w:rPr>
        <w:t>网络节点及主要设备采用双节点部署，避免关键节点存在单点故障；</w:t>
      </w:r>
    </w:p>
    <w:p>
      <w:pPr>
        <w:numPr>
          <w:ilvl w:val="0"/>
          <w:numId w:val="17"/>
        </w:numPr>
        <w:spacing w:line="360" w:lineRule="auto"/>
        <w:rPr>
          <w:rFonts w:ascii="Times New Roman" w:hAnsi="Times New Roman" w:eastAsia="宋体" w:cs="Times New Roman"/>
          <w:sz w:val="24"/>
        </w:rPr>
      </w:pPr>
      <w:r>
        <w:rPr>
          <w:rFonts w:hint="eastAsia" w:ascii="Times New Roman" w:hAnsi="Times New Roman" w:eastAsia="宋体" w:cs="Times New Roman"/>
          <w:sz w:val="24"/>
        </w:rPr>
        <w:t>通信线路采用双链路不同运营商方式接入，保证链路的安全；</w:t>
      </w:r>
    </w:p>
    <w:p>
      <w:pPr>
        <w:numPr>
          <w:ilvl w:val="0"/>
          <w:numId w:val="17"/>
        </w:numPr>
        <w:spacing w:line="360" w:lineRule="auto"/>
        <w:rPr>
          <w:rFonts w:ascii="Times New Roman" w:hAnsi="Times New Roman" w:eastAsia="宋体" w:cs="Times New Roman"/>
          <w:sz w:val="24"/>
        </w:rPr>
      </w:pPr>
      <w:r>
        <w:rPr>
          <w:rFonts w:hint="eastAsia" w:ascii="Times New Roman" w:hAnsi="Times New Roman" w:eastAsia="宋体" w:cs="Times New Roman"/>
          <w:sz w:val="24"/>
        </w:rPr>
        <w:t>基于光磁融合的存储技术实现重要数据的冷热分级安全长期存储，不同用户根据设定进行数据备份归档管理、冷热数据按数据生命周期定期自动备份归档；按数据保存年限，将数据备份归档到归档光盘长期保存；可实现离线保存。</w:t>
      </w:r>
    </w:p>
    <w:p>
      <w:pPr>
        <w:keepNext/>
        <w:keepLines/>
        <w:numPr>
          <w:ilvl w:val="1"/>
          <w:numId w:val="1"/>
        </w:numPr>
        <w:spacing w:before="260" w:after="260" w:line="413" w:lineRule="auto"/>
        <w:ind w:left="575" w:hanging="575"/>
        <w:outlineLvl w:val="1"/>
        <w:rPr>
          <w:rFonts w:ascii="Arial" w:hAnsi="Arial" w:eastAsia="黑体" w:cs="Times New Roman"/>
          <w:b/>
        </w:rPr>
      </w:pPr>
      <w:bookmarkStart w:id="113" w:name="_Toc10538"/>
      <w:bookmarkStart w:id="114" w:name="_Toc32699"/>
      <w:r>
        <w:rPr>
          <w:rFonts w:hint="eastAsia" w:ascii="Arial" w:hAnsi="Arial" w:eastAsia="黑体" w:cs="Times New Roman"/>
          <w:b/>
        </w:rPr>
        <w:t>运行维护系统设计</w:t>
      </w:r>
      <w:bookmarkEnd w:id="112"/>
      <w:bookmarkEnd w:id="113"/>
      <w:bookmarkEnd w:id="114"/>
    </w:p>
    <w:p>
      <w:pPr>
        <w:adjustRightInd w:val="0"/>
        <w:snapToGrid w:val="0"/>
        <w:spacing w:before="156" w:beforeLines="50" w:after="156" w:afterLines="50"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基于云计算、大数据技术，借鉴国际ITIL标准，逐步构建符运维服务保障体系，突出以云计算和数据治理为重点的运维模式。在采用系统运行监控和可视化运维的基础上，逐步建设以自动化运维系统为依托的数据中心云运维模式；在以数据为生产力的大数据时代，探索构建从跨业务、跨系统的空间视角上和从数据创建、获得、存储、维护、使用、销毁的时间视角上实现数据资产的治理和管控。该运维服务保障体系主要包括技术和管理两方面，技术体系指建设高效的可视化运维管理及运用先进的信息技术手段，进一步提高各项工作领域的信息化技术和应用水平；管理体系指在运维团队、运维规范和流程等方面采用成熟的管理架构，建立符合信息化的完整流程规范，制定运维服务标准并严格执行，切实提高综合信息化的运维服务质量。</w:t>
      </w:r>
    </w:p>
    <w:p>
      <w:pPr>
        <w:keepNext/>
        <w:keepLines/>
        <w:numPr>
          <w:ilvl w:val="2"/>
          <w:numId w:val="1"/>
        </w:numPr>
        <w:spacing w:line="413" w:lineRule="auto"/>
        <w:ind w:firstLine="1044"/>
        <w:outlineLvl w:val="2"/>
        <w:rPr>
          <w:rFonts w:ascii="Times New Roman" w:hAnsi="Times New Roman" w:eastAsia="宋体" w:cs="Times New Roman"/>
          <w:b/>
        </w:rPr>
      </w:pPr>
      <w:bookmarkStart w:id="115" w:name="_Toc17596"/>
      <w:bookmarkStart w:id="116" w:name="_Toc20335"/>
      <w:bookmarkStart w:id="117" w:name="_Toc18064"/>
      <w:r>
        <w:rPr>
          <w:rFonts w:hint="eastAsia" w:ascii="Times New Roman" w:hAnsi="Times New Roman" w:eastAsia="宋体" w:cs="Times New Roman"/>
          <w:b/>
        </w:rPr>
        <w:t>运维技术体系</w:t>
      </w:r>
      <w:bookmarkEnd w:id="115"/>
      <w:bookmarkEnd w:id="116"/>
      <w:bookmarkEnd w:id="117"/>
    </w:p>
    <w:p>
      <w:pPr>
        <w:adjustRightInd w:val="0"/>
        <w:snapToGrid w:val="0"/>
        <w:spacing w:before="156" w:beforeLines="50" w:after="156" w:afterLines="50"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运维技术体系主要包括建设可视化运维管理、编制运维保障规范以及基础运维管理工具的。可视化运维管理主要实现对基础设施运行情况、应用系统运行情况、数据系统运行情况、安全系统运行情况以及运维管理情况的统一展示，有针对性的进行信息化运行态势提升和改进；运维保障规范指通过一系列的运维管理制度和流程来规范运维工作，提高运维工作的效率，保障日常运维工作的有效开展；基础运维工具指通过集成其他相应系统提供的运维管理工具以及网管系统、动环监控系统等第三方管理工具实现对本项目涉及的基础设施、应用系统、数据系统和安全系统的日常监控和管理。</w:t>
      </w:r>
    </w:p>
    <w:p>
      <w:pPr>
        <w:keepNext/>
        <w:keepLines/>
        <w:numPr>
          <w:ilvl w:val="3"/>
          <w:numId w:val="1"/>
        </w:numPr>
        <w:tabs>
          <w:tab w:val="left" w:pos="420"/>
        </w:tabs>
        <w:spacing w:before="120" w:after="120" w:line="372" w:lineRule="auto"/>
        <w:ind w:firstLine="1044"/>
        <w:outlineLvl w:val="3"/>
        <w:rPr>
          <w:rFonts w:ascii="Arial" w:hAnsi="Arial" w:eastAsia="黑体" w:cs="Times New Roman"/>
          <w:b/>
          <w:sz w:val="28"/>
        </w:rPr>
      </w:pPr>
      <w:r>
        <w:rPr>
          <w:rFonts w:hint="eastAsia" w:ascii="Arial" w:hAnsi="Arial" w:eastAsia="黑体" w:cs="Times New Roman"/>
          <w:b/>
          <w:sz w:val="28"/>
        </w:rPr>
        <w:t>总体框架</w:t>
      </w:r>
    </w:p>
    <w:p>
      <w:pPr>
        <w:adjustRightInd w:val="0"/>
        <w:snapToGrid w:val="0"/>
        <w:spacing w:before="156" w:beforeLines="50" w:after="156" w:afterLines="50"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运维体系结构由基础运维工具、可视化运维管理和运维保障规范组成，并支撑信息系统应急处理。运维体系针对基础设施、应用系统、数据系统和安全系统要素进行可视化管理，全面掌控信息系统运行态势，为项目后期管理和建设提供决策依据，不断提升信息系统运行质效。</w:t>
      </w:r>
    </w:p>
    <w:p>
      <w:pPr>
        <w:keepNext/>
        <w:keepLines/>
        <w:numPr>
          <w:ilvl w:val="3"/>
          <w:numId w:val="1"/>
        </w:numPr>
        <w:tabs>
          <w:tab w:val="left" w:pos="420"/>
        </w:tabs>
        <w:spacing w:before="120" w:after="120" w:line="372" w:lineRule="auto"/>
        <w:ind w:firstLine="1044"/>
        <w:outlineLvl w:val="3"/>
        <w:rPr>
          <w:rFonts w:ascii="Arial" w:hAnsi="Arial" w:eastAsia="黑体" w:cs="Times New Roman"/>
          <w:b/>
          <w:sz w:val="28"/>
        </w:rPr>
      </w:pPr>
      <w:r>
        <w:rPr>
          <w:rFonts w:hint="eastAsia" w:ascii="Arial" w:hAnsi="Arial" w:eastAsia="黑体" w:cs="Times New Roman"/>
          <w:b/>
          <w:sz w:val="28"/>
        </w:rPr>
        <w:t>基础运维管理</w:t>
      </w:r>
    </w:p>
    <w:p>
      <w:pPr>
        <w:adjustRightInd w:val="0"/>
        <w:snapToGrid w:val="0"/>
        <w:spacing w:before="156" w:beforeLines="50" w:after="156" w:afterLines="50"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(1)基础设施运维</w:t>
      </w:r>
    </w:p>
    <w:p>
      <w:pPr>
        <w:adjustRightInd w:val="0"/>
        <w:snapToGrid w:val="0"/>
        <w:spacing w:before="156" w:beforeLines="50" w:after="156" w:afterLines="50"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基础设施运维对象包括电子政务外网、互联网和数据备份中心等IT基础设施。</w:t>
      </w:r>
    </w:p>
    <w:p>
      <w:pPr>
        <w:adjustRightInd w:val="0"/>
        <w:snapToGrid w:val="0"/>
        <w:spacing w:before="156" w:beforeLines="50" w:after="156" w:afterLines="50"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基础设施运维目标为保障系统涉及IT资源的合理分配和有效利用。保障网络的有效连通，保障服务器、存储、网络等设备的可靠、高效、持续、安全运行。</w:t>
      </w:r>
    </w:p>
    <w:p>
      <w:pPr>
        <w:adjustRightInd w:val="0"/>
        <w:snapToGrid w:val="0"/>
        <w:spacing w:before="156" w:beforeLines="50" w:after="156" w:afterLines="50"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(2)数据运维</w:t>
      </w:r>
    </w:p>
    <w:p>
      <w:pPr>
        <w:adjustRightInd w:val="0"/>
        <w:snapToGrid w:val="0"/>
        <w:spacing w:before="156" w:beforeLines="50" w:after="156" w:afterLines="50"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数据运维对象包括应用系统的生产数据、信息资源库数据、基础库数据(元数据及主数据)。数据运维目标为保障各系统数据的汇集、存储、分析、应用服务和管理；保障数据处理的全流程监控，纠正系统数据处理的问题；保障数据在平台各节点运行的及时、完整、准确和一致；保障数据的全生命周期管理。</w:t>
      </w:r>
    </w:p>
    <w:p>
      <w:pPr>
        <w:adjustRightInd w:val="0"/>
        <w:snapToGrid w:val="0"/>
        <w:spacing w:before="156" w:beforeLines="50" w:after="156" w:afterLines="50"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(3)安全运维</w:t>
      </w:r>
    </w:p>
    <w:p>
      <w:pPr>
        <w:adjustRightInd w:val="0"/>
        <w:snapToGrid w:val="0"/>
        <w:spacing w:before="156" w:beforeLines="50" w:after="156" w:afterLines="50"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安全运维主要基于本次涉及各项平台，运维对象包括安全设备、主机、中间件、数据库、核心应用系统等信息资产。安全运维目标为保障网络与信息系统中的安全设备及软件正常运行和可用，及时发现并消除网络与信息系统中存在的信息安全风险，实时监测信息安全事件并做出及时、准确地响应，提高信息安全水平。</w:t>
      </w:r>
    </w:p>
    <w:p>
      <w:pPr>
        <w:adjustRightInd w:val="0"/>
        <w:snapToGrid w:val="0"/>
        <w:spacing w:before="156" w:beforeLines="50" w:after="156" w:afterLines="50"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(4)应用运维</w:t>
      </w:r>
    </w:p>
    <w:p>
      <w:pPr>
        <w:adjustRightInd w:val="0"/>
        <w:snapToGrid w:val="0"/>
        <w:spacing w:before="156" w:beforeLines="50" w:after="156" w:afterLines="50"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应用运维的对象主要为各大应用系统平台中各应用系统，包括应用系统的展现层、应用层、应用支撑层，即应用系统的门户、各个应用系统、各类应用支撑系统。</w:t>
      </w:r>
    </w:p>
    <w:p>
      <w:pPr>
        <w:adjustRightInd w:val="0"/>
        <w:snapToGrid w:val="0"/>
        <w:spacing w:before="156" w:beforeLines="50" w:after="156" w:afterLines="50"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应用运维目标为保障各平台中的应用系统正常使用；根据数据管理应用，关注应用使用情况；对数据进行分析，持续优化应用。</w:t>
      </w:r>
    </w:p>
    <w:p>
      <w:pPr>
        <w:keepNext/>
        <w:keepLines/>
        <w:numPr>
          <w:ilvl w:val="2"/>
          <w:numId w:val="1"/>
        </w:numPr>
        <w:spacing w:line="413" w:lineRule="auto"/>
        <w:ind w:firstLine="1044"/>
        <w:outlineLvl w:val="2"/>
        <w:rPr>
          <w:rFonts w:ascii="Times New Roman" w:hAnsi="Times New Roman" w:eastAsia="宋体" w:cs="Times New Roman"/>
          <w:b/>
        </w:rPr>
      </w:pPr>
      <w:bookmarkStart w:id="118" w:name="_Toc10844"/>
      <w:bookmarkStart w:id="119" w:name="_Toc6839"/>
      <w:bookmarkStart w:id="120" w:name="_Toc27974"/>
      <w:r>
        <w:rPr>
          <w:rFonts w:hint="eastAsia" w:ascii="Times New Roman" w:hAnsi="Times New Roman" w:eastAsia="宋体" w:cs="Times New Roman"/>
          <w:b/>
        </w:rPr>
        <w:t>运维管理体系</w:t>
      </w:r>
      <w:bookmarkEnd w:id="118"/>
      <w:bookmarkEnd w:id="119"/>
      <w:bookmarkEnd w:id="120"/>
    </w:p>
    <w:p>
      <w:pPr>
        <w:adjustRightInd w:val="0"/>
        <w:snapToGrid w:val="0"/>
        <w:spacing w:before="156" w:beforeLines="50" w:after="156" w:afterLines="50"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(1)人员管理</w:t>
      </w:r>
    </w:p>
    <w:p>
      <w:pPr>
        <w:adjustRightInd w:val="0"/>
        <w:snapToGrid w:val="0"/>
        <w:spacing w:before="156" w:beforeLines="50" w:after="156" w:afterLines="50"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人员管理主要是对项目运维服务参与人员的管理，包括岗位管理、人员储备管理、人员培训、人员绩效管理等。实施岗位管理，根据运维工作内容的不同，设置运维管理岗、一线运维岗和二线运维岗等。一线运维根据运维服务对象或专业的不同设置网络运维岗、主机运维岗、应用运维岗、数据运维岗等，通过岗位管理明确岗位职责和权限以及对人员的专业要求，满足日常运维服务的开展。</w:t>
      </w:r>
    </w:p>
    <w:p>
      <w:pPr>
        <w:adjustRightInd w:val="0"/>
        <w:snapToGrid w:val="0"/>
        <w:spacing w:before="156" w:beforeLines="50" w:after="156" w:afterLines="50"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建立人员储备制度，以满足云计算和大数据服务等新兴技术的应用以及应对人员流失风险。人员储备可以通过内部培养和外部招聘等方式实现。</w:t>
      </w:r>
    </w:p>
    <w:p>
      <w:pPr>
        <w:adjustRightInd w:val="0"/>
        <w:snapToGrid w:val="0"/>
        <w:spacing w:before="156" w:beforeLines="50" w:after="156" w:afterLines="50"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建立人员培训制度，定期开展人员培训，人员培训包括专业技术培训、服务规范培训等内容。</w:t>
      </w:r>
    </w:p>
    <w:p>
      <w:pPr>
        <w:adjustRightInd w:val="0"/>
        <w:snapToGrid w:val="0"/>
        <w:spacing w:before="156" w:beforeLines="50" w:after="156" w:afterLines="50"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建立人员绩效考核制度，对运维人员的绩效考核可以从知识技能、服务态度、工作质量三个维度制定相关的考核标准。</w:t>
      </w:r>
    </w:p>
    <w:p>
      <w:pPr>
        <w:adjustRightInd w:val="0"/>
        <w:snapToGrid w:val="0"/>
        <w:spacing w:before="156" w:beforeLines="50" w:after="156" w:afterLines="50"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(2)外包管理</w:t>
      </w:r>
    </w:p>
    <w:p>
      <w:pPr>
        <w:adjustRightInd w:val="0"/>
        <w:snapToGrid w:val="0"/>
        <w:spacing w:before="156" w:beforeLines="50" w:after="156" w:afterLines="50"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建立运维外包工作机制，包括运维外包范围的确定、运维项目预算管理、服务提供商的选择条件、运维外包采购方式、运维外包合同管理等各方面工作内容，并确定相关环节的负责部门。通过对运行维护外包的管理使运行维护外包工作规范化，保障运行维护外包目标的实现，确保系统运行维护的质量。</w:t>
      </w:r>
    </w:p>
    <w:p>
      <w:pPr>
        <w:adjustRightInd w:val="0"/>
        <w:snapToGrid w:val="0"/>
        <w:spacing w:before="156" w:beforeLines="50" w:after="156" w:afterLines="50"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(3)服务级别管理</w:t>
      </w:r>
    </w:p>
    <w:p>
      <w:pPr>
        <w:adjustRightInd w:val="0"/>
        <w:snapToGrid w:val="0"/>
        <w:spacing w:before="156" w:beforeLines="50" w:after="156" w:afterLines="50"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建立服务级别管理制度，根据运维服务对象、服务内容建立运维服务目录，在运维服务目录的基础上，根据各信息系统的不同重要等级，运维保障部门与信息系统用户之间就服务响应时间、服务频次、品质、水准、性能保障等方面达成协议。</w:t>
      </w:r>
    </w:p>
    <w:p>
      <w:pPr>
        <w:adjustRightInd w:val="0"/>
        <w:snapToGrid w:val="0"/>
        <w:spacing w:before="156" w:beforeLines="50" w:after="156" w:afterLines="50"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(4)安全管理</w:t>
      </w:r>
    </w:p>
    <w:p>
      <w:pPr>
        <w:adjustRightInd w:val="0"/>
        <w:snapToGrid w:val="0"/>
        <w:spacing w:before="156" w:beforeLines="50" w:after="156" w:afterLines="50"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建立运行维护服务过程中的信息安全管理制度，从管理和技术的双重角度对信息系统的安全进行管理。按照国家相关法律法规的要求，满足信息系统运行维护服务的信息安全需求，建立与信息安全管理过程一致的活动，包括识别、评估、处置和改进等。对涉密信息系统按照国家保密局要求进行分级保护管理。</w:t>
      </w:r>
    </w:p>
    <w:p>
      <w:pPr>
        <w:adjustRightInd w:val="0"/>
        <w:snapToGrid w:val="0"/>
        <w:spacing w:before="156" w:beforeLines="50" w:after="156" w:afterLines="50"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(5)资产管理</w:t>
      </w:r>
    </w:p>
    <w:p>
      <w:pPr>
        <w:adjustRightInd w:val="0"/>
        <w:snapToGrid w:val="0"/>
        <w:spacing w:before="156" w:beforeLines="50" w:after="156" w:afterLines="50"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资产是运维服务的基础，资产管理应涉及信息网络系统中的各类硬件、软件和信息化数据的管理。建立从资产录入到资产注销全生命周期的资产管理制度，应包括资产档案管理、资产标识管理、资产审查管理、资产变更管理等内容。</w:t>
      </w:r>
    </w:p>
    <w:p>
      <w:pPr>
        <w:adjustRightInd w:val="0"/>
        <w:snapToGrid w:val="0"/>
        <w:spacing w:before="156" w:beforeLines="50" w:after="156" w:afterLines="50"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(6)文档管理</w:t>
      </w:r>
    </w:p>
    <w:p>
      <w:pPr>
        <w:adjustRightInd w:val="0"/>
        <w:snapToGrid w:val="0"/>
        <w:spacing w:before="156" w:beforeLines="50" w:after="156" w:afterLines="50"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文档包括运维服务过程中产生的机房出入申请、资源审批报告、变更申请、故障处理报告、巡检报告等过程文档，以及每个节点的服务报告如月度运维服务报告、年度运维服务报告等运维输出物。</w:t>
      </w:r>
    </w:p>
    <w:p>
      <w:pPr>
        <w:adjustRightInd w:val="0"/>
        <w:snapToGrid w:val="0"/>
        <w:spacing w:before="156" w:beforeLines="50" w:after="156" w:afterLines="50"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建立文档管理制度，对日常运维工作中的各类电子文档采用文档管理工具进行有效管理；对于运维工作的纸质文档，进行归类管理、版本记录和定期归档。将各类运维文档根据文档类型(工作记录、服务报告、操作手册等)和服务类别(基础设施、软件应用、音视频等)进行分类管理。同时，对各类运维文档进行访问权限管理。</w:t>
      </w:r>
    </w:p>
    <w:p>
      <w:pPr>
        <w:adjustRightInd w:val="0"/>
        <w:snapToGrid w:val="0"/>
        <w:spacing w:before="156" w:beforeLines="50" w:after="156" w:afterLines="50"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(7)知识管理</w:t>
      </w:r>
    </w:p>
    <w:p>
      <w:pPr>
        <w:adjustRightInd w:val="0"/>
        <w:snapToGrid w:val="0"/>
        <w:spacing w:before="156" w:beforeLines="50" w:after="156" w:afterLines="50"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知识管理负责搜集、分析、存储和共享知识和信息，其主要目的是通过确保提供可靠和安全的知识和信息以提高运维维护的效率和质量。</w:t>
      </w:r>
    </w:p>
    <w:p>
      <w:pPr>
        <w:adjustRightInd w:val="0"/>
        <w:snapToGrid w:val="0"/>
        <w:spacing w:before="156" w:beforeLines="50" w:after="156" w:afterLines="50"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建立知识管理机制，对运行维护服务活动进行知识积累，以保证在整个组织内收集、共享、重复使用所积累的知识和信息。</w:t>
      </w:r>
    </w:p>
    <w:p>
      <w:pPr>
        <w:adjustRightInd w:val="0"/>
        <w:snapToGrid w:val="0"/>
        <w:spacing w:before="156" w:beforeLines="50" w:after="156" w:afterLines="50"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针对常见问题的描述、分析和解决方法建立知识库，确保整个组织内的知识是可用的、可共享的。</w:t>
      </w:r>
    </w:p>
    <w:p>
      <w:pPr>
        <w:adjustRightInd w:val="0"/>
        <w:snapToGrid w:val="0"/>
        <w:spacing w:before="156" w:beforeLines="50" w:after="156" w:afterLines="50"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选择合适的知识管理策略，实现知识的添加、更新和查询；针对知识管理要求制定相关管理制度，并进行知识生命周期管理。</w:t>
      </w:r>
    </w:p>
    <w:p>
      <w:pPr>
        <w:adjustRightInd w:val="0"/>
        <w:snapToGrid w:val="0"/>
        <w:spacing w:before="156" w:beforeLines="50" w:after="156" w:afterLines="50"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(8)运维绩效管理</w:t>
      </w:r>
    </w:p>
    <w:p>
      <w:pPr>
        <w:adjustRightInd w:val="0"/>
        <w:snapToGrid w:val="0"/>
        <w:spacing w:before="156" w:beforeLines="50" w:after="156" w:afterLines="50"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绩效考核是IT运维服务管理体系见成效的重要手段。按照体系、流程和岗位角色分解，建立“IT运维服务管理体系关键绩效指标(KPI)－流程绩效指标－角色岗位绩效指标”三层相互关联的绩效考核指标，从三个层面考核IT服务管理的绩效。建立绩效管理机制，以改进服务组织的服务效率和服务质量，提高运维服务满意度。</w:t>
      </w:r>
    </w:p>
    <w:p>
      <w:pPr>
        <w:adjustRightInd w:val="0"/>
        <w:snapToGrid w:val="0"/>
        <w:spacing w:before="156" w:beforeLines="50" w:after="156" w:afterLines="50"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(9)备件管理</w:t>
      </w:r>
    </w:p>
    <w:p>
      <w:pPr>
        <w:adjustRightInd w:val="0"/>
        <w:snapToGrid w:val="0"/>
        <w:spacing w:before="156" w:beforeLines="50" w:after="156" w:afterLines="50"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备品备件是运维过程中重要的资源，是信息系统故障快速恢复的重要保障，本项目要根据信息系统中各子系统和设备的重要程度，制定相应的备件采购计划，通过自主采购或者委托维保服务商提供相应的备件服务。建立备件库，以及备件库管理规范，加强备件的管理。</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Symbol">
    <w:panose1 w:val="05050102010706020507"/>
    <w:charset w:val="00"/>
    <w:family w:val="roman"/>
    <w:pitch w:val="default"/>
    <w:sig w:usb0="00000000" w:usb1="00000000" w:usb2="00000000" w:usb3="00000000" w:csb0="8000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A7B834"/>
    <w:multiLevelType w:val="singleLevel"/>
    <w:tmpl w:val="8DA7B834"/>
    <w:lvl w:ilvl="0" w:tentative="0">
      <w:start w:val="1"/>
      <w:numFmt w:val="decimal"/>
      <w:suff w:val="nothing"/>
      <w:lvlText w:val="（%1）"/>
      <w:lvlJc w:val="left"/>
      <w:pPr>
        <w:ind w:left="-360"/>
      </w:pPr>
    </w:lvl>
  </w:abstractNum>
  <w:abstractNum w:abstractNumId="1">
    <w:nsid w:val="A0E7A598"/>
    <w:multiLevelType w:val="multilevel"/>
    <w:tmpl w:val="A0E7A598"/>
    <w:lvl w:ilvl="0" w:tentative="0">
      <w:start w:val="1"/>
      <w:numFmt w:val="decimal"/>
      <w:suff w:val="nothing"/>
      <w:lvlText w:val="第%1章 "/>
      <w:lvlJc w:val="left"/>
      <w:pPr>
        <w:tabs>
          <w:tab w:val="left" w:pos="420"/>
        </w:tabs>
        <w:ind w:left="0" w:firstLine="0"/>
      </w:pPr>
      <w:rPr>
        <w:rFonts w:hint="default" w:ascii="宋体" w:hAnsi="宋体" w:eastAsia="宋体" w:cs="宋体"/>
      </w:rPr>
    </w:lvl>
    <w:lvl w:ilvl="1" w:tentative="0">
      <w:start w:val="1"/>
      <w:numFmt w:val="decimal"/>
      <w:isLgl/>
      <w:lvlText w:val="%1.%2."/>
      <w:lvlJc w:val="left"/>
      <w:pPr>
        <w:tabs>
          <w:tab w:val="left" w:pos="420"/>
        </w:tabs>
        <w:ind w:left="0" w:firstLine="0"/>
      </w:pPr>
      <w:rPr>
        <w:rFonts w:hint="default" w:ascii="宋体" w:hAnsi="宋体" w:eastAsia="宋体" w:cs="宋体"/>
      </w:rPr>
    </w:lvl>
    <w:lvl w:ilvl="2" w:tentative="0">
      <w:start w:val="1"/>
      <w:numFmt w:val="decimal"/>
      <w:isLgl/>
      <w:lvlText w:val="%1.%2.%3."/>
      <w:lvlJc w:val="left"/>
      <w:pPr>
        <w:ind w:left="0" w:firstLine="0"/>
      </w:pPr>
      <w:rPr>
        <w:rFonts w:hint="default" w:ascii="宋体" w:hAnsi="宋体" w:eastAsia="宋体" w:cs="宋体"/>
      </w:rPr>
    </w:lvl>
    <w:lvl w:ilvl="3" w:tentative="0">
      <w:start w:val="1"/>
      <w:numFmt w:val="decimal"/>
      <w:isLgl/>
      <w:lvlText w:val="%1.%2.%3.%4."/>
      <w:lvlJc w:val="left"/>
      <w:pPr>
        <w:tabs>
          <w:tab w:val="left" w:pos="1304"/>
        </w:tabs>
        <w:ind w:left="0" w:firstLine="0"/>
      </w:pPr>
      <w:rPr>
        <w:rFonts w:hint="default" w:ascii="宋体" w:hAnsi="宋体" w:eastAsia="宋体" w:cs="宋体"/>
      </w:rPr>
    </w:lvl>
    <w:lvl w:ilvl="4" w:tentative="0">
      <w:start w:val="1"/>
      <w:numFmt w:val="decimal"/>
      <w:isLgl/>
      <w:lvlText w:val="%1.%2.%3.%4.%5."/>
      <w:lvlJc w:val="left"/>
      <w:pPr>
        <w:ind w:left="0" w:firstLine="0"/>
      </w:pPr>
      <w:rPr>
        <w:rFonts w:hint="default" w:ascii="宋体" w:hAnsi="宋体" w:eastAsia="宋体" w:cs="宋体"/>
      </w:rPr>
    </w:lvl>
    <w:lvl w:ilvl="5" w:tentative="0">
      <w:start w:val="1"/>
      <w:numFmt w:val="decimal"/>
      <w:isLgl/>
      <w:lvlText w:val="%1.%2.%3.%4.%5.%6."/>
      <w:lvlJc w:val="left"/>
      <w:pPr>
        <w:ind w:left="0" w:firstLine="0"/>
      </w:pPr>
      <w:rPr>
        <w:rFonts w:hint="default" w:ascii="宋体" w:hAnsi="宋体" w:eastAsia="宋体" w:cs="宋体"/>
      </w:rPr>
    </w:lvl>
    <w:lvl w:ilvl="6" w:tentative="0">
      <w:start w:val="1"/>
      <w:numFmt w:val="decimal"/>
      <w:isLgl/>
      <w:lvlText w:val="%1.%2.%3.%4.%5.%6.%7."/>
      <w:lvlJc w:val="left"/>
      <w:pPr>
        <w:ind w:left="0" w:firstLine="0"/>
      </w:pPr>
      <w:rPr>
        <w:rFonts w:hint="default" w:ascii="宋体" w:hAnsi="宋体" w:eastAsia="宋体" w:cs="宋体"/>
      </w:rPr>
    </w:lvl>
    <w:lvl w:ilvl="7" w:tentative="0">
      <w:start w:val="1"/>
      <w:numFmt w:val="decimal"/>
      <w:isLgl/>
      <w:lvlText w:val="%1.%2.%3.%4.%5.%6.%7.%8."/>
      <w:lvlJc w:val="left"/>
      <w:pPr>
        <w:ind w:left="0" w:firstLine="0"/>
      </w:pPr>
      <w:rPr>
        <w:rFonts w:hint="default" w:ascii="宋体" w:hAnsi="宋体" w:eastAsia="宋体" w:cs="宋体"/>
      </w:rPr>
    </w:lvl>
    <w:lvl w:ilvl="8" w:tentative="0">
      <w:start w:val="1"/>
      <w:numFmt w:val="decimal"/>
      <w:isLgl/>
      <w:lvlText w:val="%1.%2.%3.%4.%5.%6.%7.%8.%9."/>
      <w:lvlJc w:val="left"/>
      <w:pPr>
        <w:ind w:left="0" w:firstLine="0"/>
      </w:pPr>
      <w:rPr>
        <w:rFonts w:hint="default" w:ascii="宋体" w:hAnsi="宋体" w:eastAsia="宋体" w:cs="宋体"/>
      </w:rPr>
    </w:lvl>
  </w:abstractNum>
  <w:abstractNum w:abstractNumId="2">
    <w:nsid w:val="C5FFA927"/>
    <w:multiLevelType w:val="singleLevel"/>
    <w:tmpl w:val="C5FFA927"/>
    <w:lvl w:ilvl="0" w:tentative="0">
      <w:start w:val="1"/>
      <w:numFmt w:val="decimal"/>
      <w:suff w:val="nothing"/>
      <w:lvlText w:val="（%1）"/>
      <w:lvlJc w:val="left"/>
    </w:lvl>
  </w:abstractNum>
  <w:abstractNum w:abstractNumId="3">
    <w:nsid w:val="E7FF3668"/>
    <w:multiLevelType w:val="singleLevel"/>
    <w:tmpl w:val="E7FF3668"/>
    <w:lvl w:ilvl="0" w:tentative="0">
      <w:start w:val="1"/>
      <w:numFmt w:val="chineseCounting"/>
      <w:suff w:val="nothing"/>
      <w:lvlText w:val="%1、"/>
      <w:lvlJc w:val="left"/>
      <w:rPr>
        <w:rFonts w:hint="eastAsia"/>
      </w:rPr>
    </w:lvl>
  </w:abstractNum>
  <w:abstractNum w:abstractNumId="4">
    <w:nsid w:val="00000001"/>
    <w:multiLevelType w:val="multilevel"/>
    <w:tmpl w:val="00000001"/>
    <w:lvl w:ilvl="0" w:tentative="0">
      <w:start w:val="1"/>
      <w:numFmt w:val="bullet"/>
      <w:lvlText w:val=""/>
      <w:lvlJc w:val="left"/>
      <w:pPr>
        <w:tabs>
          <w:tab w:val="left" w:pos="720"/>
        </w:tabs>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5">
    <w:nsid w:val="023B5051"/>
    <w:multiLevelType w:val="multilevel"/>
    <w:tmpl w:val="023B5051"/>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02621E19"/>
    <w:multiLevelType w:val="multilevel"/>
    <w:tmpl w:val="02621E19"/>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05A539F6"/>
    <w:multiLevelType w:val="multilevel"/>
    <w:tmpl w:val="05A539F6"/>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06150E36"/>
    <w:multiLevelType w:val="multilevel"/>
    <w:tmpl w:val="06150E36"/>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125C0477"/>
    <w:multiLevelType w:val="multilevel"/>
    <w:tmpl w:val="125C0477"/>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20D12467"/>
    <w:multiLevelType w:val="singleLevel"/>
    <w:tmpl w:val="20D12467"/>
    <w:lvl w:ilvl="0" w:tentative="0">
      <w:start w:val="3"/>
      <w:numFmt w:val="decimal"/>
      <w:suff w:val="nothing"/>
      <w:lvlText w:val="（%1）"/>
      <w:lvlJc w:val="left"/>
    </w:lvl>
  </w:abstractNum>
  <w:abstractNum w:abstractNumId="11">
    <w:nsid w:val="21D348D9"/>
    <w:multiLevelType w:val="multilevel"/>
    <w:tmpl w:val="21D348D9"/>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243EC9BA"/>
    <w:multiLevelType w:val="singleLevel"/>
    <w:tmpl w:val="243EC9BA"/>
    <w:lvl w:ilvl="0" w:tentative="0">
      <w:start w:val="1"/>
      <w:numFmt w:val="decimal"/>
      <w:suff w:val="nothing"/>
      <w:lvlText w:val="（%1）"/>
      <w:lvlJc w:val="left"/>
      <w:pPr>
        <w:ind w:left="-360"/>
      </w:pPr>
    </w:lvl>
  </w:abstractNum>
  <w:abstractNum w:abstractNumId="13">
    <w:nsid w:val="24E340FB"/>
    <w:multiLevelType w:val="multilevel"/>
    <w:tmpl w:val="24E340FB"/>
    <w:lvl w:ilvl="0" w:tentative="0">
      <w:start w:val="1"/>
      <w:numFmt w:val="decimal"/>
      <w:lvlText w:val="%1)"/>
      <w:lvlJc w:val="left"/>
      <w:pPr>
        <w:ind w:left="894" w:hanging="420"/>
      </w:pPr>
    </w:lvl>
    <w:lvl w:ilvl="1" w:tentative="0">
      <w:start w:val="1"/>
      <w:numFmt w:val="lowerLetter"/>
      <w:lvlText w:val="%2)"/>
      <w:lvlJc w:val="left"/>
      <w:pPr>
        <w:ind w:left="1314" w:hanging="420"/>
      </w:pPr>
    </w:lvl>
    <w:lvl w:ilvl="2" w:tentative="0">
      <w:start w:val="1"/>
      <w:numFmt w:val="lowerRoman"/>
      <w:lvlText w:val="%3."/>
      <w:lvlJc w:val="right"/>
      <w:pPr>
        <w:ind w:left="1734" w:hanging="420"/>
      </w:pPr>
    </w:lvl>
    <w:lvl w:ilvl="3" w:tentative="0">
      <w:start w:val="1"/>
      <w:numFmt w:val="decimal"/>
      <w:lvlText w:val="%4."/>
      <w:lvlJc w:val="left"/>
      <w:pPr>
        <w:ind w:left="2154" w:hanging="420"/>
      </w:pPr>
    </w:lvl>
    <w:lvl w:ilvl="4" w:tentative="0">
      <w:start w:val="1"/>
      <w:numFmt w:val="lowerLetter"/>
      <w:lvlText w:val="%5)"/>
      <w:lvlJc w:val="left"/>
      <w:pPr>
        <w:ind w:left="2574" w:hanging="420"/>
      </w:pPr>
    </w:lvl>
    <w:lvl w:ilvl="5" w:tentative="0">
      <w:start w:val="1"/>
      <w:numFmt w:val="lowerRoman"/>
      <w:lvlText w:val="%6."/>
      <w:lvlJc w:val="right"/>
      <w:pPr>
        <w:ind w:left="2994" w:hanging="420"/>
      </w:pPr>
    </w:lvl>
    <w:lvl w:ilvl="6" w:tentative="0">
      <w:start w:val="1"/>
      <w:numFmt w:val="decimal"/>
      <w:lvlText w:val="%7."/>
      <w:lvlJc w:val="left"/>
      <w:pPr>
        <w:ind w:left="3414" w:hanging="420"/>
      </w:pPr>
    </w:lvl>
    <w:lvl w:ilvl="7" w:tentative="0">
      <w:start w:val="1"/>
      <w:numFmt w:val="lowerLetter"/>
      <w:lvlText w:val="%8)"/>
      <w:lvlJc w:val="left"/>
      <w:pPr>
        <w:ind w:left="3834" w:hanging="420"/>
      </w:pPr>
    </w:lvl>
    <w:lvl w:ilvl="8" w:tentative="0">
      <w:start w:val="1"/>
      <w:numFmt w:val="lowerRoman"/>
      <w:lvlText w:val="%9."/>
      <w:lvlJc w:val="right"/>
      <w:pPr>
        <w:ind w:left="4254" w:hanging="420"/>
      </w:pPr>
    </w:lvl>
  </w:abstractNum>
  <w:abstractNum w:abstractNumId="14">
    <w:nsid w:val="3615FF8A"/>
    <w:multiLevelType w:val="singleLevel"/>
    <w:tmpl w:val="3615FF8A"/>
    <w:lvl w:ilvl="0" w:tentative="0">
      <w:start w:val="2"/>
      <w:numFmt w:val="decimal"/>
      <w:lvlText w:val="%1."/>
      <w:lvlJc w:val="left"/>
      <w:pPr>
        <w:tabs>
          <w:tab w:val="left" w:pos="312"/>
        </w:tabs>
      </w:pPr>
    </w:lvl>
  </w:abstractNum>
  <w:abstractNum w:abstractNumId="15">
    <w:nsid w:val="5F12F2B1"/>
    <w:multiLevelType w:val="singleLevel"/>
    <w:tmpl w:val="5F12F2B1"/>
    <w:lvl w:ilvl="0" w:tentative="0">
      <w:start w:val="1"/>
      <w:numFmt w:val="decimal"/>
      <w:suff w:val="nothing"/>
      <w:lvlText w:val="（%1）"/>
      <w:lvlJc w:val="left"/>
      <w:pPr>
        <w:ind w:left="-360"/>
      </w:pPr>
    </w:lvl>
  </w:abstractNum>
  <w:abstractNum w:abstractNumId="16">
    <w:nsid w:val="76EBCDEB"/>
    <w:multiLevelType w:val="singleLevel"/>
    <w:tmpl w:val="76EBCDEB"/>
    <w:lvl w:ilvl="0" w:tentative="0">
      <w:start w:val="1"/>
      <w:numFmt w:val="decimal"/>
      <w:suff w:val="nothing"/>
      <w:lvlText w:val="（%1）"/>
      <w:lvlJc w:val="left"/>
    </w:lvl>
  </w:abstractNum>
  <w:num w:numId="1">
    <w:abstractNumId w:val="1"/>
  </w:num>
  <w:num w:numId="2">
    <w:abstractNumId w:val="16"/>
  </w:num>
  <w:num w:numId="3">
    <w:abstractNumId w:val="6"/>
  </w:num>
  <w:num w:numId="4">
    <w:abstractNumId w:val="3"/>
  </w:num>
  <w:num w:numId="5">
    <w:abstractNumId w:val="2"/>
  </w:num>
  <w:num w:numId="6">
    <w:abstractNumId w:val="15"/>
  </w:num>
  <w:num w:numId="7">
    <w:abstractNumId w:val="0"/>
  </w:num>
  <w:num w:numId="8">
    <w:abstractNumId w:val="12"/>
  </w:num>
  <w:num w:numId="9">
    <w:abstractNumId w:val="14"/>
  </w:num>
  <w:num w:numId="10">
    <w:abstractNumId w:val="11"/>
  </w:num>
  <w:num w:numId="11">
    <w:abstractNumId w:val="5"/>
  </w:num>
  <w:num w:numId="12">
    <w:abstractNumId w:val="13"/>
  </w:num>
  <w:num w:numId="13">
    <w:abstractNumId w:val="4"/>
  </w:num>
  <w:num w:numId="14">
    <w:abstractNumId w:val="10"/>
  </w:num>
  <w:num w:numId="15">
    <w:abstractNumId w:val="7"/>
  </w:num>
  <w:num w:numId="16">
    <w:abstractNumId w:val="9"/>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133C3A1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仿宋_GB2312" w:cstheme="minorBidi"/>
      <w:kern w:val="2"/>
      <w:sz w:val="32"/>
      <w:szCs w:val="24"/>
      <w:lang w:val="en-US" w:eastAsia="zh-CN" w:bidi="ar-SA"/>
    </w:rPr>
  </w:style>
  <w:style w:type="character" w:default="1" w:styleId="4">
    <w:name w:val="Default Paragraph Font"/>
    <w:unhideWhenUsed/>
    <w:qFormat/>
    <w:uiPriority w:val="1"/>
  </w:style>
  <w:style w:type="table" w:default="1" w:styleId="2">
    <w:name w:val="Normal Table"/>
    <w:unhideWhenUsed/>
    <w:qFormat/>
    <w:uiPriority w:val="99"/>
    <w:tblPr>
      <w:tblLayout w:type="fixed"/>
      <w:tblCellMar>
        <w:top w:w="0" w:type="dxa"/>
        <w:left w:w="108" w:type="dxa"/>
        <w:bottom w:w="0" w:type="dxa"/>
        <w:right w:w="108" w:type="dxa"/>
      </w:tblCellMar>
    </w:tblPr>
  </w:style>
  <w:style w:type="table" w:styleId="3">
    <w:name w:val="Table Grid"/>
    <w:qFormat/>
    <w:uiPriority w:val="39"/>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emf"/><Relationship Id="rId7" Type="http://schemas.openxmlformats.org/officeDocument/2006/relationships/oleObject" Target="embeddings/oleObject1.bin"/><Relationship Id="rId6" Type="http://schemas.openxmlformats.org/officeDocument/2006/relationships/image" Target="media/image3.emf"/><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8204</Words>
  <Characters>46767</Characters>
  <Lines>389</Lines>
  <Paragraphs>109</Paragraphs>
  <TotalTime>0</TotalTime>
  <ScaleCrop>false</ScaleCrop>
  <LinksUpToDate>false</LinksUpToDate>
  <CharactersWithSpaces>54862</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2023-09-19T15:41:00Z</dcterms:created>
  <dc:creator>祁鹏宇</dc:creator>
  <cp:lastModifiedBy>孙园园</cp:lastModifiedBy>
  <dcterms:modified xsi:type="dcterms:W3CDTF">2023-09-22T11:10:52Z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y fmtid="{D5CDD505-2E9C-101B-9397-08002B2CF9AE}" pid="3" name="ICV">
    <vt:lpwstr>CA86ECA4970BA03967CD0A65A705FC7D_33</vt:lpwstr>
  </property>
</Properties>
</file>