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890A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服务清单（第3包）</w:t>
      </w:r>
    </w:p>
    <w:tbl>
      <w:tblPr>
        <w:tblStyle w:val="3"/>
        <w:tblW w:w="5337" w:type="pct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7"/>
        <w:gridCol w:w="1570"/>
        <w:gridCol w:w="849"/>
        <w:gridCol w:w="677"/>
        <w:gridCol w:w="4708"/>
      </w:tblGrid>
      <w:tr w14:paraId="445E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品目号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服务名称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服务期限</w:t>
            </w:r>
          </w:p>
        </w:tc>
        <w:tc>
          <w:tcPr>
            <w:tcW w:w="25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</w:tr>
      <w:tr w14:paraId="2B68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F2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路况现场检测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呼伦贝尔市、巴彦淖尔市、通辽市、乌海市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合同签订之日起至2024年12月21日</w:t>
            </w:r>
          </w:p>
        </w:tc>
        <w:tc>
          <w:tcPr>
            <w:tcW w:w="2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6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评定30140公里农村公路，一、二级公路按照《公路技术状况评定标准》（JTG5210-2018）开展检测、评定和分析工作，三级及以下等级公路参照《农村公路技术状况评定标准》（JTG5211—2024）开展检测、评定和分析工作。其中，一级公路双向检测，二级及以下公路单向检测。抽检评定的一级公路路面技术状况指数（PQI），主要检测指标为：路面损坏状况指数PCI、路面行驶质量指数RQI、路面车辙深度指数RDI（水泥混凝土路面除外）、路面跳车指数PBI、路面磨耗指数PWI等项指标以及道路前方图像、GPS数据采集等；二级及以下公路主要检测指标为路面损坏状况指数PCI、路面行驶质量指数RQI、道路前方图像、GPS数据采集等。</w:t>
            </w:r>
          </w:p>
          <w:p w14:paraId="36F33D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t>路面损坏检测</w:t>
            </w:r>
          </w:p>
          <w:p w14:paraId="0CDAEE9C">
            <w:pPr>
              <w:pStyle w:val="2"/>
              <w:numPr>
                <w:ilvl w:val="1"/>
                <w:numId w:val="1"/>
              </w:numPr>
            </w:pPr>
            <w:r>
              <w:t>范围</w:t>
            </w:r>
          </w:p>
          <w:p w14:paraId="5DEEDD2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本项目检测路线</w:t>
            </w:r>
            <w:r>
              <w:t>上行方向（顺桩号）和下行方向（逆桩号）的主要行车道，其中，二、三、四级公路检测不分上下行，但须按照采购人要求的检测方向进行；一级公路分上下行检测，分别检测由中央分隔带向外的第二车道。</w:t>
            </w:r>
          </w:p>
          <w:p w14:paraId="1B4B75B8">
            <w:pPr>
              <w:pStyle w:val="2"/>
              <w:numPr>
                <w:ilvl w:val="1"/>
                <w:numId w:val="1"/>
              </w:numPr>
              <w:ind w:left="0" w:leftChars="0" w:firstLine="0" w:firstLineChars="0"/>
            </w:pPr>
            <w:r>
              <w:t>要求</w:t>
            </w:r>
          </w:p>
          <w:p w14:paraId="14BB945D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t>1.2.1检测设备要求</w:t>
            </w:r>
          </w:p>
          <w:p w14:paraId="7AAD4B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路面损坏检测设备采用技术成熟的路面破损快速检测设备，其主要技术性能应满足相应有关技术标准，检测设备应能够分辨1mm以上的路面裂缝，识别准确率达到90%以上，检测时同时采集公路前方图像。检测设备要求技术成熟性能稳定</w:t>
            </w:r>
            <w:r>
              <w:rPr>
                <w:rFonts w:hint="eastAsia"/>
                <w:lang w:eastAsia="zh-CN"/>
              </w:rPr>
              <w:t>，</w:t>
            </w:r>
            <w:r>
              <w:t>检测设备已经过标定，并在有效期内。</w:t>
            </w:r>
          </w:p>
          <w:p w14:paraId="59883CC0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t>1.2.2技术服务要求：</w:t>
            </w:r>
          </w:p>
          <w:p w14:paraId="3BCDFE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纵向连续检测，横向检测宽度不得小于车道宽度的70%。检测指标应为路面破损率DR，每10米应计算1个统计值，检测数据图片采用专用软件程序配合人工校核予以处理，以满足辅助分析使用。</w:t>
            </w:r>
          </w:p>
          <w:p w14:paraId="0BD296F4">
            <w:pPr>
              <w:rPr>
                <w:rFonts w:hint="eastAsia"/>
                <w:lang w:eastAsia="zh-CN"/>
              </w:rPr>
            </w:pPr>
            <w:r>
              <w:t>2.路面平整度检测</w:t>
            </w:r>
          </w:p>
          <w:p w14:paraId="3389D162">
            <w:pPr>
              <w:rPr>
                <w:rFonts w:hint="eastAsia"/>
                <w:lang w:eastAsia="zh-CN"/>
              </w:rPr>
            </w:pPr>
            <w:r>
              <w:t>2.1范围</w:t>
            </w:r>
          </w:p>
          <w:p w14:paraId="3EA73D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本项目检测路线</w:t>
            </w:r>
            <w:r>
              <w:t>上行方向（顺桩号）和下行方向（逆桩号）的主要行车道，其中，二、三、四级公路检测不分上下行，但须按照采购人要求的检测方向进行；一级公路分上下行检测，分别检测由中央分隔带向外的第二车道。</w:t>
            </w:r>
          </w:p>
          <w:p w14:paraId="15E220E0">
            <w:pPr>
              <w:rPr>
                <w:rFonts w:hint="eastAsia"/>
                <w:lang w:eastAsia="zh-CN"/>
              </w:rPr>
            </w:pPr>
            <w:r>
              <w:t>2.2要求</w:t>
            </w:r>
          </w:p>
          <w:p w14:paraId="72B04FB3">
            <w:pPr>
              <w:rPr>
                <w:rFonts w:hint="eastAsia"/>
                <w:lang w:eastAsia="zh-CN"/>
              </w:rPr>
            </w:pPr>
            <w:r>
              <w:t>2.2.1检测设备要求</w:t>
            </w:r>
          </w:p>
          <w:p w14:paraId="114591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路面平整度检测设备须符合满足交通部干线公路路网监测项目要求，其主要技术性能应满足《公路路面技术状况自动化检测规程》(JTG/TE61—2014)的相应要求，能在正常车流速度下采集有关数据。检测设备已经过标定，并在有效期内。</w:t>
            </w:r>
          </w:p>
          <w:p w14:paraId="145393A5">
            <w:pPr>
              <w:rPr>
                <w:rFonts w:hint="eastAsia"/>
                <w:lang w:eastAsia="zh-CN"/>
              </w:rPr>
            </w:pPr>
            <w:r>
              <w:t>2.2.2技术服务要求：</w:t>
            </w:r>
          </w:p>
          <w:p w14:paraId="785AA5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检测指标应为国际平整度指数IRI，每10米应计算1个统计值。</w:t>
            </w:r>
          </w:p>
          <w:p w14:paraId="38D71209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>路面车辙检测</w:t>
            </w:r>
          </w:p>
          <w:p w14:paraId="0C1C842E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t>3.1范围</w:t>
            </w:r>
          </w:p>
          <w:p w14:paraId="5357EF70">
            <w:pPr>
              <w:pStyle w:val="2"/>
              <w:numPr>
                <w:ilvl w:val="0"/>
                <w:numId w:val="0"/>
              </w:numPr>
              <w:ind w:leftChars="200"/>
            </w:pPr>
            <w:r>
              <w:t>一级公路分上下行检测，分别检测由中央分隔带向外的第二车道。</w:t>
            </w:r>
          </w:p>
          <w:p w14:paraId="64AEC743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t>3.2要求</w:t>
            </w:r>
          </w:p>
          <w:p w14:paraId="234CC1BD"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t>3.2.1检测设备要求</w:t>
            </w:r>
          </w:p>
          <w:p w14:paraId="136366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t>路面车辙检测设备须符合满足交通部干线公路路网监测项目要求，其主要技术性能应满足《公路路面技术状况自动化检测规程》(JTG/TE61—2014)的相应要求，能在正常车流速度下采集有关数据。检测设备已经过标定，标定的相关系数应大于0.99，并在有效期内。</w:t>
            </w:r>
          </w:p>
          <w:p w14:paraId="42984C83">
            <w:pPr>
              <w:pStyle w:val="2"/>
              <w:numPr>
                <w:ilvl w:val="0"/>
                <w:numId w:val="0"/>
              </w:numPr>
            </w:pPr>
            <w:r>
              <w:t>3.2.2技术服务要求：</w:t>
            </w:r>
          </w:p>
          <w:p w14:paraId="4F7359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路面车辙检测指标应为路面车辙深度RD，每10米应计算1个统计值。</w:t>
            </w:r>
          </w:p>
          <w:p w14:paraId="745F2C1E">
            <w:pPr>
              <w:numPr>
                <w:ilvl w:val="0"/>
                <w:numId w:val="2"/>
              </w:numPr>
            </w:pPr>
            <w:r>
              <w:t>路面跳车检测</w:t>
            </w:r>
          </w:p>
          <w:p w14:paraId="02A465CC">
            <w:pPr>
              <w:numPr>
                <w:ilvl w:val="1"/>
                <w:numId w:val="2"/>
              </w:numPr>
            </w:pPr>
            <w:r>
              <w:t>范围</w:t>
            </w:r>
          </w:p>
          <w:p w14:paraId="694D05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t>一级公路分上下行检测，分别检测由中央分隔带向外的第二车道。</w:t>
            </w:r>
          </w:p>
          <w:p w14:paraId="7907D0E0">
            <w:pPr>
              <w:numPr>
                <w:ilvl w:val="0"/>
                <w:numId w:val="0"/>
              </w:numPr>
              <w:ind w:leftChars="0"/>
            </w:pPr>
            <w:r>
              <w:t>4.2要求</w:t>
            </w:r>
          </w:p>
          <w:p w14:paraId="235A643F"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t>4.2.1检测设备要求</w:t>
            </w:r>
          </w:p>
          <w:p w14:paraId="4F3A39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t>路面跳车检测设备须符合满足交通部干线公路路网监测项目要求，其主要技术性能应满足《公路路面技术状况自动化检测规程》(JTG/TE61—2014)的相应要求，能在正常车流速度下采集有关数据。检测设备已经过标定，标定的相关系数应大于0.99，并在有效期内。</w:t>
            </w:r>
          </w:p>
          <w:p w14:paraId="7E4993AE">
            <w:pPr>
              <w:numPr>
                <w:ilvl w:val="0"/>
                <w:numId w:val="0"/>
              </w:numPr>
              <w:ind w:leftChars="0"/>
            </w:pPr>
            <w:r>
              <w:t>4.2.2技术服务要求：</w:t>
            </w:r>
          </w:p>
          <w:p w14:paraId="33C901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</w:pPr>
            <w:r>
              <w:t>路面跳车检测指标应为路面跳车PB，按处计算，每10米应计算1个统计值，计算方法按照《公路技术状况评定标准》（JTG5210-2018）附录执行。</w:t>
            </w:r>
          </w:p>
          <w:p w14:paraId="6BCC1DB6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</w:pPr>
            <w:r>
              <w:t>路面磨耗检测</w:t>
            </w:r>
          </w:p>
          <w:p w14:paraId="7104DBFD">
            <w:pPr>
              <w:pStyle w:val="2"/>
              <w:numPr>
                <w:ilvl w:val="1"/>
                <w:numId w:val="2"/>
              </w:numPr>
              <w:ind w:left="0" w:leftChars="0" w:firstLine="0" w:firstLineChars="0"/>
            </w:pPr>
            <w:r>
              <w:t>范围</w:t>
            </w:r>
          </w:p>
          <w:p w14:paraId="2F9D38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t>一级公路分上下行检测，分别检测由中央分隔带向外的第二车道</w:t>
            </w:r>
          </w:p>
          <w:p w14:paraId="58A1AB70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t>5.2要求</w:t>
            </w:r>
          </w:p>
          <w:p w14:paraId="28EFC7D0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t>5.2.1检测设备要求</w:t>
            </w:r>
          </w:p>
          <w:p w14:paraId="2C1698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t>路面磨耗检测设备须符合满足交通部干线公路路网监测项目要求，其主要技术性能应满足《公路路面技术状况自动化检测规程》(JTG/TE61)的相应要求，能在正常车流速度下采集有关数据。检测设备已经过标定，标定的相关系数应大于0.99，并在有效期内。</w:t>
            </w:r>
          </w:p>
          <w:p w14:paraId="39F60530">
            <w:pPr>
              <w:pStyle w:val="2"/>
              <w:numPr>
                <w:ilvl w:val="0"/>
                <w:numId w:val="0"/>
              </w:numPr>
              <w:ind w:leftChars="0"/>
            </w:pPr>
            <w:r>
              <w:t>5.2.2技术服务要求：</w:t>
            </w:r>
          </w:p>
          <w:p w14:paraId="64A675C2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  <w:r>
              <w:t>路面磨耗检测指标应为路面磨耗MPD，路面磨耗自动化检测位置为检测车道的左轮迹带、右轮迹带及无磨损的车道中线或同质路肩，每10m应计算1个统计值。计算方法按照《公路技术状况评定标准》（JTG5210-2018）附录执行。</w:t>
            </w:r>
          </w:p>
        </w:tc>
      </w:tr>
      <w:tr w14:paraId="26BA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A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7F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检测数据处理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2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6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对路面检测结果、基础信息进行核对和数据分析，数据分析包含公路检测数据处理、路面技术状况评定、路面病害分析、对标段范围内农村公路网路况进行多维度分析评价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路面养护决策分析等工作，并编制检测评定报告。</w:t>
            </w:r>
          </w:p>
          <w:p w14:paraId="6EF4F23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ascii="宋体" w:hAnsi="宋体" w:eastAsia="宋体" w:cs="宋体"/>
                <w:sz w:val="21"/>
                <w:szCs w:val="21"/>
              </w:rPr>
              <w:t>路面损坏按项目分别进行汇总分析提出检测报告，其内容包含：各路段路面破损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指标的平均值</w:t>
            </w:r>
            <w:r>
              <w:rPr>
                <w:rFonts w:ascii="宋体" w:hAnsi="宋体" w:eastAsia="宋体" w:cs="宋体"/>
                <w:sz w:val="21"/>
                <w:szCs w:val="21"/>
              </w:rPr>
              <w:t>，及经计算求得的路面损坏状况指数（PCI），并分类统计、汇总、分析各类病害。路面损坏经专用软件程序处理配合人工校核。</w:t>
            </w:r>
          </w:p>
          <w:p w14:paraId="47065E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ascii="宋体" w:hAnsi="宋体" w:eastAsia="宋体" w:cs="宋体"/>
                <w:sz w:val="21"/>
                <w:szCs w:val="21"/>
              </w:rPr>
              <w:t>路面平整度按项目分别进行汇总分析提出检测报告，其内容应包含：各路段平整度指标的平均值，及经计算求得的道路行驶质量指数RQ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z w:val="21"/>
                <w:szCs w:val="21"/>
              </w:rPr>
              <w:t>。经计算求得各项目段的道路行驶质量指数RQI。</w:t>
            </w:r>
          </w:p>
          <w:p w14:paraId="781C12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>路面车辙按项目分别进行汇总分析提出检测报告，其主要内容：各路段的车辙深度值（RD），及据此求得的路面车辙深度指数（RDI）。</w:t>
            </w:r>
          </w:p>
          <w:p w14:paraId="3D083D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>路面跳车按处计算路面跳车指标PB，计算路面跳车指标PBI。</w:t>
            </w:r>
          </w:p>
          <w:p w14:paraId="12CDB0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不限于以上所述要求，按照业主要求，最终计算路面使用性能指数（PQI）。</w:t>
            </w:r>
          </w:p>
          <w:p w14:paraId="12EE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6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2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9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路况指标评定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1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F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exac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2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9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AA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养护决策分析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D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exac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数据使用软件开发及维护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1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B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B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1.数据使用软件应具有以下功能：</w:t>
            </w:r>
          </w:p>
          <w:p w14:paraId="505022B4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检测评定明细数据能够实时查看；</w:t>
            </w:r>
          </w:p>
          <w:p w14:paraId="1595A481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检测结果能够根据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用户需求进行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多维度数据分析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 w14:paraId="04A07046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3）能够根据用户需求导出对应的检测数据；</w:t>
            </w:r>
          </w:p>
          <w:p w14:paraId="266277E9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4）用户有其他需求时，能够进一步开发完善系统功能；</w:t>
            </w:r>
          </w:p>
          <w:p w14:paraId="082D1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2.提供数据处理软件安装包或网址链接、账号、密码，并要对数据处理软件用户进行培训。</w:t>
            </w:r>
          </w:p>
        </w:tc>
      </w:tr>
      <w:tr w14:paraId="3DF6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3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6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7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报告编制</w:t>
            </w: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0A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02BC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按照采购人要求，提供电子版及双面彩打纸质版检测评定报告，包括：检测项目报告、检测盟市报告、检测旗县报告等。</w:t>
            </w:r>
          </w:p>
        </w:tc>
      </w:tr>
    </w:tbl>
    <w:p w14:paraId="1E32B2CE">
      <w:pPr>
        <w:rPr>
          <w:rFonts w:hint="eastAsia"/>
          <w:lang w:val="en-US" w:eastAsia="zh-CN"/>
        </w:rPr>
      </w:pPr>
    </w:p>
    <w:p w14:paraId="31CD5E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说明：1.按照采购人提供的路段开展检测评定，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考虑到正在施工的路段、检测桩号传递误差、里程断链、村镇城区路段、路面结构型式等不确定性因素，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（以下统称为“甲方”）可根据需要组织开展针对性的现场核实以及补测，在现场核实补测以及养护辅助决策分析报告编制过程中，检测单位（以下统称为“乙方”）应认真完成，由此产生的费用由乙方负责。</w:t>
      </w:r>
    </w:p>
    <w:p w14:paraId="1389F5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2.外业检测时，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每天准确记录所检测路线的起讫桩号、路面类型、公路等级等及其变化处的起讫桩号，同时，每天记录未检测路段的起讫桩号并说明具体原因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5143DAE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742CC3A">
      <w:pPr>
        <w:rPr>
          <w:rFonts w:hint="default"/>
          <w:lang w:val="en-US" w:eastAsia="zh-CN"/>
        </w:rPr>
      </w:pPr>
    </w:p>
    <w:p w14:paraId="08AB26A9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0F87A6C5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0793B4BF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3870C38B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3C2E5747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31564846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570031E7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639293E9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2F23C194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605A135F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41D09D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A247B"/>
    <w:multiLevelType w:val="multilevel"/>
    <w:tmpl w:val="14FA24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1C4E5B4"/>
    <w:multiLevelType w:val="multilevel"/>
    <w:tmpl w:val="21C4E5B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TczYjQwYWM5ZjZmNGI4ZTczMmZjN2I3MDYyYzMifQ=="/>
  </w:docVars>
  <w:rsids>
    <w:rsidRoot w:val="00000000"/>
    <w:rsid w:val="3766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2024-10-14T09:07:31Z</dcterms:created>
  <dc:creator>lenovo</dc:creator>
  <cp:lastModifiedBy>肖晗</cp:lastModifiedBy>
  <dcterms:modified xsi:type="dcterms:W3CDTF">2024-10-14T09:07:38Z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03B316EF01FF4DD78CD3E10F7D7ABECE_12</vt:lpwstr>
  </property>
</Properties>
</file>