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overflowPunct/>
        <w:topLinePunct w:val="0"/>
        <w:autoSpaceDE w:val="0"/>
        <w:autoSpaceDN w:val="0"/>
        <w:bidi w:val="0"/>
        <w:adjustRightInd w:val="0"/>
        <w:snapToGrid w:val="0"/>
        <w:spacing w:line="360" w:lineRule="auto"/>
        <w:ind w:left="0" w:right="0"/>
        <w:jc w:val="both"/>
        <w:textAlignment w:val="baseline"/>
        <w:rPr>
          <w:rFonts w:hint="eastAsia"/>
          <w:spacing w:val="9"/>
          <w:lang w:val="en-US" w:eastAsia="zh-CN"/>
        </w:rPr>
      </w:pPr>
      <w:bookmarkStart w:id="1" w:name="_GoBack"/>
      <w:r>
        <w:rPr>
          <w:rFonts w:hint="eastAsia"/>
          <w:spacing w:val="9"/>
          <w:lang w:val="en-US" w:eastAsia="zh-CN"/>
        </w:rPr>
        <w:t>第一包：</w:t>
      </w:r>
    </w:p>
    <w:p>
      <w:pPr>
        <w:spacing w:line="480" w:lineRule="auto"/>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2023年设施处城市桥梁健康监测及桥梁检测明细表</w:t>
      </w:r>
    </w:p>
    <w:tbl>
      <w:tblPr>
        <w:tblStyle w:val="4"/>
        <w:tblW w:w="9621" w:type="dxa"/>
        <w:jc w:val="center"/>
        <w:tblLayout w:type="fixed"/>
        <w:tblCellMar>
          <w:top w:w="0" w:type="dxa"/>
          <w:left w:w="108" w:type="dxa"/>
          <w:bottom w:w="0" w:type="dxa"/>
          <w:right w:w="108" w:type="dxa"/>
        </w:tblCellMar>
      </w:tblPr>
      <w:tblGrid>
        <w:gridCol w:w="709"/>
        <w:gridCol w:w="3777"/>
        <w:gridCol w:w="3225"/>
        <w:gridCol w:w="1910"/>
      </w:tblGrid>
      <w:tr>
        <w:tblPrEx>
          <w:tblCellMar>
            <w:top w:w="0" w:type="dxa"/>
            <w:left w:w="108" w:type="dxa"/>
            <w:bottom w:w="0" w:type="dxa"/>
            <w:right w:w="108" w:type="dxa"/>
          </w:tblCellMar>
        </w:tblPrEx>
        <w:trPr>
          <w:trHeight w:val="915" w:hRule="atLeast"/>
          <w:jc w:val="center"/>
        </w:trPr>
        <w:tc>
          <w:tcPr>
            <w:tcW w:w="9621"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一、城市桥梁健康监测</w:t>
            </w:r>
          </w:p>
        </w:tc>
      </w:tr>
      <w:tr>
        <w:tblPrEx>
          <w:tblCellMar>
            <w:top w:w="0" w:type="dxa"/>
            <w:left w:w="108" w:type="dxa"/>
            <w:bottom w:w="0" w:type="dxa"/>
            <w:right w:w="108" w:type="dxa"/>
          </w:tblCellMar>
        </w:tblPrEx>
        <w:trPr>
          <w:trHeight w:val="9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序号</w:t>
            </w:r>
          </w:p>
        </w:tc>
        <w:tc>
          <w:tcPr>
            <w:tcW w:w="377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项目名称</w:t>
            </w:r>
          </w:p>
        </w:tc>
        <w:tc>
          <w:tcPr>
            <w:tcW w:w="32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lang w:eastAsia="zh-CN"/>
              </w:rPr>
            </w:pPr>
            <w:r>
              <w:rPr>
                <w:rFonts w:hint="eastAsia" w:ascii="宋体" w:hAnsi="宋体" w:eastAsia="宋体" w:cs="宋体"/>
                <w:b w:val="0"/>
                <w:bCs w:val="0"/>
                <w:color w:val="000000"/>
                <w:kern w:val="0"/>
                <w:sz w:val="20"/>
                <w:szCs w:val="20"/>
                <w:lang w:eastAsia="zh-CN"/>
              </w:rPr>
              <w:t>实施内容</w:t>
            </w:r>
          </w:p>
        </w:tc>
        <w:tc>
          <w:tcPr>
            <w:tcW w:w="191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金额</w:t>
            </w:r>
          </w:p>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rPr>
              <w:t>（元）</w:t>
            </w:r>
          </w:p>
        </w:tc>
      </w:tr>
      <w:tr>
        <w:tblPrEx>
          <w:tblCellMar>
            <w:top w:w="0" w:type="dxa"/>
            <w:left w:w="108" w:type="dxa"/>
            <w:bottom w:w="0" w:type="dxa"/>
            <w:right w:w="108" w:type="dxa"/>
          </w:tblCellMar>
        </w:tblPrEx>
        <w:trPr>
          <w:trHeight w:val="9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w:t>
            </w:r>
          </w:p>
        </w:tc>
        <w:tc>
          <w:tcPr>
            <w:tcW w:w="377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成吉思汗大街西桥-桥梁结构健康监测</w:t>
            </w:r>
          </w:p>
        </w:tc>
        <w:tc>
          <w:tcPr>
            <w:tcW w:w="32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成吉思汗大街西桥为特殊结构中的系杆拱，对该桥的应力、应变、裂缝、索力等参数进行桥梁结构健康监测</w:t>
            </w:r>
          </w:p>
        </w:tc>
        <w:tc>
          <w:tcPr>
            <w:tcW w:w="191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2000000</w:t>
            </w:r>
          </w:p>
        </w:tc>
      </w:tr>
      <w:tr>
        <w:tblPrEx>
          <w:tblCellMar>
            <w:top w:w="0" w:type="dxa"/>
            <w:left w:w="108" w:type="dxa"/>
            <w:bottom w:w="0" w:type="dxa"/>
            <w:right w:w="108" w:type="dxa"/>
          </w:tblCellMar>
        </w:tblPrEx>
        <w:trPr>
          <w:trHeight w:val="435" w:hRule="atLeast"/>
          <w:jc w:val="center"/>
        </w:trPr>
        <w:tc>
          <w:tcPr>
            <w:tcW w:w="448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小计（元）</w:t>
            </w:r>
          </w:p>
        </w:tc>
        <w:tc>
          <w:tcPr>
            <w:tcW w:w="3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p>
        </w:tc>
        <w:tc>
          <w:tcPr>
            <w:tcW w:w="191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2000000</w:t>
            </w:r>
          </w:p>
        </w:tc>
      </w:tr>
      <w:tr>
        <w:tblPrEx>
          <w:tblCellMar>
            <w:top w:w="0" w:type="dxa"/>
            <w:left w:w="108" w:type="dxa"/>
            <w:bottom w:w="0" w:type="dxa"/>
            <w:right w:w="108" w:type="dxa"/>
          </w:tblCellMar>
        </w:tblPrEx>
        <w:trPr>
          <w:trHeight w:val="915" w:hRule="atLeast"/>
          <w:jc w:val="center"/>
        </w:trPr>
        <w:tc>
          <w:tcPr>
            <w:tcW w:w="9621"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二、桥梁检测</w:t>
            </w:r>
          </w:p>
        </w:tc>
      </w:tr>
      <w:tr>
        <w:tblPrEx>
          <w:tblCellMar>
            <w:top w:w="0" w:type="dxa"/>
            <w:left w:w="108" w:type="dxa"/>
            <w:bottom w:w="0" w:type="dxa"/>
            <w:right w:w="108" w:type="dxa"/>
          </w:tblCellMar>
        </w:tblPrEx>
        <w:trPr>
          <w:trHeight w:val="9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序号</w:t>
            </w:r>
          </w:p>
        </w:tc>
        <w:tc>
          <w:tcPr>
            <w:tcW w:w="377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项目名称</w:t>
            </w:r>
          </w:p>
        </w:tc>
        <w:tc>
          <w:tcPr>
            <w:tcW w:w="32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eastAsia="zh-CN"/>
              </w:rPr>
              <w:t>实施内容</w:t>
            </w:r>
          </w:p>
        </w:tc>
        <w:tc>
          <w:tcPr>
            <w:tcW w:w="191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金额</w:t>
            </w:r>
          </w:p>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（元）</w:t>
            </w:r>
          </w:p>
        </w:tc>
      </w:tr>
      <w:tr>
        <w:tblPrEx>
          <w:tblCellMar>
            <w:top w:w="0" w:type="dxa"/>
            <w:left w:w="108" w:type="dxa"/>
            <w:bottom w:w="0" w:type="dxa"/>
            <w:right w:w="108" w:type="dxa"/>
          </w:tblCellMar>
        </w:tblPrEx>
        <w:trPr>
          <w:trHeight w:val="402" w:hRule="atLeast"/>
          <w:jc w:val="center"/>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w:t>
            </w:r>
          </w:p>
        </w:tc>
        <w:tc>
          <w:tcPr>
            <w:tcW w:w="3777"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桥梁外观检测</w:t>
            </w:r>
          </w:p>
        </w:tc>
        <w:tc>
          <w:tcPr>
            <w:tcW w:w="322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包含3座未做过检测的桥梁和26座2020年及之前检测的桥梁，CJJ99-2017规范要求城市桥梁检测频率为一年一次</w:t>
            </w:r>
          </w:p>
        </w:tc>
        <w:tc>
          <w:tcPr>
            <w:tcW w:w="191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1015000</w:t>
            </w:r>
          </w:p>
        </w:tc>
      </w:tr>
      <w:tr>
        <w:tblPrEx>
          <w:tblCellMar>
            <w:top w:w="0" w:type="dxa"/>
            <w:left w:w="108" w:type="dxa"/>
            <w:bottom w:w="0" w:type="dxa"/>
            <w:right w:w="108" w:type="dxa"/>
          </w:tblCellMar>
        </w:tblPrEx>
        <w:trPr>
          <w:trHeight w:val="402" w:hRule="atLeast"/>
          <w:jc w:val="center"/>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w:t>
            </w:r>
          </w:p>
        </w:tc>
        <w:tc>
          <w:tcPr>
            <w:tcW w:w="37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桥梁专项检测</w:t>
            </w:r>
          </w:p>
        </w:tc>
        <w:tc>
          <w:tcPr>
            <w:tcW w:w="322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包含2座未做过荷载试验的桥梁，呼市一中桥为钢结构，不做混凝土相关检测</w:t>
            </w:r>
          </w:p>
        </w:tc>
        <w:tc>
          <w:tcPr>
            <w:tcW w:w="191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23000</w:t>
            </w:r>
          </w:p>
        </w:tc>
      </w:tr>
      <w:tr>
        <w:tblPrEx>
          <w:tblCellMar>
            <w:top w:w="0" w:type="dxa"/>
            <w:left w:w="108" w:type="dxa"/>
            <w:bottom w:w="0" w:type="dxa"/>
            <w:right w:w="108" w:type="dxa"/>
          </w:tblCellMar>
        </w:tblPrEx>
        <w:trPr>
          <w:trHeight w:val="402" w:hRule="atLeast"/>
          <w:jc w:val="center"/>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w:t>
            </w:r>
          </w:p>
        </w:tc>
        <w:tc>
          <w:tcPr>
            <w:tcW w:w="37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荷载试验（静载试验+动载试验）</w:t>
            </w:r>
          </w:p>
        </w:tc>
        <w:tc>
          <w:tcPr>
            <w:tcW w:w="322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包含3座未做过检测的桥梁</w:t>
            </w:r>
          </w:p>
        </w:tc>
        <w:tc>
          <w:tcPr>
            <w:tcW w:w="191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588750</w:t>
            </w:r>
          </w:p>
        </w:tc>
      </w:tr>
      <w:tr>
        <w:tblPrEx>
          <w:tblCellMar>
            <w:top w:w="0" w:type="dxa"/>
            <w:left w:w="108" w:type="dxa"/>
            <w:bottom w:w="0" w:type="dxa"/>
            <w:right w:w="108" w:type="dxa"/>
          </w:tblCellMar>
        </w:tblPrEx>
        <w:trPr>
          <w:trHeight w:val="402" w:hRule="atLeast"/>
          <w:jc w:val="center"/>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4</w:t>
            </w:r>
          </w:p>
        </w:tc>
        <w:tc>
          <w:tcPr>
            <w:tcW w:w="37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桥梁结构分析计算</w:t>
            </w:r>
          </w:p>
        </w:tc>
        <w:tc>
          <w:tcPr>
            <w:tcW w:w="322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包含3座未做过检测的桥梁</w:t>
            </w:r>
          </w:p>
        </w:tc>
        <w:tc>
          <w:tcPr>
            <w:tcW w:w="191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133250</w:t>
            </w:r>
          </w:p>
        </w:tc>
      </w:tr>
      <w:tr>
        <w:tblPrEx>
          <w:tblCellMar>
            <w:top w:w="0" w:type="dxa"/>
            <w:left w:w="108" w:type="dxa"/>
            <w:bottom w:w="0" w:type="dxa"/>
            <w:right w:w="108" w:type="dxa"/>
          </w:tblCellMar>
        </w:tblPrEx>
        <w:trPr>
          <w:trHeight w:val="435" w:hRule="atLeast"/>
          <w:jc w:val="center"/>
        </w:trPr>
        <w:tc>
          <w:tcPr>
            <w:tcW w:w="448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小计（元）</w:t>
            </w:r>
          </w:p>
        </w:tc>
        <w:tc>
          <w:tcPr>
            <w:tcW w:w="322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p>
        </w:tc>
        <w:tc>
          <w:tcPr>
            <w:tcW w:w="191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1760000</w:t>
            </w:r>
          </w:p>
        </w:tc>
      </w:tr>
      <w:tr>
        <w:tblPrEx>
          <w:tblCellMar>
            <w:top w:w="0" w:type="dxa"/>
            <w:left w:w="108" w:type="dxa"/>
            <w:bottom w:w="0" w:type="dxa"/>
            <w:right w:w="108" w:type="dxa"/>
          </w:tblCellMar>
        </w:tblPrEx>
        <w:trPr>
          <w:trHeight w:val="435" w:hRule="atLeast"/>
          <w:jc w:val="center"/>
        </w:trPr>
        <w:tc>
          <w:tcPr>
            <w:tcW w:w="9621"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说明：桥梁检测包含以下内容：1.桥梁外观检测；2.混凝土强度检测；3.钢筋保护层厚度检测；4.混凝土碳化深度检测；5.钢筋锈蚀电位检测；6.桥梁静载试验；7.桥梁动载试验；8.桥梁数据分析及承载力计算等。</w:t>
            </w:r>
          </w:p>
        </w:tc>
      </w:tr>
      <w:tr>
        <w:tblPrEx>
          <w:tblCellMar>
            <w:top w:w="0" w:type="dxa"/>
            <w:left w:w="108" w:type="dxa"/>
            <w:bottom w:w="0" w:type="dxa"/>
            <w:right w:w="108" w:type="dxa"/>
          </w:tblCellMar>
        </w:tblPrEx>
        <w:trPr>
          <w:trHeight w:val="433" w:hRule="atLeast"/>
          <w:jc w:val="center"/>
        </w:trPr>
        <w:tc>
          <w:tcPr>
            <w:tcW w:w="9621"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三、合计</w:t>
            </w:r>
          </w:p>
        </w:tc>
      </w:tr>
      <w:tr>
        <w:tblPrEx>
          <w:tblCellMar>
            <w:top w:w="0" w:type="dxa"/>
            <w:left w:w="108" w:type="dxa"/>
            <w:bottom w:w="0" w:type="dxa"/>
            <w:right w:w="108" w:type="dxa"/>
          </w:tblCellMar>
        </w:tblPrEx>
        <w:trPr>
          <w:trHeight w:val="770" w:hRule="atLeast"/>
          <w:jc w:val="center"/>
        </w:trPr>
        <w:tc>
          <w:tcPr>
            <w:tcW w:w="448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费用合计（元）</w:t>
            </w:r>
          </w:p>
        </w:tc>
        <w:tc>
          <w:tcPr>
            <w:tcW w:w="5135"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3760000</w:t>
            </w:r>
          </w:p>
        </w:tc>
      </w:tr>
    </w:tbl>
    <w:p>
      <w:pPr>
        <w:jc w:val="left"/>
        <w:rPr>
          <w:rFonts w:hint="eastAsia" w:ascii="宋体" w:hAnsi="宋体" w:eastAsia="宋体" w:cs="宋体"/>
          <w:b w:val="0"/>
          <w:bCs w:val="0"/>
          <w:color w:val="000000"/>
          <w:kern w:val="0"/>
          <w:sz w:val="20"/>
          <w:szCs w:val="20"/>
        </w:rPr>
      </w:pPr>
    </w:p>
    <w:p>
      <w:pPr>
        <w:spacing w:line="520" w:lineRule="exact"/>
        <w:jc w:val="left"/>
        <w:outlineLvl w:val="0"/>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一、桥梁健康监测</w:t>
      </w:r>
    </w:p>
    <w:p>
      <w:pPr>
        <w:widowControl/>
        <w:spacing w:line="520" w:lineRule="exact"/>
        <w:jc w:val="left"/>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1.1国家政策导向需要</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在交通运输安全现实需求及工程结构安全预警技术蓬勃发展的大背景下，关于公路工程结构安全监测的政策法令相继推出：</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2014年8月27日，国家发展改革委等8部委印发的《关于促进智慧城市健康发展的指导意见》指出：智慧城市是运用物联网、云计算、大数据、空间地理信息集成等新一代信息技术，促进城市规划、建设、管理和服务智慧化的新理念和新模式。“（九）加快建设智能化基础设施。”指出：推动城市公用设施、建筑等智能化改造。“（十二）加快重点领域物联网应用。”指出：加快物联网在城市管理、交通运输……等领域的推广应用，提高城市管理精细化水平，逐步形成全面感知，广泛互联的城市智能管理和服务体系。</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2015年7月4日，国务院公开发布的《国务院关于积极推进“互联网+”行动的指导意见》（国发〔2015〕40号）将“互联网+便捷交通”列为重点行动，并指出“利用物联网、移动互联网等技术，进一步加强对公路、铁路、民航、港口等交通运输网络关键设施运行状态与通行信息的采集。……，提高基础设施、运输工具、运行信息等要素资源的在线化水平，全面支撑故障预警、运行维护以及调度智能化”。</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00" w:firstLineChars="200"/>
        <w:jc w:val="left"/>
        <w:textAlignment w:val="baseline"/>
        <w:rPr>
          <w:rFonts w:hint="eastAsia" w:ascii="宋体" w:hAnsi="宋体" w:eastAsia="宋体" w:cs="宋体"/>
          <w:b w:val="0"/>
          <w:bCs w:val="0"/>
          <w:sz w:val="20"/>
          <w:szCs w:val="20"/>
        </w:rPr>
      </w:pPr>
      <w:r>
        <w:rPr>
          <w:rFonts w:hint="eastAsia" w:ascii="宋体" w:hAnsi="宋体" w:eastAsia="宋体" w:cs="宋体"/>
          <w:b w:val="0"/>
          <w:bCs w:val="0"/>
          <w:sz w:val="20"/>
          <w:szCs w:val="20"/>
        </w:rPr>
        <w:t>2015年10月《中共中央关于制定国民经济和社会发展第十三个五年规划的建议》则指出：我国“重大安全事故频发”，“面临诸多矛盾叠加、风险隐患增多的严峻挑战”，应“建立风险识别和预警机制，以可控方式和节奏主动释放风险”。因此，桥梁监测的重要性将再度提升。</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2016年2月6日，国务院印发《中共中央国务院关于进一步加强城市规划建设管理工作的若干意见》：要加强建筑安全监管。实施过程全生命周期风险管理，重点抓好房屋建筑、城市桥梁、建筑幕墙、斜坡（高切坡）、隧道（地铁）、地下管线等工程运行使用的安全监管，建立安全预警及应急控制机制。</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2016年4月19日，交通运输部公开发布的《交通运输信息化“十三五”发展规划》中要求：推动基础设施数字化和运行智能化，重点推进信息采集和监测设施与交通运输基础设施工程同步规划、同步建设和改造，加快国省干线公路和内河高等级航道运行状态信息监测体系建设，增强网络协同运行能力。</w:t>
      </w:r>
    </w:p>
    <w:p>
      <w:pPr>
        <w:widowControl/>
        <w:spacing w:line="520" w:lineRule="exact"/>
        <w:jc w:val="left"/>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1.2国家部委规范明确规定需要</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（1）《建筑与桥梁结构监测技术规范》GB50982-2014</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住房和城乡建设部于2015年8月1日正式颁布实施的国家标准《建筑与桥梁结构监测技术规范 GB50982-2014》在如下条款中提到：</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7.1.2条：对特别重要的特大桥，应进行使用期间监测；</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7.1.3条：……，满足下列条件之一时，桥梁结构宜进行使用期间监测：</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1.主跨跨径大于150m的梁桥；</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2.主跨跨径大于300m的斜拉桥；</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3.主跨跨径大于500m的悬索桥；</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4.主跨跨径大于200m的拱桥；</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5.处于复杂环境或结构特殊的其他桥梁结构。（成吉思汗大街西桥为特殊结构中的系杆拱，属于此种类型）</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（2）《城市桥梁养护技术规范》CJJ99-2017</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3.0.15条：对I类养护的城市桥梁，……，有条件的城市可采用自动化监测系统设点测控，应随时掌握桥梁技术状况和中长期发展趋势。</w:t>
      </w:r>
    </w:p>
    <w:p>
      <w:pPr>
        <w:widowControl/>
        <w:spacing w:line="520" w:lineRule="exact"/>
        <w:jc w:val="left"/>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1.3管理需要</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随着基础设施规模的急速增长，以人工巡查和定期检查为主的传统检修养护技术手段已逐渐不能适应现代化的运营管理要求，主要体现在以下局限和不足：</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1、前期准备工作繁复，检查周期长，影响正常交通运行，效率低；</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2、有诸多检测盲点，结构内部以及某些局部构件受条件所限无法进行检测或近距离观测；</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3、主观性强、整体性差、难以量化，检查和评估结果取决于检查人员的专业知识水平和检测经验；</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00" w:firstLineChars="200"/>
        <w:jc w:val="left"/>
        <w:textAlignment w:val="baseline"/>
        <w:rPr>
          <w:rFonts w:hint="eastAsia" w:ascii="宋体" w:hAnsi="宋体" w:eastAsia="宋体" w:cs="宋体"/>
          <w:b w:val="0"/>
          <w:bCs w:val="0"/>
          <w:sz w:val="20"/>
          <w:szCs w:val="20"/>
        </w:rPr>
      </w:pPr>
      <w:r>
        <w:rPr>
          <w:rFonts w:hint="eastAsia" w:ascii="宋体" w:hAnsi="宋体" w:eastAsia="宋体" w:cs="宋体"/>
          <w:b w:val="0"/>
          <w:bCs w:val="0"/>
          <w:sz w:val="20"/>
          <w:szCs w:val="20"/>
        </w:rPr>
        <w:t>4、检查间隔时间长，每两次检测的中间时间无法掌握桥梁状况，对突发安全事故无提前预警和应急机制；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00" w:firstLineChars="200"/>
        <w:jc w:val="left"/>
        <w:textAlignment w:val="baseline"/>
        <w:rPr>
          <w:rFonts w:hint="eastAsia" w:ascii="宋体" w:hAnsi="宋体" w:eastAsia="宋体" w:cs="宋体"/>
          <w:b w:val="0"/>
          <w:bCs w:val="0"/>
          <w:sz w:val="20"/>
          <w:szCs w:val="20"/>
        </w:rPr>
      </w:pPr>
      <w:r>
        <w:rPr>
          <w:rFonts w:hint="eastAsia" w:ascii="宋体" w:hAnsi="宋体" w:eastAsia="宋体" w:cs="宋体"/>
          <w:b w:val="0"/>
          <w:bCs w:val="0"/>
          <w:sz w:val="20"/>
          <w:szCs w:val="20"/>
        </w:rPr>
        <w:t>5、花费大量人力、物力，特别是后期检测和养护成本偏高。</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近年来，随着政府和行业主管部门对“智慧城市”、“智慧交通”等技术的政策倡导和资金投入，物联网、云技术和大数据等新技术投入实用，对公路基础设施进行现代化监测管理的需求越来越迫切。健康监测系统通过实时连续方式获取桥梁结构关键部位的状况信息，采用自动评估系统在线进行分析和评价，并与人工检查方式相结合，及时发现桥梁病害隐患，通过短信、鸣叫等方式向管理人员发出预警，提早采取处治措施，有效预防倒塌等灾难性事故，保障桥梁运营安全。桥梁健康监测系统在桥梁管养工作中的现实意义体现在以下几个方面：</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1、完善安全预警机制，辅助桥梁日常管理</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当桥梁在特殊气候、交通条件下监测结果超出预警值时发出预警信号，管养单位及时采取应对措施，第一时间做好应急抢险准备，防止发生进一步的结构破坏和交通安全事故。</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2、及早发现桥梁病患，并为桥梁病患原因分析、选择合理的处治措施提供基础数据和必要的技术分析依据。</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3、验证设计，减小设计理论不足给桥梁管养工作带来的不确定性，并为验证相关理论甚至形成新的设计理论提供最真实的基础数据资料。</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4、桥梁健康监测系统可用于突发事件（车、船撞击）、灾害事件（山体崩塌、滑坡、泥石流、地震等地质灾害，洪水、暴雪等气象灾害）发生后的快速结构安全状态评估，从而为尽早开放交通创造条件，减小事件对交通的影响。</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5、通过结构安全监测系统及时评价桥梁的工作性能，确保桥梁安全运营，延长桥梁的使用寿命。</w:t>
      </w:r>
    </w:p>
    <w:p>
      <w:pPr>
        <w:widowControl/>
        <w:spacing w:line="520" w:lineRule="exact"/>
        <w:jc w:val="left"/>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1.4本次健康监测的桥梁概况</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成吉思汗大街西桥位于呼和浩特市成吉思汗西街上，通道北路西侧，跨越西达盖河。荷载等级为城A级。跨径组合自西向东依次为：13（西端引桥）+14（西副跨）+56（主跨）+14（东副跨）+13（东端引桥）m；桥面总宽40.4m，行车道净宽24.0m，拌和式沥青混凝土路面。</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桥采用双飞燕中承式系杆拱桥，柔性吊杆，由主跨和两副跨组成。拱肋拱两片，边跨拱肋采用C40混凝土。中跨截面采用钢箱形结构。桥面以下拱肋内充C50微膨胀混凝土，同时为增强全桥稳定性，在两片拱肋间设置一道一字型横撑，两道K型横撑。系梁采用系杆锚具及相应成品钢绞线系杆索，系杆锚固于边跨拱肋端部。每片拱肋设吊杆11根。</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桥面系边跨靠近端部采用C40现浇混凝土箱梁，其余部分及中跨桥面由主横梁、横梁和小纵梁组成桥面系。上面铺设C40钢纤维混凝土桥面板，桥面板通过剪力键与主横梁和横梁形成结合梁。</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拱桥下部结构为钢筋混凝土灌注桩及承台，桥台均为桩顶盖梁的形式，桥墩采用钻孔灌注桩。</w:t>
      </w:r>
    </w:p>
    <w:tbl>
      <w:tblPr>
        <w:tblStyle w:val="4"/>
        <w:tblW w:w="9072" w:type="dxa"/>
        <w:jc w:val="center"/>
        <w:tblLayout w:type="fixed"/>
        <w:tblCellMar>
          <w:top w:w="0" w:type="dxa"/>
          <w:left w:w="108" w:type="dxa"/>
          <w:bottom w:w="0" w:type="dxa"/>
          <w:right w:w="108" w:type="dxa"/>
        </w:tblCellMar>
      </w:tblPr>
      <w:tblGrid>
        <w:gridCol w:w="4536"/>
        <w:gridCol w:w="4536"/>
      </w:tblGrid>
      <w:tr>
        <w:tblPrEx>
          <w:tblCellMar>
            <w:top w:w="0" w:type="dxa"/>
            <w:left w:w="108" w:type="dxa"/>
            <w:bottom w:w="0" w:type="dxa"/>
            <w:right w:w="108" w:type="dxa"/>
          </w:tblCellMar>
        </w:tblPrEx>
        <w:trPr>
          <w:trHeight w:val="1445" w:hRule="atLeast"/>
          <w:jc w:val="center"/>
        </w:trPr>
        <w:tc>
          <w:tcPr>
            <w:tcW w:w="4536" w:type="dxa"/>
            <w:noWrap w:val="0"/>
            <w:vAlign w:val="center"/>
          </w:tcPr>
          <w:p>
            <w:pPr>
              <w:spacing w:line="360" w:lineRule="auto"/>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drawing>
                <wp:inline distT="0" distB="0" distL="114300" distR="114300">
                  <wp:extent cx="2743200" cy="2057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743200" cy="2057400"/>
                          </a:xfrm>
                          <a:prstGeom prst="rect">
                            <a:avLst/>
                          </a:prstGeom>
                          <a:noFill/>
                          <a:ln>
                            <a:noFill/>
                          </a:ln>
                        </pic:spPr>
                      </pic:pic>
                    </a:graphicData>
                  </a:graphic>
                </wp:inline>
              </w:drawing>
            </w:r>
          </w:p>
        </w:tc>
        <w:tc>
          <w:tcPr>
            <w:tcW w:w="4536" w:type="dxa"/>
            <w:noWrap w:val="0"/>
            <w:vAlign w:val="center"/>
          </w:tcPr>
          <w:p>
            <w:pPr>
              <w:spacing w:line="360" w:lineRule="auto"/>
              <w:jc w:val="center"/>
              <w:rPr>
                <w:rFonts w:hint="eastAsia" w:ascii="宋体" w:hAnsi="宋体" w:eastAsia="宋体" w:cs="宋体"/>
                <w:b w:val="0"/>
                <w:bCs w:val="0"/>
                <w:caps/>
                <w:sz w:val="20"/>
                <w:szCs w:val="20"/>
              </w:rPr>
            </w:pPr>
            <w:r>
              <w:rPr>
                <w:rFonts w:hint="eastAsia" w:ascii="宋体" w:hAnsi="宋体" w:eastAsia="宋体" w:cs="宋体"/>
                <w:b w:val="0"/>
                <w:bCs w:val="0"/>
                <w:sz w:val="20"/>
                <w:szCs w:val="20"/>
              </w:rPr>
              <w:drawing>
                <wp:inline distT="0" distB="0" distL="114300" distR="114300">
                  <wp:extent cx="2743200" cy="20574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743200" cy="20574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00" w:hRule="atLeast"/>
          <w:jc w:val="center"/>
        </w:trPr>
        <w:tc>
          <w:tcPr>
            <w:tcW w:w="4536" w:type="dxa"/>
            <w:noWrap w:val="0"/>
            <w:vAlign w:val="center"/>
          </w:tcPr>
          <w:p>
            <w:pPr>
              <w:pStyle w:val="2"/>
              <w:jc w:val="center"/>
              <w:rPr>
                <w:rFonts w:hint="eastAsia" w:ascii="宋体" w:hAnsi="宋体" w:eastAsia="宋体" w:cs="宋体"/>
                <w:b w:val="0"/>
                <w:bCs w:val="0"/>
                <w:sz w:val="20"/>
                <w:szCs w:val="20"/>
              </w:rPr>
            </w:pPr>
            <w:r>
              <w:rPr>
                <w:rFonts w:hint="eastAsia" w:ascii="宋体" w:hAnsi="宋体" w:eastAsia="宋体" w:cs="宋体"/>
                <w:b w:val="0"/>
                <w:bCs w:val="0"/>
                <w:kern w:val="44"/>
                <w:sz w:val="20"/>
                <w:szCs w:val="20"/>
              </w:rPr>
              <w:t>桥梁正面照</w:t>
            </w:r>
          </w:p>
        </w:tc>
        <w:tc>
          <w:tcPr>
            <w:tcW w:w="4536" w:type="dxa"/>
            <w:noWrap w:val="0"/>
            <w:vAlign w:val="center"/>
          </w:tcPr>
          <w:p>
            <w:pPr>
              <w:spacing w:line="360" w:lineRule="auto"/>
              <w:jc w:val="center"/>
              <w:rPr>
                <w:rFonts w:hint="eastAsia" w:ascii="宋体" w:hAnsi="宋体" w:eastAsia="宋体" w:cs="宋体"/>
                <w:b w:val="0"/>
                <w:bCs w:val="0"/>
                <w:kern w:val="44"/>
                <w:sz w:val="20"/>
                <w:szCs w:val="20"/>
              </w:rPr>
            </w:pPr>
            <w:r>
              <w:rPr>
                <w:rFonts w:hint="eastAsia" w:ascii="宋体" w:hAnsi="宋体" w:eastAsia="宋体" w:cs="宋体"/>
                <w:b w:val="0"/>
                <w:bCs w:val="0"/>
                <w:kern w:val="44"/>
                <w:sz w:val="20"/>
                <w:szCs w:val="20"/>
              </w:rPr>
              <w:t>桥梁立面照</w:t>
            </w:r>
          </w:p>
        </w:tc>
      </w:tr>
    </w:tbl>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drawing>
          <wp:inline distT="0" distB="0" distL="114300" distR="114300">
            <wp:extent cx="4831080" cy="1897380"/>
            <wp:effectExtent l="0" t="0" r="7620" b="762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4831080" cy="1897380"/>
                    </a:xfrm>
                    <a:prstGeom prst="rect">
                      <a:avLst/>
                    </a:prstGeom>
                    <a:noFill/>
                    <a:ln>
                      <a:noFill/>
                    </a:ln>
                  </pic:spPr>
                </pic:pic>
              </a:graphicData>
            </a:graphic>
          </wp:inline>
        </w:drawing>
      </w:r>
    </w:p>
    <w:p>
      <w:pPr>
        <w:adjustRightInd w:val="0"/>
        <w:snapToGrid w:val="0"/>
        <w:spacing w:line="360" w:lineRule="auto"/>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成吉思汗大街西桥主桥有限元模型</w:t>
      </w:r>
    </w:p>
    <w:p>
      <w:pPr>
        <w:widowControl/>
        <w:spacing w:line="520" w:lineRule="exact"/>
        <w:ind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本次</w:t>
      </w:r>
      <w:r>
        <w:rPr>
          <w:rFonts w:hint="eastAsia" w:ascii="宋体" w:hAnsi="宋体" w:eastAsia="宋体" w:cs="宋体"/>
          <w:b w:val="0"/>
          <w:bCs w:val="0"/>
          <w:color w:val="000000"/>
          <w:kern w:val="0"/>
          <w:sz w:val="20"/>
          <w:szCs w:val="20"/>
        </w:rPr>
        <w:t>桥梁结构健康监测对象为</w:t>
      </w:r>
      <w:r>
        <w:rPr>
          <w:rFonts w:hint="eastAsia" w:ascii="宋体" w:hAnsi="宋体" w:eastAsia="宋体" w:cs="宋体"/>
          <w:b w:val="0"/>
          <w:bCs w:val="0"/>
          <w:sz w:val="20"/>
          <w:szCs w:val="20"/>
        </w:rPr>
        <w:t>成吉思汗大街西桥，对该桥的应力、应变、裂缝、索力等参数进行健康监测。</w:t>
      </w:r>
    </w:p>
    <w:p>
      <w:pPr>
        <w:spacing w:line="520" w:lineRule="exact"/>
        <w:jc w:val="left"/>
        <w:outlineLvl w:val="0"/>
        <w:rPr>
          <w:rFonts w:hint="eastAsia" w:ascii="宋体" w:hAnsi="宋体" w:eastAsia="宋体" w:cs="宋体"/>
          <w:b w:val="0"/>
          <w:bCs w:val="0"/>
          <w:sz w:val="20"/>
          <w:szCs w:val="20"/>
        </w:rPr>
      </w:pPr>
      <w:r>
        <w:rPr>
          <w:rFonts w:hint="eastAsia" w:ascii="宋体" w:hAnsi="宋体" w:eastAsia="宋体" w:cs="宋体"/>
          <w:b w:val="0"/>
          <w:bCs w:val="0"/>
          <w:color w:val="000000"/>
          <w:kern w:val="0"/>
          <w:sz w:val="20"/>
          <w:szCs w:val="20"/>
        </w:rPr>
        <w:t>二、桥梁检测</w:t>
      </w:r>
    </w:p>
    <w:tbl>
      <w:tblPr>
        <w:tblStyle w:val="4"/>
        <w:tblW w:w="9597" w:type="dxa"/>
        <w:jc w:val="center"/>
        <w:tblLayout w:type="fixed"/>
        <w:tblCellMar>
          <w:top w:w="0" w:type="dxa"/>
          <w:left w:w="108" w:type="dxa"/>
          <w:bottom w:w="0" w:type="dxa"/>
          <w:right w:w="108" w:type="dxa"/>
        </w:tblCellMar>
      </w:tblPr>
      <w:tblGrid>
        <w:gridCol w:w="788"/>
        <w:gridCol w:w="2322"/>
        <w:gridCol w:w="1306"/>
        <w:gridCol w:w="1470"/>
        <w:gridCol w:w="652"/>
        <w:gridCol w:w="809"/>
        <w:gridCol w:w="921"/>
        <w:gridCol w:w="1329"/>
      </w:tblGrid>
      <w:tr>
        <w:tblPrEx>
          <w:tblCellMar>
            <w:top w:w="0" w:type="dxa"/>
            <w:left w:w="108" w:type="dxa"/>
            <w:bottom w:w="0" w:type="dxa"/>
            <w:right w:w="108" w:type="dxa"/>
          </w:tblCellMar>
        </w:tblPrEx>
        <w:trPr>
          <w:trHeight w:val="57"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bookmarkStart w:id="0" w:name="RANGE!A1:E26"/>
            <w:r>
              <w:rPr>
                <w:rFonts w:hint="eastAsia" w:ascii="宋体" w:hAnsi="宋体" w:eastAsia="宋体" w:cs="宋体"/>
                <w:b w:val="0"/>
                <w:bCs w:val="0"/>
                <w:kern w:val="0"/>
                <w:sz w:val="20"/>
                <w:szCs w:val="20"/>
              </w:rPr>
              <w:t>序号</w:t>
            </w:r>
            <w:bookmarkEnd w:id="0"/>
          </w:p>
        </w:tc>
        <w:tc>
          <w:tcPr>
            <w:tcW w:w="23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桥梁名称</w:t>
            </w:r>
          </w:p>
        </w:tc>
        <w:tc>
          <w:tcPr>
            <w:tcW w:w="13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桥面宽度（米）</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跨径组合</w:t>
            </w:r>
          </w:p>
        </w:tc>
        <w:tc>
          <w:tcPr>
            <w:tcW w:w="65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桥幅数</w:t>
            </w:r>
          </w:p>
        </w:tc>
        <w:tc>
          <w:tcPr>
            <w:tcW w:w="8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车道系数</w:t>
            </w:r>
          </w:p>
        </w:tc>
        <w:tc>
          <w:tcPr>
            <w:tcW w:w="9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长度（米）</w:t>
            </w:r>
          </w:p>
        </w:tc>
        <w:tc>
          <w:tcPr>
            <w:tcW w:w="13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外观检测费用（元）</w:t>
            </w: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呼市一中桥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8.50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6.25+7.1+19.45+34+19.45+7.1+6.25</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99.6</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呼凉公路下穿科尔沁南路通道</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20.00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坡道长820米</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81</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万通路地下通道</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55.00 </w:t>
            </w:r>
          </w:p>
        </w:tc>
        <w:tc>
          <w:tcPr>
            <w:tcW w:w="147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632.07</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632.07</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海拉尔西街胜利桥 </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39.00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13×5</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65</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海拉尔西街胜利桥扩建工程（两边桥）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7.50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13×5</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65</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海拉尔西街漫水桥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50.00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20×4</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1.2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85.04</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7</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海拉尔大街(财院)人行天桥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4.00 </w:t>
            </w:r>
          </w:p>
        </w:tc>
        <w:tc>
          <w:tcPr>
            <w:tcW w:w="147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9.77+26.6+9.77</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52.4</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8</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大庆路漫水桥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30.00 </w:t>
            </w:r>
          </w:p>
        </w:tc>
        <w:tc>
          <w:tcPr>
            <w:tcW w:w="147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4×16</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1.1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64</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9</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锡林路小黑河大桥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70.00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20×4+20×4</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1.1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160</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呼市八中桥西桥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12.50 </w:t>
            </w:r>
          </w:p>
        </w:tc>
        <w:tc>
          <w:tcPr>
            <w:tcW w:w="147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13×4</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52</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11</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兴安南路人行天桥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4.90 </w:t>
            </w:r>
          </w:p>
        </w:tc>
        <w:tc>
          <w:tcPr>
            <w:tcW w:w="147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38.8×1</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49.6</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12</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内大南门人行天桥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5.00 </w:t>
            </w:r>
          </w:p>
        </w:tc>
        <w:tc>
          <w:tcPr>
            <w:tcW w:w="147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37.5</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37.5</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13</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成吉思汗大街(东桥)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46.60 </w:t>
            </w:r>
          </w:p>
        </w:tc>
        <w:tc>
          <w:tcPr>
            <w:tcW w:w="147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18.6×4</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1.2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80.5</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14</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北垣街跨东二环立交桥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30.60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34.5×2</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1.1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70</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15</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北垣街跨展东路立交桥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22</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5.8+16.1+5.8</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30.6</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16</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北垣街跨兴安路立交桥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35</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6.3+21+6.3</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31.2</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17</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北垣街跨哲里木路立交桥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32</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6+17.4+6</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30.8</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18</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机场路跨如意河大桥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12.2+16.5+16.5+12.2</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20×10</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6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200</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19</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新华桥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47.80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21.4×4</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90.3</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钢铁桥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22.40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13×5</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65.7</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21</w:t>
            </w:r>
          </w:p>
        </w:tc>
        <w:tc>
          <w:tcPr>
            <w:tcW w:w="2322"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海拉尔东街跨如意河大桥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42.00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20×10</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4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200</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22</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海拉尔街大桥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8.5+24+8.5</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13×3</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3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39</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23</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光明路漫水桥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30.00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4×20</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1.1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85.4</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24</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县府街大桥</w:t>
            </w:r>
          </w:p>
        </w:tc>
        <w:tc>
          <w:tcPr>
            <w:tcW w:w="130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30.60 </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19.6×4</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1.1 </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81.1</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25</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呼伦路赛马场大桥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40</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9×3</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2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1.1 </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27.5</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26</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八中东桥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12.5</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9.2×5</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52</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27</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清真西寺桥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6</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3×17</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51</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28</w:t>
            </w:r>
          </w:p>
        </w:tc>
        <w:tc>
          <w:tcPr>
            <w:tcW w:w="23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昭君路跨小黑河东桥</w:t>
            </w:r>
          </w:p>
        </w:tc>
        <w:tc>
          <w:tcPr>
            <w:tcW w:w="130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12.7</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12×10</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130</w:t>
            </w:r>
          </w:p>
        </w:tc>
        <w:tc>
          <w:tcPr>
            <w:tcW w:w="13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r>
        <w:tblPrEx>
          <w:tblCellMar>
            <w:top w:w="0" w:type="dxa"/>
            <w:left w:w="108" w:type="dxa"/>
            <w:bottom w:w="0" w:type="dxa"/>
            <w:right w:w="108" w:type="dxa"/>
          </w:tblCellMar>
        </w:tblPrEx>
        <w:trPr>
          <w:trHeight w:val="57"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29</w:t>
            </w:r>
          </w:p>
        </w:tc>
        <w:tc>
          <w:tcPr>
            <w:tcW w:w="23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昭君路跨小黑河西桥</w:t>
            </w:r>
          </w:p>
        </w:tc>
        <w:tc>
          <w:tcPr>
            <w:tcW w:w="13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9.6</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13.5×7</w:t>
            </w:r>
          </w:p>
        </w:tc>
        <w:tc>
          <w:tcPr>
            <w:tcW w:w="65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 </w:t>
            </w:r>
          </w:p>
        </w:tc>
        <w:tc>
          <w:tcPr>
            <w:tcW w:w="8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1.0 </w:t>
            </w:r>
          </w:p>
        </w:tc>
        <w:tc>
          <w:tcPr>
            <w:tcW w:w="9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99.3</w:t>
            </w:r>
          </w:p>
        </w:tc>
        <w:tc>
          <w:tcPr>
            <w:tcW w:w="132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kern w:val="0"/>
                <w:sz w:val="20"/>
                <w:szCs w:val="20"/>
              </w:rPr>
            </w:pPr>
          </w:p>
        </w:tc>
      </w:tr>
    </w:tbl>
    <w:p>
      <w:pPr>
        <w:spacing w:line="520" w:lineRule="exact"/>
        <w:jc w:val="left"/>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2. 混凝土桥梁抽取部分构件进行专项检测：混凝土强度每个构件含10测区；钢筋保护层厚度每个构件含10个点；混凝土碳化深度每个构件含3个测区；钢筋锈蚀电位每个构件含1个测区。（包含2座未做过荷载试验的桥梁，</w:t>
      </w:r>
      <w:r>
        <w:rPr>
          <w:rFonts w:hint="eastAsia" w:ascii="宋体" w:hAnsi="宋体" w:eastAsia="宋体" w:cs="宋体"/>
          <w:b w:val="0"/>
          <w:bCs w:val="0"/>
          <w:color w:val="000000"/>
          <w:kern w:val="0"/>
          <w:sz w:val="20"/>
          <w:szCs w:val="20"/>
        </w:rPr>
        <w:t>呼市一中桥为钢结构，不做混凝土相关检测</w:t>
      </w:r>
      <w:r>
        <w:rPr>
          <w:rFonts w:hint="eastAsia" w:ascii="宋体" w:hAnsi="宋体" w:eastAsia="宋体" w:cs="宋体"/>
          <w:b w:val="0"/>
          <w:bCs w:val="0"/>
          <w:sz w:val="20"/>
          <w:szCs w:val="20"/>
        </w:rPr>
        <w:t>）</w:t>
      </w:r>
    </w:p>
    <w:tbl>
      <w:tblPr>
        <w:tblStyle w:val="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20"/>
        <w:gridCol w:w="1132"/>
        <w:gridCol w:w="1132"/>
        <w:gridCol w:w="1279"/>
        <w:gridCol w:w="1283"/>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0"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序号</w:t>
            </w:r>
          </w:p>
        </w:tc>
        <w:tc>
          <w:tcPr>
            <w:tcW w:w="2120"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名称</w:t>
            </w:r>
          </w:p>
        </w:tc>
        <w:tc>
          <w:tcPr>
            <w:tcW w:w="4826" w:type="dxa"/>
            <w:gridSpan w:val="4"/>
            <w:noWrap w:val="0"/>
            <w:vAlign w:val="center"/>
          </w:tcPr>
          <w:p>
            <w:pPr>
              <w:widowControl/>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rPr>
              <w:t>专项检测</w:t>
            </w:r>
            <w:r>
              <w:rPr>
                <w:rFonts w:hint="eastAsia" w:ascii="宋体" w:hAnsi="宋体" w:eastAsia="宋体" w:cs="宋体"/>
                <w:b w:val="0"/>
                <w:bCs w:val="0"/>
                <w:color w:val="000000"/>
                <w:kern w:val="0"/>
                <w:sz w:val="20"/>
                <w:szCs w:val="20"/>
                <w:lang w:val="en-US" w:eastAsia="zh-CN"/>
              </w:rPr>
              <w:t>内容</w:t>
            </w:r>
          </w:p>
          <w:p>
            <w:pPr>
              <w:widowControl/>
              <w:jc w:val="center"/>
              <w:rPr>
                <w:rFonts w:hint="eastAsia" w:ascii="宋体" w:hAnsi="宋体" w:eastAsia="宋体" w:cs="宋体"/>
                <w:b w:val="0"/>
                <w:bCs w:val="0"/>
                <w:color w:val="000000"/>
                <w:kern w:val="0"/>
                <w:sz w:val="20"/>
                <w:szCs w:val="20"/>
              </w:rPr>
            </w:pPr>
          </w:p>
        </w:tc>
        <w:tc>
          <w:tcPr>
            <w:tcW w:w="906"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抽检构件数量</w:t>
            </w:r>
          </w:p>
        </w:tc>
        <w:tc>
          <w:tcPr>
            <w:tcW w:w="906"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00"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w:t>
            </w:r>
          </w:p>
        </w:tc>
        <w:tc>
          <w:tcPr>
            <w:tcW w:w="2120"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呼凉公路下穿科尔沁南路通道</w:t>
            </w:r>
          </w:p>
        </w:tc>
        <w:tc>
          <w:tcPr>
            <w:tcW w:w="1132"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混凝土强度</w:t>
            </w:r>
          </w:p>
        </w:tc>
        <w:tc>
          <w:tcPr>
            <w:tcW w:w="1132"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钢筋保护层厚度</w:t>
            </w:r>
          </w:p>
        </w:tc>
        <w:tc>
          <w:tcPr>
            <w:tcW w:w="1279"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混凝土碳化深度</w:t>
            </w:r>
          </w:p>
        </w:tc>
        <w:tc>
          <w:tcPr>
            <w:tcW w:w="1283"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钢筋锈蚀电位</w:t>
            </w:r>
          </w:p>
        </w:tc>
        <w:tc>
          <w:tcPr>
            <w:tcW w:w="906"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6</w:t>
            </w:r>
          </w:p>
        </w:tc>
        <w:tc>
          <w:tcPr>
            <w:tcW w:w="906" w:type="dxa"/>
            <w:noWrap w:val="0"/>
            <w:vAlign w:val="center"/>
          </w:tcPr>
          <w:p>
            <w:pPr>
              <w:widowControl/>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00"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w:t>
            </w:r>
          </w:p>
        </w:tc>
        <w:tc>
          <w:tcPr>
            <w:tcW w:w="2120"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万通路地下通道</w:t>
            </w:r>
          </w:p>
        </w:tc>
        <w:tc>
          <w:tcPr>
            <w:tcW w:w="1132"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混凝土强度</w:t>
            </w:r>
          </w:p>
        </w:tc>
        <w:tc>
          <w:tcPr>
            <w:tcW w:w="1132"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钢筋保护层厚度</w:t>
            </w:r>
          </w:p>
        </w:tc>
        <w:tc>
          <w:tcPr>
            <w:tcW w:w="1279"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混凝土碳化深度</w:t>
            </w:r>
          </w:p>
        </w:tc>
        <w:tc>
          <w:tcPr>
            <w:tcW w:w="1283"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钢筋锈蚀电位</w:t>
            </w:r>
          </w:p>
        </w:tc>
        <w:tc>
          <w:tcPr>
            <w:tcW w:w="906"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6</w:t>
            </w:r>
          </w:p>
        </w:tc>
        <w:tc>
          <w:tcPr>
            <w:tcW w:w="906" w:type="dxa"/>
            <w:noWrap w:val="0"/>
            <w:vAlign w:val="center"/>
          </w:tcPr>
          <w:p>
            <w:pPr>
              <w:widowControl/>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752" w:type="dxa"/>
            <w:gridSpan w:val="7"/>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合计</w:t>
            </w:r>
          </w:p>
        </w:tc>
        <w:tc>
          <w:tcPr>
            <w:tcW w:w="906" w:type="dxa"/>
            <w:noWrap w:val="0"/>
            <w:vAlign w:val="center"/>
          </w:tcPr>
          <w:p>
            <w:pPr>
              <w:widowControl/>
              <w:jc w:val="center"/>
              <w:rPr>
                <w:rFonts w:hint="eastAsia" w:ascii="宋体" w:hAnsi="宋体" w:eastAsia="宋体" w:cs="宋体"/>
                <w:b w:val="0"/>
                <w:bCs w:val="0"/>
                <w:color w:val="000000"/>
                <w:kern w:val="0"/>
                <w:sz w:val="20"/>
                <w:szCs w:val="20"/>
              </w:rPr>
            </w:pPr>
          </w:p>
        </w:tc>
      </w:tr>
    </w:tbl>
    <w:p>
      <w:pPr>
        <w:spacing w:line="520" w:lineRule="exact"/>
        <w:jc w:val="left"/>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3.荷载试验（包含3座未做过检测的桥梁）</w:t>
      </w:r>
    </w:p>
    <w:tbl>
      <w:tblPr>
        <w:tblStyle w:val="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3016"/>
        <w:gridCol w:w="1785"/>
        <w:gridCol w:w="1606"/>
        <w:gridCol w:w="107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4"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序号</w:t>
            </w:r>
          </w:p>
        </w:tc>
        <w:tc>
          <w:tcPr>
            <w:tcW w:w="3016"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名称</w:t>
            </w:r>
          </w:p>
        </w:tc>
        <w:tc>
          <w:tcPr>
            <w:tcW w:w="3391" w:type="dxa"/>
            <w:gridSpan w:val="2"/>
            <w:noWrap w:val="0"/>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荷载试验</w:t>
            </w:r>
          </w:p>
        </w:tc>
        <w:tc>
          <w:tcPr>
            <w:tcW w:w="1071"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抽检</w:t>
            </w:r>
          </w:p>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跨数</w:t>
            </w:r>
          </w:p>
        </w:tc>
        <w:tc>
          <w:tcPr>
            <w:tcW w:w="1255" w:type="dxa"/>
            <w:noWrap/>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小计</w:t>
            </w:r>
          </w:p>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4"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w:t>
            </w:r>
          </w:p>
        </w:tc>
        <w:tc>
          <w:tcPr>
            <w:tcW w:w="3016" w:type="dxa"/>
            <w:noWrap w:val="0"/>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呼市一中桥</w:t>
            </w:r>
          </w:p>
        </w:tc>
        <w:tc>
          <w:tcPr>
            <w:tcW w:w="1785"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静载试验</w:t>
            </w:r>
          </w:p>
        </w:tc>
        <w:tc>
          <w:tcPr>
            <w:tcW w:w="1606" w:type="dxa"/>
            <w:noWrap/>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动载试验</w:t>
            </w:r>
          </w:p>
        </w:tc>
        <w:tc>
          <w:tcPr>
            <w:tcW w:w="1071"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w:t>
            </w:r>
          </w:p>
        </w:tc>
        <w:tc>
          <w:tcPr>
            <w:tcW w:w="1255" w:type="dxa"/>
            <w:noWrap/>
            <w:vAlign w:val="center"/>
          </w:tcPr>
          <w:p>
            <w:pPr>
              <w:widowControl/>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4"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w:t>
            </w:r>
          </w:p>
        </w:tc>
        <w:tc>
          <w:tcPr>
            <w:tcW w:w="3016"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呼凉公路下穿科尔沁南路通道</w:t>
            </w:r>
          </w:p>
        </w:tc>
        <w:tc>
          <w:tcPr>
            <w:tcW w:w="1785"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静载试验</w:t>
            </w:r>
          </w:p>
        </w:tc>
        <w:tc>
          <w:tcPr>
            <w:tcW w:w="1606" w:type="dxa"/>
            <w:noWrap/>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动载试验</w:t>
            </w:r>
          </w:p>
        </w:tc>
        <w:tc>
          <w:tcPr>
            <w:tcW w:w="1071"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w:t>
            </w:r>
          </w:p>
        </w:tc>
        <w:tc>
          <w:tcPr>
            <w:tcW w:w="1255" w:type="dxa"/>
            <w:noWrap/>
            <w:vAlign w:val="center"/>
          </w:tcPr>
          <w:p>
            <w:pPr>
              <w:widowControl/>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4"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w:t>
            </w:r>
          </w:p>
        </w:tc>
        <w:tc>
          <w:tcPr>
            <w:tcW w:w="3016"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万通路地下通道</w:t>
            </w:r>
          </w:p>
        </w:tc>
        <w:tc>
          <w:tcPr>
            <w:tcW w:w="1785" w:type="dxa"/>
            <w:noWrap/>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静载试验</w:t>
            </w:r>
          </w:p>
        </w:tc>
        <w:tc>
          <w:tcPr>
            <w:tcW w:w="1606" w:type="dxa"/>
            <w:noWrap/>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动载试验</w:t>
            </w:r>
          </w:p>
        </w:tc>
        <w:tc>
          <w:tcPr>
            <w:tcW w:w="1071"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w:t>
            </w:r>
          </w:p>
        </w:tc>
        <w:tc>
          <w:tcPr>
            <w:tcW w:w="1255" w:type="dxa"/>
            <w:noWrap/>
            <w:vAlign w:val="center"/>
          </w:tcPr>
          <w:p>
            <w:pPr>
              <w:widowControl/>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2" w:type="dxa"/>
            <w:gridSpan w:val="5"/>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合计</w:t>
            </w:r>
          </w:p>
        </w:tc>
        <w:tc>
          <w:tcPr>
            <w:tcW w:w="1255" w:type="dxa"/>
            <w:noWrap/>
            <w:vAlign w:val="center"/>
          </w:tcPr>
          <w:p>
            <w:pPr>
              <w:widowControl/>
              <w:jc w:val="center"/>
              <w:rPr>
                <w:rFonts w:hint="eastAsia" w:ascii="宋体" w:hAnsi="宋体" w:eastAsia="宋体" w:cs="宋体"/>
                <w:b w:val="0"/>
                <w:bCs w:val="0"/>
                <w:color w:val="000000"/>
                <w:kern w:val="0"/>
                <w:sz w:val="20"/>
                <w:szCs w:val="20"/>
              </w:rPr>
            </w:pPr>
          </w:p>
        </w:tc>
      </w:tr>
    </w:tbl>
    <w:p>
      <w:pPr>
        <w:spacing w:line="520" w:lineRule="exact"/>
        <w:jc w:val="left"/>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4.桥梁结构分析计算（包含3座未做过检测的桥梁）</w:t>
      </w:r>
    </w:p>
    <w:tbl>
      <w:tblPr>
        <w:tblStyle w:val="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4152"/>
        <w:gridCol w:w="2701"/>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98" w:type="dxa"/>
            <w:vMerge w:val="restart"/>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序号</w:t>
            </w:r>
          </w:p>
        </w:tc>
        <w:tc>
          <w:tcPr>
            <w:tcW w:w="4152" w:type="dxa"/>
            <w:vMerge w:val="restart"/>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名称</w:t>
            </w:r>
          </w:p>
        </w:tc>
        <w:tc>
          <w:tcPr>
            <w:tcW w:w="2701" w:type="dxa"/>
            <w:vMerge w:val="restart"/>
            <w:noWrap w:val="0"/>
            <w:vAlign w:val="center"/>
          </w:tcPr>
          <w:p>
            <w:pPr>
              <w:jc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检测内容</w:t>
            </w:r>
          </w:p>
        </w:tc>
        <w:tc>
          <w:tcPr>
            <w:tcW w:w="1727" w:type="dxa"/>
            <w:vMerge w:val="restart"/>
            <w:noWrap/>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小计</w:t>
            </w:r>
          </w:p>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98" w:type="dxa"/>
            <w:vMerge w:val="continue"/>
            <w:noWrap w:val="0"/>
            <w:vAlign w:val="center"/>
          </w:tcPr>
          <w:p>
            <w:pPr>
              <w:widowControl/>
              <w:jc w:val="center"/>
              <w:rPr>
                <w:rFonts w:hint="eastAsia" w:ascii="宋体" w:hAnsi="宋体" w:eastAsia="宋体" w:cs="宋体"/>
                <w:b w:val="0"/>
                <w:bCs w:val="0"/>
                <w:color w:val="000000"/>
                <w:kern w:val="0"/>
                <w:sz w:val="20"/>
                <w:szCs w:val="20"/>
              </w:rPr>
            </w:pPr>
          </w:p>
        </w:tc>
        <w:tc>
          <w:tcPr>
            <w:tcW w:w="4152" w:type="dxa"/>
            <w:vMerge w:val="continue"/>
            <w:noWrap w:val="0"/>
            <w:vAlign w:val="center"/>
          </w:tcPr>
          <w:p>
            <w:pPr>
              <w:widowControl/>
              <w:jc w:val="center"/>
              <w:rPr>
                <w:rFonts w:hint="eastAsia" w:ascii="宋体" w:hAnsi="宋体" w:eastAsia="宋体" w:cs="宋体"/>
                <w:b w:val="0"/>
                <w:bCs w:val="0"/>
                <w:color w:val="000000"/>
                <w:kern w:val="0"/>
                <w:sz w:val="20"/>
                <w:szCs w:val="20"/>
              </w:rPr>
            </w:pPr>
          </w:p>
        </w:tc>
        <w:tc>
          <w:tcPr>
            <w:tcW w:w="2701" w:type="dxa"/>
            <w:vMerge w:val="continue"/>
            <w:noWrap w:val="0"/>
            <w:vAlign w:val="center"/>
          </w:tcPr>
          <w:p>
            <w:pPr>
              <w:jc w:val="center"/>
              <w:rPr>
                <w:rFonts w:hint="eastAsia" w:ascii="宋体" w:hAnsi="宋体" w:eastAsia="宋体" w:cs="宋体"/>
                <w:b w:val="0"/>
                <w:bCs w:val="0"/>
                <w:color w:val="000000"/>
                <w:kern w:val="0"/>
                <w:sz w:val="20"/>
                <w:szCs w:val="20"/>
              </w:rPr>
            </w:pPr>
          </w:p>
        </w:tc>
        <w:tc>
          <w:tcPr>
            <w:tcW w:w="1727" w:type="dxa"/>
            <w:vMerge w:val="continue"/>
            <w:noWrap/>
            <w:vAlign w:val="center"/>
          </w:tcPr>
          <w:p>
            <w:pPr>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98"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1</w:t>
            </w:r>
          </w:p>
        </w:tc>
        <w:tc>
          <w:tcPr>
            <w:tcW w:w="4152" w:type="dxa"/>
            <w:noWrap w:val="0"/>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呼市一中桥</w:t>
            </w:r>
          </w:p>
        </w:tc>
        <w:tc>
          <w:tcPr>
            <w:tcW w:w="2701"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桥梁数据分析</w:t>
            </w:r>
          </w:p>
        </w:tc>
        <w:tc>
          <w:tcPr>
            <w:tcW w:w="1727" w:type="dxa"/>
            <w:noWrap/>
            <w:vAlign w:val="center"/>
          </w:tcPr>
          <w:p>
            <w:pPr>
              <w:widowControl/>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98"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2</w:t>
            </w:r>
          </w:p>
        </w:tc>
        <w:tc>
          <w:tcPr>
            <w:tcW w:w="4152"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呼凉公路下穿科尔沁南路通道</w:t>
            </w:r>
          </w:p>
        </w:tc>
        <w:tc>
          <w:tcPr>
            <w:tcW w:w="2701" w:type="dxa"/>
            <w:noWrap w:val="0"/>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color w:val="000000"/>
                <w:kern w:val="0"/>
                <w:sz w:val="20"/>
                <w:szCs w:val="20"/>
              </w:rPr>
              <w:t>桥梁数据分析</w:t>
            </w:r>
          </w:p>
        </w:tc>
        <w:tc>
          <w:tcPr>
            <w:tcW w:w="1727" w:type="dxa"/>
            <w:noWrap/>
            <w:vAlign w:val="center"/>
          </w:tcPr>
          <w:p>
            <w:pPr>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98"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3</w:t>
            </w:r>
          </w:p>
        </w:tc>
        <w:tc>
          <w:tcPr>
            <w:tcW w:w="4152" w:type="dxa"/>
            <w:noWrap w:val="0"/>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万通路地下通道</w:t>
            </w:r>
          </w:p>
        </w:tc>
        <w:tc>
          <w:tcPr>
            <w:tcW w:w="2701" w:type="dxa"/>
            <w:noWrap w:val="0"/>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color w:val="000000"/>
                <w:kern w:val="0"/>
                <w:sz w:val="20"/>
                <w:szCs w:val="20"/>
              </w:rPr>
              <w:t>桥梁数据分析</w:t>
            </w:r>
          </w:p>
        </w:tc>
        <w:tc>
          <w:tcPr>
            <w:tcW w:w="1727" w:type="dxa"/>
            <w:noWrap/>
            <w:vAlign w:val="center"/>
          </w:tcPr>
          <w:p>
            <w:pPr>
              <w:widowControl/>
              <w:jc w:val="center"/>
              <w:rPr>
                <w:rFonts w:hint="eastAsia" w:ascii="宋体" w:hAnsi="宋体" w:eastAsia="宋体" w:cs="宋体"/>
                <w:b w:val="0"/>
                <w:bCs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851" w:type="dxa"/>
            <w:gridSpan w:val="3"/>
            <w:noWrap w:val="0"/>
            <w:vAlign w:val="center"/>
          </w:tcPr>
          <w:p>
            <w:pPr>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合计</w:t>
            </w:r>
          </w:p>
        </w:tc>
        <w:tc>
          <w:tcPr>
            <w:tcW w:w="1727" w:type="dxa"/>
            <w:noWrap/>
            <w:vAlign w:val="center"/>
          </w:tcPr>
          <w:p>
            <w:pPr>
              <w:widowControl/>
              <w:jc w:val="center"/>
              <w:rPr>
                <w:rFonts w:hint="eastAsia" w:ascii="宋体" w:hAnsi="宋体" w:eastAsia="宋体" w:cs="宋体"/>
                <w:b w:val="0"/>
                <w:bCs w:val="0"/>
                <w:color w:val="000000"/>
                <w:kern w:val="0"/>
                <w:sz w:val="20"/>
                <w:szCs w:val="20"/>
              </w:rPr>
            </w:pPr>
          </w:p>
        </w:tc>
      </w:tr>
    </w:tbl>
    <w:p/>
    <w:bookmarkEnd w:id="1"/>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MDg0NTE3MWFhMjY3YzdhNjdkMDAwOWQwMjRkNTgifQ=="/>
  </w:docVars>
  <w:rsids>
    <w:rsidRoot w:val="39FE6C8B"/>
    <w:rsid w:val="39FE6C8B"/>
    <w:rsid w:val="667A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rPr>
  </w:style>
  <w:style w:type="paragraph" w:styleId="3">
    <w:name w:val="Body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2023-10-29T14:12:00Z</dcterms:created>
  <dc:creator>李敏</dc:creator>
  <cp:lastModifiedBy>李敏</cp:lastModifiedBy>
  <dcterms:modified xsi:type="dcterms:W3CDTF">2023-10-29T14:15:45Z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9C8C718446074B0EB58F08FB9254B827_11</vt:lpwstr>
  </property>
</Properties>
</file>