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24"/>
        </w:rPr>
      </w:pPr>
      <w:r>
        <w:rPr>
          <w:rFonts w:hint="eastAsia"/>
          <w:b/>
          <w:bCs/>
          <w:sz w:val="24"/>
          <w:lang w:eastAsia="zh-CN"/>
        </w:rPr>
        <w:t>2023年动物疫苗采购项目</w:t>
      </w:r>
      <w:r>
        <w:rPr>
          <w:rFonts w:hint="eastAsia"/>
          <w:b/>
          <w:bCs/>
          <w:sz w:val="24"/>
          <w:lang w:val="en-US" w:eastAsia="zh-CN"/>
        </w:rPr>
        <w:t>- 1包</w:t>
      </w:r>
      <w:r>
        <w:rPr>
          <w:rFonts w:hint="eastAsia"/>
          <w:b/>
          <w:bCs/>
          <w:sz w:val="24"/>
        </w:rPr>
        <w:t>技术参数</w:t>
      </w:r>
    </w:p>
    <w:tbl>
      <w:tblPr>
        <w:tblStyle w:val="3"/>
        <w:tblpPr w:leftFromText="180" w:rightFromText="180" w:vertAnchor="text" w:horzAnchor="page" w:tblpXSpec="center" w:tblpY="298"/>
        <w:tblOverlap w:val="never"/>
        <w:tblW w:w="13326" w:type="dxa"/>
        <w:jc w:val="center"/>
        <w:tblLayout w:type="fixed"/>
        <w:tblCellMar>
          <w:top w:w="0" w:type="dxa"/>
          <w:left w:w="108" w:type="dxa"/>
          <w:bottom w:w="0" w:type="dxa"/>
          <w:right w:w="108" w:type="dxa"/>
        </w:tblCellMar>
      </w:tblPr>
      <w:tblGrid>
        <w:gridCol w:w="1038"/>
        <w:gridCol w:w="1787"/>
        <w:gridCol w:w="7508"/>
        <w:gridCol w:w="980"/>
        <w:gridCol w:w="1020"/>
        <w:gridCol w:w="993"/>
      </w:tblGrid>
      <w:tr>
        <w:tblPrEx>
          <w:tblCellMar>
            <w:top w:w="0" w:type="dxa"/>
            <w:left w:w="108" w:type="dxa"/>
            <w:bottom w:w="0" w:type="dxa"/>
            <w:right w:w="108" w:type="dxa"/>
          </w:tblCellMar>
        </w:tblPrEx>
        <w:trPr>
          <w:trHeight w:val="780" w:hRule="atLeast"/>
          <w:jc w:val="center"/>
        </w:trPr>
        <w:tc>
          <w:tcPr>
            <w:tcW w:w="10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包号</w:t>
            </w:r>
          </w:p>
        </w:tc>
        <w:tc>
          <w:tcPr>
            <w:tcW w:w="178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疫苗种类</w:t>
            </w:r>
          </w:p>
        </w:tc>
        <w:tc>
          <w:tcPr>
            <w:tcW w:w="750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技术参数</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单位</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数量</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核心产品（</w:t>
            </w:r>
            <w:r>
              <w:rPr>
                <w:b/>
                <w:bCs/>
                <w:color w:val="666666"/>
                <w:kern w:val="0"/>
                <w:sz w:val="24"/>
              </w:rPr>
              <w:t>“</w:t>
            </w:r>
            <w:r>
              <w:rPr>
                <w:rFonts w:hint="eastAsia" w:ascii="宋体" w:hAnsi="宋体" w:cs="宋体"/>
                <w:b/>
                <w:bCs/>
                <w:color w:val="666666"/>
                <w:kern w:val="0"/>
                <w:sz w:val="24"/>
              </w:rPr>
              <w:t>△</w:t>
            </w:r>
            <w:r>
              <w:rPr>
                <w:b/>
                <w:bCs/>
                <w:color w:val="666666"/>
                <w:kern w:val="0"/>
                <w:sz w:val="24"/>
              </w:rPr>
              <w:t>”</w:t>
            </w:r>
            <w:r>
              <w:rPr>
                <w:rFonts w:hint="eastAsia" w:ascii="宋体" w:hAnsi="宋体" w:cs="宋体"/>
                <w:color w:val="000000"/>
                <w:kern w:val="0"/>
                <w:sz w:val="20"/>
                <w:szCs w:val="20"/>
                <w:lang w:bidi="ar"/>
              </w:rPr>
              <w:t>）</w:t>
            </w:r>
          </w:p>
        </w:tc>
      </w:tr>
      <w:tr>
        <w:tblPrEx>
          <w:tblCellMar>
            <w:top w:w="0" w:type="dxa"/>
            <w:left w:w="108" w:type="dxa"/>
            <w:bottom w:w="0" w:type="dxa"/>
            <w:right w:w="108" w:type="dxa"/>
          </w:tblCellMar>
        </w:tblPrEx>
        <w:trPr>
          <w:trHeight w:val="780" w:hRule="atLeast"/>
          <w:jc w:val="center"/>
        </w:trPr>
        <w:tc>
          <w:tcPr>
            <w:tcW w:w="1038" w:type="dxa"/>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ascii="宋体" w:hAnsi="宋体"/>
                <w:sz w:val="22"/>
                <w:szCs w:val="22"/>
              </w:rPr>
            </w:pPr>
            <w:r>
              <w:rPr>
                <w:rFonts w:hint="eastAsia" w:ascii="宋体" w:hAnsi="宋体"/>
                <w:sz w:val="22"/>
                <w:szCs w:val="22"/>
              </w:rPr>
              <w:t>1</w:t>
            </w:r>
          </w:p>
        </w:tc>
        <w:tc>
          <w:tcPr>
            <w:tcW w:w="178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2"/>
                <w:szCs w:val="22"/>
                <w:lang w:bidi="ar"/>
              </w:rPr>
            </w:pPr>
            <w:r>
              <w:rPr>
                <w:rFonts w:hint="eastAsia" w:ascii="宋体" w:hAnsi="宋体"/>
                <w:sz w:val="22"/>
                <w:szCs w:val="22"/>
              </w:rPr>
              <w:t>猪瘟活疫苗</w:t>
            </w:r>
          </w:p>
        </w:tc>
        <w:tc>
          <w:tcPr>
            <w:tcW w:w="7508"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sz w:val="22"/>
                <w:szCs w:val="22"/>
              </w:rPr>
            </w:pPr>
            <w:r>
              <w:rPr>
                <w:rFonts w:ascii="Segoe UI Symbol" w:hAnsi="Segoe UI Symbol" w:cs="Segoe UI Symbol"/>
                <w:szCs w:val="21"/>
              </w:rPr>
              <w:t>★</w:t>
            </w:r>
            <w:r>
              <w:rPr>
                <w:rFonts w:hint="eastAsia" w:ascii="宋体" w:hAnsi="宋体"/>
                <w:sz w:val="22"/>
                <w:szCs w:val="22"/>
              </w:rPr>
              <w:t>1</w:t>
            </w:r>
            <w:r>
              <w:rPr>
                <w:rFonts w:ascii="宋体" w:hAnsi="宋体"/>
                <w:sz w:val="22"/>
                <w:szCs w:val="22"/>
              </w:rPr>
              <w:t>.作用与用途</w:t>
            </w:r>
            <w:r>
              <w:rPr>
                <w:rFonts w:hint="eastAsia" w:ascii="宋体" w:hAnsi="宋体"/>
                <w:sz w:val="22"/>
                <w:szCs w:val="22"/>
              </w:rPr>
              <w:t>：</w:t>
            </w:r>
            <w:r>
              <w:rPr>
                <w:szCs w:val="21"/>
              </w:rPr>
              <w:t>用于预防猪瘟</w:t>
            </w:r>
            <w:r>
              <w:rPr>
                <w:rFonts w:hint="eastAsia" w:ascii="宋体" w:hAnsi="宋体"/>
                <w:sz w:val="22"/>
                <w:szCs w:val="22"/>
              </w:rPr>
              <w:t>。</w:t>
            </w:r>
          </w:p>
          <w:p>
            <w:pPr>
              <w:rPr>
                <w:rFonts w:ascii="宋体" w:hAnsi="宋体"/>
                <w:sz w:val="22"/>
                <w:szCs w:val="22"/>
              </w:rPr>
            </w:pPr>
            <w:r>
              <w:rPr>
                <w:rFonts w:ascii="Segoe UI Symbol" w:hAnsi="Segoe UI Symbol" w:cs="Segoe UI Symbol"/>
                <w:szCs w:val="21"/>
              </w:rPr>
              <w:t>★</w:t>
            </w:r>
            <w:r>
              <w:rPr>
                <w:rFonts w:ascii="宋体" w:hAnsi="宋体"/>
                <w:sz w:val="22"/>
                <w:szCs w:val="22"/>
              </w:rPr>
              <w:t>2.</w:t>
            </w:r>
            <w:r>
              <w:rPr>
                <w:szCs w:val="21"/>
              </w:rPr>
              <w:t>主要成分和含量：本品系用猪瘟病毒兔化弱毒株(CVCCAV1412)接种易感传代细胞培养,收获细胞培养物,加适宜稳定剂,经冷冻真空干燥制成,每头份含细胞毒液不少于0.015ml。</w:t>
            </w:r>
          </w:p>
          <w:p>
            <w:pPr>
              <w:rPr>
                <w:rFonts w:ascii="宋体" w:hAnsi="宋体"/>
                <w:sz w:val="22"/>
                <w:szCs w:val="22"/>
              </w:rPr>
            </w:pPr>
            <w:r>
              <w:rPr>
                <w:rFonts w:ascii="Segoe UI Symbol" w:hAnsi="Segoe UI Symbol" w:cs="Segoe UI Symbol"/>
                <w:szCs w:val="21"/>
              </w:rPr>
              <w:t>★</w:t>
            </w:r>
            <w:r>
              <w:rPr>
                <w:rFonts w:ascii="宋体" w:hAnsi="宋体"/>
                <w:sz w:val="22"/>
                <w:szCs w:val="22"/>
              </w:rPr>
              <w:t>3.</w:t>
            </w:r>
            <w:r>
              <w:rPr>
                <w:szCs w:val="21"/>
              </w:rPr>
              <w:t>包装规格：10头份/瓶、20头份/瓶、50头份/瓶；配套等量稀释液。</w:t>
            </w:r>
          </w:p>
          <w:p>
            <w:pPr>
              <w:rPr>
                <w:rFonts w:ascii="宋体" w:hAnsi="宋体"/>
                <w:sz w:val="22"/>
                <w:szCs w:val="22"/>
              </w:rPr>
            </w:pPr>
            <w:r>
              <w:rPr>
                <w:rFonts w:ascii="Segoe UI Symbol" w:hAnsi="Segoe UI Symbol" w:cs="Segoe UI Symbol"/>
                <w:szCs w:val="21"/>
              </w:rPr>
              <w:t>★</w:t>
            </w:r>
            <w:r>
              <w:rPr>
                <w:rFonts w:ascii="宋体" w:hAnsi="宋体"/>
                <w:sz w:val="22"/>
                <w:szCs w:val="22"/>
              </w:rPr>
              <w:t>4</w:t>
            </w:r>
            <w:r>
              <w:rPr>
                <w:rFonts w:hint="eastAsia" w:ascii="宋体" w:hAnsi="宋体"/>
                <w:sz w:val="22"/>
                <w:szCs w:val="22"/>
              </w:rPr>
              <w:t>.</w:t>
            </w:r>
            <w:r>
              <w:rPr>
                <w:szCs w:val="21"/>
              </w:rPr>
              <w:t>用法与用量：肌肉或皮下注射。按瓶签注明头份用灭菌生理盐水稀释成1头份/ml，每头1.0ml。</w:t>
            </w:r>
          </w:p>
          <w:p>
            <w:pPr>
              <w:rPr>
                <w:rFonts w:ascii="宋体" w:hAnsi="宋体"/>
                <w:sz w:val="22"/>
                <w:szCs w:val="22"/>
              </w:rPr>
            </w:pPr>
            <w:r>
              <w:rPr>
                <w:rFonts w:ascii="宋体" w:hAnsi="宋体"/>
                <w:sz w:val="22"/>
                <w:szCs w:val="22"/>
              </w:rPr>
              <w:t>5.</w:t>
            </w:r>
            <w:r>
              <w:rPr>
                <w:rFonts w:hint="eastAsia"/>
                <w:szCs w:val="21"/>
              </w:rPr>
              <w:t>保存条件及到货有效期：</w:t>
            </w:r>
            <w:r>
              <w:rPr>
                <w:szCs w:val="21"/>
              </w:rPr>
              <w:t>产品在-15℃以下,有效期为18个月，交货时有效期在12个月以上。</w:t>
            </w:r>
          </w:p>
          <w:p>
            <w:pPr>
              <w:widowControl/>
              <w:textAlignment w:val="center"/>
              <w:rPr>
                <w:rFonts w:ascii="宋体" w:hAnsi="宋体" w:cs="宋体"/>
                <w:color w:val="000000"/>
                <w:kern w:val="0"/>
                <w:sz w:val="22"/>
                <w:szCs w:val="22"/>
                <w:lang w:bidi="ar"/>
              </w:rPr>
            </w:pPr>
            <w:r>
              <w:rPr>
                <w:rFonts w:ascii="宋体" w:hAnsi="宋体"/>
                <w:sz w:val="22"/>
                <w:szCs w:val="22"/>
              </w:rPr>
              <w:t>6.</w:t>
            </w:r>
            <w:r>
              <w:rPr>
                <w:szCs w:val="21"/>
              </w:rPr>
              <w:t>提供所投产品2022年11月以来中国兽医药品监察所出具的4批检验报告。</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2"/>
                <w:szCs w:val="22"/>
                <w:lang w:bidi="ar"/>
              </w:rPr>
            </w:pPr>
            <w:r>
              <w:rPr>
                <w:rFonts w:hint="eastAsia" w:ascii="宋体" w:hAnsi="宋体"/>
                <w:sz w:val="22"/>
                <w:szCs w:val="22"/>
              </w:rPr>
              <w:t>万头份</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6</w:t>
            </w:r>
            <w:r>
              <w:rPr>
                <w:rFonts w:ascii="宋体" w:hAnsi="宋体" w:cs="宋体"/>
                <w:color w:val="000000"/>
                <w:kern w:val="0"/>
                <w:sz w:val="22"/>
                <w:szCs w:val="22"/>
                <w:lang w:bidi="ar"/>
              </w:rPr>
              <w:t>6</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kern w:val="0"/>
                <w:sz w:val="20"/>
                <w:szCs w:val="20"/>
                <w:lang w:bidi="ar"/>
              </w:rPr>
            </w:pPr>
          </w:p>
        </w:tc>
      </w:tr>
      <w:tr>
        <w:tblPrEx>
          <w:tblCellMar>
            <w:top w:w="0" w:type="dxa"/>
            <w:left w:w="108" w:type="dxa"/>
            <w:bottom w:w="0" w:type="dxa"/>
            <w:right w:w="108" w:type="dxa"/>
          </w:tblCellMar>
        </w:tblPrEx>
        <w:trPr>
          <w:trHeight w:val="780" w:hRule="atLeast"/>
          <w:jc w:val="center"/>
        </w:trPr>
        <w:tc>
          <w:tcPr>
            <w:tcW w:w="1038" w:type="dxa"/>
            <w:vMerge w:val="continue"/>
            <w:tcBorders>
              <w:left w:val="single" w:color="000000" w:sz="4" w:space="0"/>
              <w:bottom w:val="single" w:color="auto" w:sz="4" w:space="0"/>
              <w:right w:val="single" w:color="000000" w:sz="4" w:space="0"/>
            </w:tcBorders>
            <w:noWrap w:val="0"/>
            <w:vAlign w:val="top"/>
          </w:tcPr>
          <w:p>
            <w:pPr>
              <w:widowControl/>
              <w:textAlignment w:val="center"/>
              <w:rPr>
                <w:rFonts w:ascii="宋体" w:hAnsi="宋体"/>
                <w:sz w:val="22"/>
                <w:szCs w:val="22"/>
              </w:rPr>
            </w:pPr>
          </w:p>
        </w:tc>
        <w:tc>
          <w:tcPr>
            <w:tcW w:w="1787" w:type="dxa"/>
            <w:tcBorders>
              <w:top w:val="single" w:color="000000" w:sz="4" w:space="0"/>
              <w:left w:val="single" w:color="000000" w:sz="4" w:space="0"/>
              <w:bottom w:val="single" w:color="auto" w:sz="4" w:space="0"/>
              <w:right w:val="single" w:color="000000" w:sz="4" w:space="0"/>
            </w:tcBorders>
            <w:noWrap/>
            <w:vAlign w:val="center"/>
          </w:tcPr>
          <w:p>
            <w:pPr>
              <w:widowControl/>
              <w:jc w:val="center"/>
              <w:textAlignment w:val="center"/>
              <w:rPr>
                <w:rFonts w:ascii="宋体" w:hAnsi="宋体" w:cs="宋体"/>
                <w:color w:val="000000"/>
                <w:kern w:val="0"/>
                <w:sz w:val="22"/>
                <w:szCs w:val="22"/>
                <w:lang w:bidi="ar"/>
              </w:rPr>
            </w:pPr>
            <w:r>
              <w:rPr>
                <w:rFonts w:hint="eastAsia" w:ascii="宋体" w:hAnsi="宋体"/>
                <w:sz w:val="22"/>
                <w:szCs w:val="22"/>
              </w:rPr>
              <w:t>高致病性猪蓝耳病疫苗((TJM-F92株或PC株）</w:t>
            </w:r>
          </w:p>
        </w:tc>
        <w:tc>
          <w:tcPr>
            <w:tcW w:w="7508" w:type="dxa"/>
            <w:tcBorders>
              <w:top w:val="single" w:color="000000" w:sz="4" w:space="0"/>
              <w:left w:val="single" w:color="000000" w:sz="4" w:space="0"/>
              <w:bottom w:val="single" w:color="auto" w:sz="4" w:space="0"/>
              <w:right w:val="single" w:color="000000" w:sz="4" w:space="0"/>
            </w:tcBorders>
            <w:noWrap/>
            <w:vAlign w:val="center"/>
          </w:tcPr>
          <w:p>
            <w:r>
              <w:t>★</w:t>
            </w:r>
            <w:r>
              <w:rPr>
                <w:rFonts w:hint="eastAsia"/>
              </w:rPr>
              <w:t>1</w:t>
            </w:r>
            <w:r>
              <w:t>.用于预防高致病性猪繁殖与呼吸综合征(即:高致病性猪蓝耳病)。</w:t>
            </w:r>
          </w:p>
          <w:p>
            <w:r>
              <w:t>2.主要成分及含量：每头份疫苗含高致病性猪繁殖与呼吸综合征病毒弱毒(TJM-F92株)至少105.0TCID50。</w:t>
            </w:r>
          </w:p>
          <w:p>
            <w:r>
              <w:t>★3.包装规格</w:t>
            </w:r>
            <w:r>
              <w:rPr>
                <w:rFonts w:hint="eastAsia"/>
              </w:rPr>
              <w:t>：</w:t>
            </w:r>
            <w:r>
              <w:t>10头份/瓶、20头份/瓶、50头份/瓶；配套等量稀释液。</w:t>
            </w:r>
          </w:p>
          <w:p>
            <w:r>
              <w:t>★4.用法与用量：颈部肌肉注射。按标签注明头份,用无菌生理盐水将疫苗稀释成每1头份1ml,每头接种1ml。</w:t>
            </w:r>
          </w:p>
          <w:p>
            <w:r>
              <w:t>5.</w:t>
            </w:r>
            <w:r>
              <w:rPr>
                <w:rFonts w:hint="eastAsia"/>
              </w:rPr>
              <w:t>保存条件及到货有效期：</w:t>
            </w:r>
            <w:r>
              <w:t>产品在2～8℃保存，有效期为18个月。交货时有效期在12个月以上。</w:t>
            </w:r>
          </w:p>
          <w:p>
            <w:pPr>
              <w:widowControl/>
              <w:textAlignment w:val="center"/>
            </w:pPr>
            <w:r>
              <w:t>6.提供所投产品2022年11月以来中国兽医药品监察所出具的4批检验报告。</w:t>
            </w:r>
          </w:p>
          <w:p>
            <w:pPr>
              <w:pStyle w:val="2"/>
            </w:pPr>
          </w:p>
        </w:tc>
        <w:tc>
          <w:tcPr>
            <w:tcW w:w="980" w:type="dxa"/>
            <w:tcBorders>
              <w:top w:val="single" w:color="000000" w:sz="4" w:space="0"/>
              <w:left w:val="single" w:color="000000" w:sz="4" w:space="0"/>
              <w:bottom w:val="single" w:color="auto" w:sz="4" w:space="0"/>
              <w:right w:val="single" w:color="000000" w:sz="4" w:space="0"/>
            </w:tcBorders>
            <w:noWrap/>
            <w:vAlign w:val="center"/>
          </w:tcPr>
          <w:p>
            <w:pPr>
              <w:widowControl/>
              <w:jc w:val="center"/>
              <w:textAlignment w:val="center"/>
              <w:rPr>
                <w:rFonts w:ascii="宋体" w:hAnsi="宋体" w:cs="宋体"/>
                <w:color w:val="000000"/>
                <w:kern w:val="0"/>
                <w:sz w:val="22"/>
                <w:szCs w:val="22"/>
                <w:lang w:bidi="ar"/>
              </w:rPr>
            </w:pPr>
            <w:r>
              <w:rPr>
                <w:rFonts w:hint="eastAsia" w:ascii="宋体" w:hAnsi="宋体"/>
                <w:sz w:val="22"/>
                <w:szCs w:val="22"/>
              </w:rPr>
              <w:t>万头份</w:t>
            </w:r>
          </w:p>
        </w:tc>
        <w:tc>
          <w:tcPr>
            <w:tcW w:w="1020"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6</w:t>
            </w:r>
            <w:r>
              <w:rPr>
                <w:rFonts w:ascii="宋体" w:hAnsi="宋体" w:cs="宋体"/>
                <w:color w:val="000000"/>
                <w:kern w:val="0"/>
                <w:sz w:val="22"/>
                <w:szCs w:val="22"/>
                <w:lang w:bidi="ar"/>
              </w:rPr>
              <w:t>6</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kern w:val="0"/>
                <w:sz w:val="20"/>
                <w:szCs w:val="20"/>
                <w:lang w:bidi="ar"/>
              </w:rPr>
            </w:pPr>
            <w:bookmarkStart w:id="0" w:name="_GoBack"/>
            <w:bookmarkEnd w:id="0"/>
          </w:p>
        </w:tc>
      </w:tr>
    </w:tbl>
    <w:p>
      <w:pPr>
        <w:tabs>
          <w:tab w:val="left" w:pos="551"/>
        </w:tabs>
        <w:jc w:val="left"/>
        <w:rPr>
          <w:rFonts w:ascii="宋体" w:hAnsi="宋体" w:cs="宋体"/>
          <w:b/>
          <w:bCs/>
          <w:sz w:val="24"/>
          <w:lang w:val="zh-CN"/>
        </w:rPr>
      </w:pPr>
      <w:r>
        <w:rPr>
          <w:rFonts w:hint="eastAsia" w:ascii="宋体" w:hAnsi="宋体" w:cs="宋体"/>
          <w:b/>
          <w:bCs/>
          <w:sz w:val="24"/>
          <w:lang w:val="zh-CN"/>
        </w:rPr>
        <w:t>备注：</w:t>
      </w:r>
    </w:p>
    <w:p>
      <w:pPr>
        <w:tabs>
          <w:tab w:val="left" w:pos="551"/>
        </w:tabs>
        <w:jc w:val="left"/>
        <w:rPr>
          <w:rFonts w:ascii="宋体" w:hAnsi="宋体" w:cs="宋体"/>
          <w:sz w:val="22"/>
          <w:szCs w:val="22"/>
        </w:rPr>
      </w:pPr>
      <w:r>
        <w:rPr>
          <w:rFonts w:hint="eastAsia" w:ascii="宋体" w:hAnsi="宋体" w:cs="宋体"/>
          <w:sz w:val="22"/>
          <w:szCs w:val="22"/>
        </w:rPr>
        <w:t>1、打“★”号条款为实质性条款，若有任何一条负偏离或不满足则导致投标无效。打“△”号为核心产品，投标产品不符合则视为无效投标。</w:t>
      </w:r>
    </w:p>
    <w:p>
      <w:pPr>
        <w:tabs>
          <w:tab w:val="left" w:pos="551"/>
        </w:tabs>
        <w:jc w:val="left"/>
        <w:rPr>
          <w:rFonts w:ascii="宋体" w:hAnsi="宋体" w:cs="宋体"/>
          <w:sz w:val="22"/>
          <w:szCs w:val="22"/>
        </w:rPr>
      </w:pPr>
      <w:r>
        <w:rPr>
          <w:rFonts w:hint="eastAsia" w:ascii="宋体" w:hAnsi="宋体" w:cs="宋体"/>
          <w:sz w:val="22"/>
          <w:szCs w:val="22"/>
        </w:rPr>
        <w:t>2、供应商所提供的产品参数必须优于或等于要求参数，不得低于它，否则为无效投标；</w:t>
      </w:r>
    </w:p>
    <w:p>
      <w:pPr>
        <w:tabs>
          <w:tab w:val="left" w:pos="551"/>
        </w:tabs>
        <w:jc w:val="left"/>
        <w:rPr>
          <w:rFonts w:ascii="宋体" w:hAnsi="宋体" w:cs="宋体"/>
          <w:sz w:val="22"/>
          <w:szCs w:val="22"/>
        </w:rPr>
      </w:pPr>
      <w:r>
        <w:rPr>
          <w:rFonts w:hint="eastAsia" w:ascii="宋体" w:hAnsi="宋体" w:cs="宋体"/>
          <w:sz w:val="22"/>
          <w:szCs w:val="22"/>
        </w:rPr>
        <w:t>3、招标要求中需要提供佐证材料的，须在投标文件中和签合同时提供，未按要求提供视为无效投标；</w:t>
      </w:r>
    </w:p>
    <w:p>
      <w:pPr>
        <w:tabs>
          <w:tab w:val="left" w:pos="551"/>
        </w:tabs>
        <w:rPr>
          <w:rFonts w:ascii="宋体" w:hAnsi="宋体" w:cs="宋体"/>
          <w:sz w:val="22"/>
          <w:szCs w:val="22"/>
        </w:rPr>
      </w:pPr>
      <w:r>
        <w:rPr>
          <w:rFonts w:hint="eastAsia" w:ascii="宋体" w:hAnsi="宋体" w:cs="宋体"/>
          <w:sz w:val="22"/>
          <w:szCs w:val="22"/>
        </w:rPr>
        <w:t>4、若投标方签合同后实际提供的产品不符合以上参数或经检测成分及含量不符合以上参数要求，甲方不予支付货款；</w:t>
      </w:r>
    </w:p>
    <w:p/>
    <w:p>
      <w:pPr>
        <w:rPr>
          <w:b/>
          <w:bCs/>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Symbol">
    <w:panose1 w:val="020B0502040204020203"/>
    <w:charset w:val="00"/>
    <w:family w:val="swiss"/>
    <w:pitch w:val="default"/>
    <w:sig w:usb0="8000006F" w:usb1="1200FBEF" w:usb2="0064C000" w:usb3="00000002"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RlMzQ5NjQyNGI2NzdmOTI3NDY0YzNiODVlMWU0MTEifQ=="/>
  </w:docVars>
  <w:rsids>
    <w:rsidRoot w:val="32CC458F"/>
    <w:rsid w:val="32CC458F"/>
    <w:rsid w:val="5A440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Arial" w:hAnsi="Arial"/>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732</Words>
  <Characters>827</Characters>
  <Lines>0</Lines>
  <Paragraphs>0</Paragraphs>
  <TotalTime>1</TotalTime>
  <ScaleCrop>false</ScaleCrop>
  <LinksUpToDate>false</LinksUpToDate>
  <CharactersWithSpaces>828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2023-02-20T10:12:00Z</dcterms:created>
  <dc:creator>Administrator</dc:creator>
  <cp:lastModifiedBy>Administrator</cp:lastModifiedBy>
  <dcterms:modified xsi:type="dcterms:W3CDTF">2023-02-20T10:46:46Z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5BB7509F5DB0485C98C2DAB3536BCA05</vt:lpwstr>
  </property>
</Properties>
</file>