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24"/>
        </w:rPr>
      </w:pPr>
      <w:r>
        <w:rPr>
          <w:rFonts w:hint="eastAsia"/>
          <w:b/>
          <w:bCs/>
          <w:sz w:val="24"/>
          <w:lang w:eastAsia="zh-CN"/>
        </w:rPr>
        <w:t>2023年动物疫苗采购项目</w:t>
      </w:r>
      <w:r>
        <w:rPr>
          <w:rFonts w:hint="eastAsia"/>
          <w:b/>
          <w:bCs/>
          <w:sz w:val="24"/>
          <w:lang w:val="en-US" w:eastAsia="zh-CN"/>
        </w:rPr>
        <w:t>- 2包</w:t>
      </w:r>
      <w:r>
        <w:rPr>
          <w:rFonts w:hint="eastAsia"/>
          <w:b/>
          <w:bCs/>
          <w:sz w:val="24"/>
        </w:rPr>
        <w:t>技术参数</w:t>
      </w:r>
    </w:p>
    <w:tbl>
      <w:tblPr>
        <w:tblStyle w:val="2"/>
        <w:tblpPr w:leftFromText="180" w:rightFromText="180" w:vertAnchor="text" w:horzAnchor="page" w:tblpXSpec="center" w:tblpY="298"/>
        <w:tblOverlap w:val="never"/>
        <w:tblW w:w="13326" w:type="dxa"/>
        <w:jc w:val="center"/>
        <w:tblLayout w:type="fixed"/>
        <w:tblCellMar>
          <w:top w:w="0" w:type="dxa"/>
          <w:left w:w="108" w:type="dxa"/>
          <w:bottom w:w="0" w:type="dxa"/>
          <w:right w:w="108" w:type="dxa"/>
        </w:tblCellMar>
      </w:tblPr>
      <w:tblGrid>
        <w:gridCol w:w="1038"/>
        <w:gridCol w:w="1787"/>
        <w:gridCol w:w="7508"/>
        <w:gridCol w:w="980"/>
        <w:gridCol w:w="1020"/>
        <w:gridCol w:w="993"/>
      </w:tblGrid>
      <w:tr>
        <w:tblPrEx>
          <w:tblCellMar>
            <w:top w:w="0" w:type="dxa"/>
            <w:left w:w="108" w:type="dxa"/>
            <w:bottom w:w="0" w:type="dxa"/>
            <w:right w:w="108" w:type="dxa"/>
          </w:tblCellMar>
        </w:tblPrEx>
        <w:trPr>
          <w:trHeight w:val="780" w:hRule="atLeast"/>
          <w:jc w:val="center"/>
        </w:trPr>
        <w:tc>
          <w:tcPr>
            <w:tcW w:w="1038"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包号</w:t>
            </w:r>
          </w:p>
        </w:tc>
        <w:tc>
          <w:tcPr>
            <w:tcW w:w="178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疫苗种类</w:t>
            </w:r>
          </w:p>
        </w:tc>
        <w:tc>
          <w:tcPr>
            <w:tcW w:w="7508"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技术参数</w:t>
            </w:r>
          </w:p>
        </w:tc>
        <w:tc>
          <w:tcPr>
            <w:tcW w:w="98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单位</w:t>
            </w:r>
          </w:p>
        </w:tc>
        <w:tc>
          <w:tcPr>
            <w:tcW w:w="102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数量</w:t>
            </w:r>
          </w:p>
        </w:tc>
        <w:tc>
          <w:tcPr>
            <w:tcW w:w="993"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r>
              <w:rPr>
                <w:rFonts w:hint="eastAsia" w:ascii="宋体" w:hAnsi="宋体" w:cs="宋体"/>
                <w:color w:val="000000"/>
                <w:kern w:val="0"/>
                <w:sz w:val="20"/>
                <w:szCs w:val="20"/>
                <w:lang w:bidi="ar"/>
              </w:rPr>
              <w:t>核心产品（</w:t>
            </w:r>
            <w:r>
              <w:rPr>
                <w:b/>
                <w:bCs/>
                <w:color w:val="666666"/>
                <w:kern w:val="0"/>
                <w:sz w:val="24"/>
              </w:rPr>
              <w:t>“</w:t>
            </w:r>
            <w:r>
              <w:rPr>
                <w:rFonts w:hint="eastAsia" w:ascii="宋体" w:hAnsi="宋体" w:cs="宋体"/>
                <w:b/>
                <w:bCs/>
                <w:color w:val="666666"/>
                <w:kern w:val="0"/>
                <w:sz w:val="24"/>
              </w:rPr>
              <w:t>△</w:t>
            </w:r>
            <w:r>
              <w:rPr>
                <w:b/>
                <w:bCs/>
                <w:color w:val="666666"/>
                <w:kern w:val="0"/>
                <w:sz w:val="24"/>
              </w:rPr>
              <w:t>”</w:t>
            </w:r>
            <w:r>
              <w:rPr>
                <w:rFonts w:hint="eastAsia" w:ascii="宋体" w:hAnsi="宋体" w:cs="宋体"/>
                <w:color w:val="000000"/>
                <w:kern w:val="0"/>
                <w:sz w:val="20"/>
                <w:szCs w:val="20"/>
                <w:lang w:bidi="ar"/>
              </w:rPr>
              <w:t>）</w:t>
            </w:r>
          </w:p>
        </w:tc>
      </w:tr>
      <w:tr>
        <w:tblPrEx>
          <w:tblCellMar>
            <w:top w:w="0" w:type="dxa"/>
            <w:left w:w="108" w:type="dxa"/>
            <w:bottom w:w="0" w:type="dxa"/>
            <w:right w:w="108" w:type="dxa"/>
          </w:tblCellMar>
        </w:tblPrEx>
        <w:trPr>
          <w:trHeight w:val="90" w:hRule="atLeast"/>
          <w:jc w:val="center"/>
        </w:trPr>
        <w:tc>
          <w:tcPr>
            <w:tcW w:w="1038" w:type="dxa"/>
            <w:vMerge w:val="restart"/>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 w:val="22"/>
                <w:szCs w:val="22"/>
                <w:lang w:bidi="ar"/>
              </w:rPr>
            </w:pPr>
            <w:bookmarkStart w:id="0" w:name="_GoBack"/>
            <w:bookmarkEnd w:id="0"/>
            <w:r>
              <w:rPr>
                <w:rFonts w:hint="eastAsia" w:ascii="宋体" w:hAnsi="宋体" w:cs="宋体"/>
                <w:color w:val="000000"/>
                <w:kern w:val="0"/>
                <w:sz w:val="22"/>
                <w:szCs w:val="22"/>
                <w:lang w:bidi="ar"/>
              </w:rPr>
              <w:t>2</w:t>
            </w:r>
          </w:p>
        </w:tc>
        <w:tc>
          <w:tcPr>
            <w:tcW w:w="178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鸡新城疫耐热保护剂活疫苗 (La Sot</w:t>
            </w:r>
          </w:p>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a株)</w:t>
            </w:r>
          </w:p>
        </w:tc>
        <w:tc>
          <w:tcPr>
            <w:tcW w:w="750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★包装为500羽/瓶；每羽份病毒含量≥10</w:t>
            </w:r>
            <w:r>
              <w:rPr>
                <w:rFonts w:hint="eastAsia" w:ascii="宋体" w:hAnsi="宋体" w:cs="宋体"/>
                <w:color w:val="000000"/>
                <w:kern w:val="0"/>
                <w:sz w:val="22"/>
                <w:szCs w:val="22"/>
                <w:vertAlign w:val="superscript"/>
                <w:lang w:bidi="ar"/>
              </w:rPr>
              <w:t>6 .0</w:t>
            </w:r>
            <w:r>
              <w:rPr>
                <w:rFonts w:hint="eastAsia" w:ascii="宋体" w:hAnsi="宋体" w:cs="宋体"/>
                <w:color w:val="000000"/>
                <w:kern w:val="0"/>
                <w:sz w:val="22"/>
                <w:szCs w:val="22"/>
                <w:lang w:bidi="ar"/>
              </w:rPr>
              <w:t>EID50 ，提供批签发证明材料；在 2-8 ℃保存24个月免疫效价不降低；交货时有效期在20个月以上。</w:t>
            </w:r>
          </w:p>
        </w:tc>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万羽份</w:t>
            </w:r>
          </w:p>
        </w:tc>
        <w:tc>
          <w:tcPr>
            <w:tcW w:w="10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943</w:t>
            </w:r>
          </w:p>
        </w:tc>
        <w:tc>
          <w:tcPr>
            <w:tcW w:w="99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978" w:hRule="atLeast"/>
          <w:jc w:val="center"/>
        </w:trPr>
        <w:tc>
          <w:tcPr>
            <w:tcW w:w="1038" w:type="dxa"/>
            <w:vMerge w:val="continue"/>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kern w:val="0"/>
                <w:sz w:val="22"/>
                <w:szCs w:val="22"/>
                <w:lang w:bidi="ar"/>
              </w:rPr>
            </w:pPr>
          </w:p>
        </w:tc>
        <w:tc>
          <w:tcPr>
            <w:tcW w:w="178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狂犬病灭活疫苗</w:t>
            </w:r>
          </w:p>
        </w:tc>
        <w:tc>
          <w:tcPr>
            <w:tcW w:w="750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★包装为1头份/瓶；含灭活r3G等狂犬病病毒，提供批签发证明材料；使用安全、无不良反应，免疫期12个月；2~8℃保存，有效期24个月；交货时有效期在12个月以上。</w:t>
            </w:r>
          </w:p>
        </w:tc>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万头份</w:t>
            </w:r>
          </w:p>
        </w:tc>
        <w:tc>
          <w:tcPr>
            <w:tcW w:w="10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8</w:t>
            </w:r>
          </w:p>
        </w:tc>
        <w:tc>
          <w:tcPr>
            <w:tcW w:w="99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1103" w:hRule="atLeast"/>
          <w:jc w:val="center"/>
        </w:trPr>
        <w:tc>
          <w:tcPr>
            <w:tcW w:w="1038" w:type="dxa"/>
            <w:vMerge w:val="continue"/>
            <w:tcBorders>
              <w:top w:val="single" w:color="auto" w:sz="4" w:space="0"/>
              <w:left w:val="single" w:color="auto" w:sz="4" w:space="0"/>
              <w:bottom w:val="single" w:color="auto" w:sz="4" w:space="0"/>
              <w:right w:val="single" w:color="auto" w:sz="4" w:space="0"/>
            </w:tcBorders>
            <w:noWrap w:val="0"/>
            <w:vAlign w:val="top"/>
          </w:tcPr>
          <w:p>
            <w:pPr>
              <w:widowControl/>
              <w:textAlignment w:val="center"/>
              <w:rPr>
                <w:rFonts w:ascii="宋体" w:hAnsi="宋体" w:cs="宋体"/>
                <w:color w:val="000000"/>
                <w:kern w:val="0"/>
                <w:sz w:val="22"/>
                <w:szCs w:val="22"/>
                <w:lang w:bidi="ar"/>
              </w:rPr>
            </w:pPr>
          </w:p>
        </w:tc>
        <w:tc>
          <w:tcPr>
            <w:tcW w:w="178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羊快疫、猝疽（羔羊痢疾）肠毒血症三联四防疫苗</w:t>
            </w:r>
          </w:p>
        </w:tc>
        <w:tc>
          <w:tcPr>
            <w:tcW w:w="750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★20或100头份/瓶；提供批签发证明材料；用于预防羊快疫、猝疽(羔羊痢疾) 、肠毒血症；使用安全、无不良反应，免疫期12个月；交货时有效期在12个月以上。</w:t>
            </w:r>
          </w:p>
        </w:tc>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万头份</w:t>
            </w:r>
          </w:p>
        </w:tc>
        <w:tc>
          <w:tcPr>
            <w:tcW w:w="10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354</w:t>
            </w:r>
          </w:p>
        </w:tc>
        <w:tc>
          <w:tcPr>
            <w:tcW w:w="99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610" w:hRule="atLeast"/>
          <w:jc w:val="center"/>
        </w:trPr>
        <w:tc>
          <w:tcPr>
            <w:tcW w:w="1038" w:type="dxa"/>
            <w:vMerge w:val="continue"/>
            <w:tcBorders>
              <w:top w:val="single" w:color="auto" w:sz="4" w:space="0"/>
              <w:left w:val="single" w:color="auto" w:sz="4" w:space="0"/>
              <w:bottom w:val="single" w:color="auto" w:sz="4" w:space="0"/>
              <w:right w:val="single" w:color="auto" w:sz="4" w:space="0"/>
            </w:tcBorders>
            <w:noWrap w:val="0"/>
            <w:vAlign w:val="top"/>
          </w:tcPr>
          <w:p>
            <w:pPr>
              <w:widowControl/>
              <w:textAlignment w:val="center"/>
              <w:rPr>
                <w:rFonts w:ascii="宋体" w:hAnsi="宋体" w:cs="宋体"/>
                <w:color w:val="000000"/>
                <w:kern w:val="0"/>
                <w:sz w:val="22"/>
                <w:szCs w:val="22"/>
                <w:lang w:bidi="ar"/>
              </w:rPr>
            </w:pPr>
          </w:p>
        </w:tc>
        <w:tc>
          <w:tcPr>
            <w:tcW w:w="1787"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山羊痘活疫苗</w:t>
            </w:r>
          </w:p>
        </w:tc>
        <w:tc>
          <w:tcPr>
            <w:tcW w:w="750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★包装 100头份/瓶；每头份病毒含量不低于10</w:t>
            </w:r>
            <w:r>
              <w:rPr>
                <w:rFonts w:hint="eastAsia" w:ascii="宋体" w:hAnsi="宋体" w:cs="宋体"/>
                <w:color w:val="000000"/>
                <w:kern w:val="0"/>
                <w:sz w:val="22"/>
                <w:szCs w:val="22"/>
                <w:vertAlign w:val="superscript"/>
                <w:lang w:bidi="ar"/>
              </w:rPr>
              <w:t>3.5</w:t>
            </w:r>
            <w:r>
              <w:rPr>
                <w:rFonts w:hint="eastAsia" w:ascii="宋体" w:hAnsi="宋体" w:cs="宋体"/>
                <w:color w:val="000000"/>
                <w:kern w:val="0"/>
                <w:sz w:val="22"/>
                <w:szCs w:val="22"/>
                <w:lang w:bidi="ar"/>
              </w:rPr>
              <w:t>TCID50，提供批签发证明材料；使用安全、无不良反应；注苗后4~5日产生免疫力，免疫期为12个月；2— 8 ℃保存，有效期18个月，交货时有效期在15个月以上。配套提供相应的牛皮肤性结节病抗体荧光微球检测试剂盒，试剂盒参数：正规兽用生物制品GMP车间生产，提供生产许可证 (含诊断制品生产线) ，能特异性检测牛结节抗体；实验操作时间短，每一步反应时间不得高于30分钟，试验结果阴阳性对照成立，结果易于判定；提供加盖生产企业公章的产品图片及供货二维码图片，规格数量：96T*2。</w:t>
            </w:r>
          </w:p>
        </w:tc>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万头份</w:t>
            </w:r>
          </w:p>
        </w:tc>
        <w:tc>
          <w:tcPr>
            <w:tcW w:w="10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14</w:t>
            </w:r>
          </w:p>
        </w:tc>
        <w:tc>
          <w:tcPr>
            <w:tcW w:w="99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r>
        <w:tblPrEx>
          <w:tblCellMar>
            <w:top w:w="0" w:type="dxa"/>
            <w:left w:w="108" w:type="dxa"/>
            <w:bottom w:w="0" w:type="dxa"/>
            <w:right w:w="108" w:type="dxa"/>
          </w:tblCellMar>
        </w:tblPrEx>
        <w:trPr>
          <w:trHeight w:val="1190" w:hRule="atLeast"/>
          <w:jc w:val="center"/>
        </w:trPr>
        <w:tc>
          <w:tcPr>
            <w:tcW w:w="1038" w:type="dxa"/>
            <w:vMerge w:val="continue"/>
            <w:tcBorders>
              <w:top w:val="single" w:color="auto" w:sz="4" w:space="0"/>
              <w:left w:val="single" w:color="auto" w:sz="4" w:space="0"/>
              <w:bottom w:val="single" w:color="auto" w:sz="4" w:space="0"/>
              <w:right w:val="single" w:color="auto" w:sz="4" w:space="0"/>
            </w:tcBorders>
            <w:noWrap w:val="0"/>
            <w:vAlign w:val="top"/>
          </w:tcPr>
          <w:p>
            <w:pPr>
              <w:widowControl/>
              <w:jc w:val="center"/>
              <w:textAlignment w:val="center"/>
              <w:rPr>
                <w:rFonts w:ascii="宋体" w:hAnsi="宋体" w:cs="宋体"/>
                <w:color w:val="000000"/>
                <w:kern w:val="0"/>
                <w:sz w:val="22"/>
                <w:szCs w:val="22"/>
                <w:lang w:bidi="ar"/>
              </w:rPr>
            </w:pPr>
          </w:p>
        </w:tc>
        <w:tc>
          <w:tcPr>
            <w:tcW w:w="1787"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吡喹酮片</w:t>
            </w:r>
          </w:p>
        </w:tc>
        <w:tc>
          <w:tcPr>
            <w:tcW w:w="7508"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ascii="宋体" w:hAnsi="宋体" w:cs="宋体"/>
                <w:color w:val="000000"/>
                <w:sz w:val="22"/>
                <w:szCs w:val="22"/>
              </w:rPr>
            </w:pPr>
            <w:r>
              <w:rPr>
                <w:rFonts w:hint="eastAsia" w:ascii="宋体" w:hAnsi="宋体" w:cs="宋体"/>
                <w:color w:val="000000"/>
                <w:kern w:val="0"/>
                <w:sz w:val="22"/>
                <w:szCs w:val="22"/>
                <w:lang w:bidi="ar"/>
              </w:rPr>
              <w:t>★产品符合《中国兽药典》质量标准规定的规格及用途，性状为白色片剂。规格每片含吡喹酮 0.2g，应为标示量的 93-107%。规格 100 片/瓶。避光保存，供货有效期不低于 15个月。</w:t>
            </w:r>
          </w:p>
        </w:tc>
        <w:tc>
          <w:tcPr>
            <w:tcW w:w="98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万片</w:t>
            </w:r>
          </w:p>
        </w:tc>
        <w:tc>
          <w:tcPr>
            <w:tcW w:w="1020" w:type="dxa"/>
            <w:tcBorders>
              <w:top w:val="single" w:color="auto" w:sz="4" w:space="0"/>
              <w:left w:val="single" w:color="auto" w:sz="4" w:space="0"/>
              <w:bottom w:val="single" w:color="auto" w:sz="4" w:space="0"/>
              <w:right w:val="single" w:color="auto" w:sz="4" w:space="0"/>
            </w:tcBorders>
            <w:noWrap/>
            <w:vAlign w:val="center"/>
          </w:tcPr>
          <w:p>
            <w:pPr>
              <w:widowControl/>
              <w:jc w:val="center"/>
              <w:textAlignment w:val="center"/>
              <w:rPr>
                <w:rFonts w:ascii="宋体" w:hAnsi="宋体" w:cs="宋体"/>
                <w:color w:val="000000"/>
                <w:sz w:val="22"/>
                <w:szCs w:val="22"/>
              </w:rPr>
            </w:pPr>
            <w:r>
              <w:rPr>
                <w:rFonts w:hint="eastAsia" w:ascii="宋体" w:hAnsi="宋体" w:cs="宋体"/>
                <w:color w:val="000000"/>
                <w:kern w:val="0"/>
                <w:sz w:val="22"/>
                <w:szCs w:val="22"/>
                <w:lang w:bidi="ar"/>
              </w:rPr>
              <w:t>40</w:t>
            </w:r>
          </w:p>
        </w:tc>
        <w:tc>
          <w:tcPr>
            <w:tcW w:w="993" w:type="dxa"/>
            <w:tcBorders>
              <w:top w:val="single" w:color="000000" w:sz="4" w:space="0"/>
              <w:left w:val="single" w:color="auto" w:sz="4" w:space="0"/>
              <w:bottom w:val="single" w:color="000000" w:sz="4" w:space="0"/>
              <w:right w:val="single" w:color="000000" w:sz="4" w:space="0"/>
            </w:tcBorders>
            <w:noWrap w:val="0"/>
            <w:vAlign w:val="center"/>
          </w:tcPr>
          <w:p>
            <w:pPr>
              <w:widowControl/>
              <w:jc w:val="center"/>
              <w:textAlignment w:val="center"/>
              <w:rPr>
                <w:rFonts w:ascii="宋体" w:hAnsi="宋体" w:cs="宋体"/>
                <w:color w:val="000000"/>
                <w:sz w:val="20"/>
                <w:szCs w:val="20"/>
              </w:rPr>
            </w:pPr>
          </w:p>
        </w:tc>
      </w:tr>
    </w:tbl>
    <w:p>
      <w:pPr>
        <w:tabs>
          <w:tab w:val="left" w:pos="551"/>
        </w:tabs>
        <w:jc w:val="left"/>
        <w:rPr>
          <w:rFonts w:hint="eastAsia" w:ascii="宋体" w:hAnsi="宋体" w:cs="宋体"/>
          <w:b/>
          <w:bCs/>
          <w:sz w:val="24"/>
          <w:lang w:val="zh-CN"/>
        </w:rPr>
      </w:pPr>
    </w:p>
    <w:p>
      <w:pPr>
        <w:tabs>
          <w:tab w:val="left" w:pos="551"/>
        </w:tabs>
        <w:jc w:val="left"/>
        <w:rPr>
          <w:rFonts w:ascii="宋体" w:hAnsi="宋体" w:cs="宋体"/>
          <w:b/>
          <w:bCs/>
          <w:sz w:val="24"/>
          <w:lang w:val="zh-CN"/>
        </w:rPr>
      </w:pPr>
      <w:r>
        <w:rPr>
          <w:rFonts w:hint="eastAsia" w:ascii="宋体" w:hAnsi="宋体" w:cs="宋体"/>
          <w:b/>
          <w:bCs/>
          <w:sz w:val="24"/>
          <w:lang w:val="zh-CN"/>
        </w:rPr>
        <w:t>备注：</w:t>
      </w:r>
    </w:p>
    <w:p>
      <w:pPr>
        <w:tabs>
          <w:tab w:val="left" w:pos="551"/>
        </w:tabs>
        <w:jc w:val="left"/>
        <w:rPr>
          <w:rFonts w:ascii="宋体" w:hAnsi="宋体" w:cs="宋体"/>
          <w:sz w:val="22"/>
          <w:szCs w:val="22"/>
        </w:rPr>
      </w:pPr>
      <w:r>
        <w:rPr>
          <w:rFonts w:hint="eastAsia" w:ascii="宋体" w:hAnsi="宋体" w:cs="宋体"/>
          <w:sz w:val="22"/>
          <w:szCs w:val="22"/>
        </w:rPr>
        <w:t>1、打“★”号条款为实质性条款，若有任何一条负偏离或不满足则导致投标无效。打“△”号为核心产品，投标产品不符合则视为无效投标。</w:t>
      </w:r>
    </w:p>
    <w:p>
      <w:pPr>
        <w:tabs>
          <w:tab w:val="left" w:pos="551"/>
        </w:tabs>
        <w:jc w:val="left"/>
        <w:rPr>
          <w:rFonts w:ascii="宋体" w:hAnsi="宋体" w:cs="宋体"/>
          <w:sz w:val="22"/>
          <w:szCs w:val="22"/>
        </w:rPr>
      </w:pPr>
      <w:r>
        <w:rPr>
          <w:rFonts w:hint="eastAsia" w:ascii="宋体" w:hAnsi="宋体" w:cs="宋体"/>
          <w:sz w:val="22"/>
          <w:szCs w:val="22"/>
        </w:rPr>
        <w:t>2、供应商所提供的产品参数必须优于或等于要求参数，不得低于它，否则为无效投标；</w:t>
      </w:r>
    </w:p>
    <w:p>
      <w:pPr>
        <w:tabs>
          <w:tab w:val="left" w:pos="551"/>
        </w:tabs>
        <w:jc w:val="left"/>
        <w:rPr>
          <w:rFonts w:ascii="宋体" w:hAnsi="宋体" w:cs="宋体"/>
          <w:sz w:val="22"/>
          <w:szCs w:val="22"/>
        </w:rPr>
      </w:pPr>
      <w:r>
        <w:rPr>
          <w:rFonts w:hint="eastAsia" w:ascii="宋体" w:hAnsi="宋体" w:cs="宋体"/>
          <w:sz w:val="22"/>
          <w:szCs w:val="22"/>
        </w:rPr>
        <w:t>3、招标要求中需要提供佐证材料的，须在投标文件中和签合同时提供，未按要求提供视为无效投标；</w:t>
      </w:r>
    </w:p>
    <w:p>
      <w:pPr>
        <w:tabs>
          <w:tab w:val="left" w:pos="551"/>
        </w:tabs>
        <w:rPr>
          <w:rFonts w:ascii="宋体" w:hAnsi="宋体" w:cs="宋体"/>
          <w:sz w:val="22"/>
          <w:szCs w:val="22"/>
        </w:rPr>
      </w:pPr>
      <w:r>
        <w:rPr>
          <w:rFonts w:hint="eastAsia" w:ascii="宋体" w:hAnsi="宋体" w:cs="宋体"/>
          <w:sz w:val="22"/>
          <w:szCs w:val="22"/>
        </w:rPr>
        <w:t>4、若投标方签合同后实际提供的产品不符合以上参数或经检测成分及含量不符合以上参数要求，甲方不予支付货款；</w:t>
      </w:r>
    </w:p>
    <w:p/>
    <w:p>
      <w:pPr>
        <w:rPr>
          <w:b/>
          <w:bCs/>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RlMzQ5NjQyNGI2NzdmOTI3NDY0YzNiODVlMWU0MTEifQ=="/>
  </w:docVars>
  <w:rsids>
    <w:rsidRoot w:val="458160C9"/>
    <w:rsid w:val="25171BEF"/>
    <w:rsid w:val="427765A5"/>
    <w:rsid w:val="45816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812</Words>
  <Characters>887</Characters>
  <Lines>0</Lines>
  <Paragraphs>0</Paragraphs>
  <TotalTime>0</TotalTime>
  <ScaleCrop>false</ScaleCrop>
  <LinksUpToDate>false</LinksUpToDate>
  <CharactersWithSpaces>905</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2023-02-20T10:12:00Z</dcterms:created>
  <dc:creator>Administrator</dc:creator>
  <cp:lastModifiedBy>Administrator</cp:lastModifiedBy>
  <dcterms:modified xsi:type="dcterms:W3CDTF">2023-02-20T10:56:26Z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DFDFFB145FE04A5B8DAF0877C50D17BA</vt:lpwstr>
  </property>
</Properties>
</file>