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AE8AD">
      <w:pPr>
        <w:spacing w:line="360" w:lineRule="auto"/>
        <w:jc w:val="center"/>
        <w:rPr>
          <w:rFonts w:hint="eastAsia" w:ascii="宋体" w:hAnsi="宋体" w:cs="宋体"/>
          <w:b/>
          <w:bCs/>
          <w:sz w:val="44"/>
          <w:szCs w:val="44"/>
        </w:rPr>
      </w:pPr>
      <w:r>
        <w:rPr>
          <w:rFonts w:hint="eastAsia" w:ascii="宋体" w:hAnsi="宋体" w:cs="宋体"/>
          <w:b/>
          <w:bCs/>
          <w:sz w:val="44"/>
          <w:szCs w:val="44"/>
        </w:rPr>
        <w:t>技术参数</w:t>
      </w:r>
      <w:bookmarkStart w:id="0" w:name="_Toc1023996951"/>
    </w:p>
    <w:p w14:paraId="4B3CE69A">
      <w:pPr>
        <w:spacing w:line="360" w:lineRule="auto"/>
        <w:jc w:val="left"/>
        <w:outlineLvl w:val="0"/>
        <w:rPr>
          <w:rFonts w:hint="eastAsia" w:ascii="宋体" w:hAnsi="宋体" w:cs="宋体"/>
          <w:b/>
          <w:bCs/>
          <w:sz w:val="32"/>
          <w:szCs w:val="32"/>
        </w:rPr>
      </w:pPr>
      <w:r>
        <w:rPr>
          <w:rFonts w:hint="eastAsia" w:ascii="宋体" w:hAnsi="宋体" w:cs="宋体"/>
          <w:b/>
          <w:bCs/>
          <w:sz w:val="32"/>
          <w:szCs w:val="32"/>
        </w:rPr>
        <w:t>一、项目背景</w:t>
      </w:r>
      <w:bookmarkEnd w:id="0"/>
    </w:p>
    <w:p w14:paraId="7A676CCC">
      <w:pPr>
        <w:spacing w:line="360" w:lineRule="auto"/>
        <w:ind w:firstLine="480"/>
        <w:rPr>
          <w:rFonts w:hint="eastAsia" w:ascii="宋体" w:hAnsi="宋体" w:cs="宋体"/>
          <w:sz w:val="24"/>
        </w:rPr>
      </w:pPr>
      <w:r>
        <w:rPr>
          <w:rFonts w:hint="eastAsia" w:ascii="宋体" w:hAnsi="宋体" w:cs="宋体"/>
          <w:sz w:val="24"/>
        </w:rPr>
        <w:t>根据国家关于深入推进医疗卫生共同体（医共体）建设的政策导向，以及积极响应国家卫生健康委员会关于提升基层医疗服务能力、促进医疗资源均衡分布的战略部署，结合内蒙古自治区对于医共体信息化建设的明确要求与具体规划，为进一步提升呼和浩特市九个旗县区的医疗卫生服务水平，全面实现医疗资源的优化配置与高效共享，切实提升医疗服务效率与质量，以满足人民群众日益增长的健康需求，现决定面向社会公开招标，采购一套高效、全面、符合最新政策要求的医共体平台系统。</w:t>
      </w:r>
    </w:p>
    <w:p w14:paraId="6CC5B98E">
      <w:pPr>
        <w:spacing w:line="360" w:lineRule="auto"/>
        <w:ind w:firstLine="480"/>
        <w:rPr>
          <w:rFonts w:hint="eastAsia" w:ascii="宋体" w:hAnsi="宋体" w:cs="宋体"/>
          <w:sz w:val="24"/>
        </w:rPr>
      </w:pPr>
      <w:r>
        <w:rPr>
          <w:rFonts w:hint="eastAsia" w:ascii="宋体" w:hAnsi="宋体" w:cs="宋体"/>
          <w:sz w:val="24"/>
        </w:rPr>
        <w:t>本次医共体平台的建设，旨在全面对标并严格执行《内蒙古自治区紧密型县域医共体信息化建设标准》，确保平台在功能设计、数据交互、安全管理、隐私保护等各个方面均达到或超过自治区规定的标准与要求。确保平台不仅能够支撑起医共体内的日常运营与管理，还能有效促进医疗信息在不同层级医疗机构间的无缝流动与共享，为构建分级诊疗制度、实现远程医疗服务、提升公共卫生应急响应能力等提供坚实的技术支撑。</w:t>
      </w:r>
    </w:p>
    <w:p w14:paraId="786C68B4">
      <w:pPr>
        <w:spacing w:line="360" w:lineRule="auto"/>
        <w:ind w:firstLine="480"/>
        <w:rPr>
          <w:rFonts w:hint="eastAsia" w:ascii="宋体" w:hAnsi="宋体" w:cs="宋体"/>
          <w:sz w:val="24"/>
        </w:rPr>
      </w:pPr>
      <w:r>
        <w:rPr>
          <w:rFonts w:hint="eastAsia" w:ascii="宋体" w:hAnsi="宋体" w:cs="宋体"/>
          <w:sz w:val="24"/>
        </w:rPr>
        <w:t>本次项目计划部署在呼和浩特市政务云平台，政务云平台可为本次项目提供云资源、操作系统与数据库系统的支持，并配备了满足安全三级等保要求的基础设施，</w:t>
      </w:r>
    </w:p>
    <w:p w14:paraId="71F9C5C9">
      <w:pPr>
        <w:spacing w:line="360" w:lineRule="auto"/>
        <w:ind w:firstLine="480"/>
        <w:rPr>
          <w:rFonts w:hint="eastAsia" w:ascii="宋体" w:hAnsi="宋体" w:cs="宋体"/>
          <w:sz w:val="24"/>
        </w:rPr>
      </w:pPr>
      <w:r>
        <w:rPr>
          <w:rFonts w:hint="eastAsia" w:ascii="宋体" w:hAnsi="宋体" w:cs="宋体"/>
          <w:sz w:val="24"/>
        </w:rPr>
        <w:t>项目的核心目标是整合呼和浩特市的医疗资源，推动建立一个利益共享、责任共担、事业共进、技术同升的整合型医疗服务体系。此体系的建立将着重加强基层医疗卫生机构的能力建设，进一步凸显公立医疗机构的公益性特征，促进二级医院与基层医疗卫生机构之间的纵向资源流动，从而大幅提升医疗资源的利用率及医疗服务体系的整体运作效率。</w:t>
      </w:r>
    </w:p>
    <w:p w14:paraId="1625AEBA">
      <w:pPr>
        <w:spacing w:line="360" w:lineRule="auto"/>
        <w:ind w:firstLine="480"/>
        <w:rPr>
          <w:rFonts w:hint="eastAsia" w:ascii="宋体" w:hAnsi="宋体" w:cs="宋体"/>
          <w:sz w:val="24"/>
        </w:rPr>
      </w:pPr>
      <w:r>
        <w:rPr>
          <w:rFonts w:hint="eastAsia" w:ascii="宋体" w:hAnsi="宋体" w:cs="宋体"/>
          <w:sz w:val="24"/>
        </w:rPr>
        <w:t>同时，本项目致力于强化“以患者为中心”的服务理念，积极推动分级就诊模式的形成，为呼和浩特市公立医院改革与高质量发展整体项目建设铺路架桥。通过本项目的实施，将为日后顺利国家医疗健康信息互联互通标准化成熟度测评四级及以上标准做好充分准备，助力呼和浩特市医疗服务水平迈上新台阶。</w:t>
      </w:r>
    </w:p>
    <w:p w14:paraId="3EACCF0A">
      <w:pPr>
        <w:spacing w:line="360" w:lineRule="auto"/>
        <w:jc w:val="left"/>
        <w:rPr>
          <w:rFonts w:hint="eastAsia" w:ascii="宋体" w:hAnsi="宋体" w:cs="宋体"/>
          <w:b/>
          <w:bCs/>
          <w:sz w:val="32"/>
          <w:szCs w:val="32"/>
        </w:rPr>
      </w:pPr>
    </w:p>
    <w:p w14:paraId="068F98B0">
      <w:pPr>
        <w:spacing w:line="360" w:lineRule="auto"/>
        <w:jc w:val="left"/>
        <w:rPr>
          <w:rFonts w:hint="eastAsia" w:ascii="宋体" w:hAnsi="宋体" w:cs="宋体"/>
          <w:b/>
          <w:bCs/>
          <w:sz w:val="32"/>
          <w:szCs w:val="32"/>
        </w:rPr>
      </w:pPr>
    </w:p>
    <w:p w14:paraId="4DE15A8C">
      <w:pPr>
        <w:spacing w:line="360" w:lineRule="auto"/>
        <w:jc w:val="left"/>
        <w:outlineLvl w:val="0"/>
        <w:rPr>
          <w:rFonts w:hint="eastAsia" w:ascii="宋体" w:hAnsi="宋体" w:cs="宋体"/>
          <w:b/>
          <w:bCs/>
          <w:sz w:val="32"/>
          <w:szCs w:val="32"/>
        </w:rPr>
      </w:pPr>
      <w:r>
        <w:rPr>
          <w:rFonts w:hint="eastAsia" w:ascii="宋体" w:hAnsi="宋体" w:cs="宋体"/>
          <w:b/>
          <w:bCs/>
          <w:sz w:val="32"/>
          <w:szCs w:val="32"/>
        </w:rPr>
        <w:t xml:space="preserve">二、 </w:t>
      </w:r>
      <w:bookmarkStart w:id="1" w:name="_Toc382808399"/>
      <w:r>
        <w:rPr>
          <w:rFonts w:hint="eastAsia" w:ascii="宋体" w:hAnsi="宋体" w:cs="宋体"/>
          <w:b/>
          <w:bCs/>
          <w:sz w:val="32"/>
          <w:szCs w:val="32"/>
        </w:rPr>
        <w:t>建设规模</w:t>
      </w:r>
      <w:bookmarkEnd w:id="1"/>
    </w:p>
    <w:p w14:paraId="595B990E">
      <w:pPr>
        <w:spacing w:line="360" w:lineRule="auto"/>
        <w:ind w:firstLine="480"/>
        <w:rPr>
          <w:rFonts w:hint="eastAsia" w:ascii="宋体" w:hAnsi="宋体" w:cs="宋体"/>
          <w:sz w:val="24"/>
        </w:rPr>
      </w:pPr>
      <w:r>
        <w:rPr>
          <w:rFonts w:hint="eastAsia" w:ascii="宋体" w:hAnsi="宋体" w:cs="宋体"/>
          <w:sz w:val="24"/>
        </w:rPr>
        <w:t>覆盖区域：呼和浩特市九个旗县区的所有参与医共体建设的医疗卫生机构，包括新城区、回民区、玉泉区、赛罕区、土左旗、托克托县、和林县、清水河县、武川县辖区内二级医院和社区卫生服务中心及乡镇卫生院，本次建设内容主要包括：区域远程门诊系统、区域远程会诊系统、双向转诊系统、合理用药、审方系统、处方点评、疾病风险预警系统、区域医学检验中心、专慢病协同防治系统、云体检（区域体检）、区域卫生决策支持系统、医共体运营管理系统、数据集成系统、数据资源系统等模块，确保满足医共体日常运营与管理的需求。</w:t>
      </w:r>
    </w:p>
    <w:p w14:paraId="2A0B9304">
      <w:pPr>
        <w:spacing w:line="360" w:lineRule="auto"/>
        <w:rPr>
          <w:rFonts w:hint="eastAsia" w:ascii="宋体" w:hAnsi="宋体" w:cs="宋体"/>
          <w:b/>
          <w:bCs/>
          <w:sz w:val="32"/>
          <w:szCs w:val="32"/>
        </w:rPr>
      </w:pPr>
      <w:r>
        <w:rPr>
          <w:rFonts w:hint="eastAsia" w:ascii="宋体" w:hAnsi="宋体" w:cs="宋体"/>
          <w:b/>
          <w:bCs/>
          <w:sz w:val="32"/>
          <w:szCs w:val="32"/>
        </w:rPr>
        <w:br w:type="page"/>
      </w:r>
    </w:p>
    <w:p w14:paraId="1913CDA2">
      <w:pPr>
        <w:spacing w:line="360" w:lineRule="auto"/>
        <w:rPr>
          <w:rFonts w:hint="eastAsia" w:ascii="宋体" w:hAnsi="宋体" w:cs="宋体"/>
          <w:b/>
          <w:bCs/>
          <w:sz w:val="32"/>
          <w:szCs w:val="32"/>
        </w:rPr>
      </w:pPr>
      <w:r>
        <w:rPr>
          <w:rFonts w:hint="eastAsia" w:ascii="宋体" w:hAnsi="宋体" w:cs="宋体"/>
          <w:b/>
          <w:bCs/>
          <w:sz w:val="32"/>
          <w:szCs w:val="32"/>
        </w:rPr>
        <w:t xml:space="preserve">三、 </w:t>
      </w:r>
      <w:bookmarkStart w:id="2" w:name="_Toc2147239228"/>
      <w:r>
        <w:rPr>
          <w:rFonts w:hint="eastAsia" w:ascii="宋体" w:hAnsi="宋体" w:cs="宋体"/>
          <w:b/>
          <w:bCs/>
          <w:sz w:val="32"/>
          <w:szCs w:val="32"/>
        </w:rPr>
        <w:t>建设清单及预算</w:t>
      </w:r>
      <w:bookmarkEnd w:id="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96"/>
        <w:gridCol w:w="1306"/>
        <w:gridCol w:w="848"/>
        <w:gridCol w:w="2583"/>
        <w:gridCol w:w="701"/>
        <w:gridCol w:w="566"/>
        <w:gridCol w:w="1365"/>
      </w:tblGrid>
      <w:tr w14:paraId="569F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0" w:type="auto"/>
            <w:shd w:val="clear" w:color="auto" w:fill="FFFFFF"/>
            <w:tcMar>
              <w:bottom w:w="0" w:type="dxa"/>
            </w:tcMar>
            <w:vAlign w:val="center"/>
          </w:tcPr>
          <w:p w14:paraId="27C476C7">
            <w:pPr>
              <w:spacing w:line="360" w:lineRule="auto"/>
              <w:jc w:val="center"/>
              <w:rPr>
                <w:rFonts w:hint="eastAsia" w:ascii="宋体" w:hAnsi="宋体" w:cs="宋体"/>
                <w:sz w:val="24"/>
              </w:rPr>
            </w:pPr>
            <w:r>
              <w:rPr>
                <w:rFonts w:hint="eastAsia" w:ascii="宋体" w:hAnsi="宋体" w:cs="宋体"/>
                <w:b/>
                <w:color w:val="000000"/>
                <w:sz w:val="24"/>
              </w:rPr>
              <w:t>序号</w:t>
            </w:r>
          </w:p>
        </w:tc>
        <w:tc>
          <w:tcPr>
            <w:tcW w:w="0" w:type="auto"/>
            <w:shd w:val="clear" w:color="auto" w:fill="FFFFFF"/>
            <w:tcMar>
              <w:bottom w:w="0" w:type="dxa"/>
            </w:tcMar>
            <w:vAlign w:val="center"/>
          </w:tcPr>
          <w:p w14:paraId="370D693D">
            <w:pPr>
              <w:spacing w:line="360" w:lineRule="auto"/>
              <w:jc w:val="center"/>
              <w:rPr>
                <w:rFonts w:hint="eastAsia" w:ascii="宋体" w:hAnsi="宋体" w:cs="宋体"/>
                <w:sz w:val="24"/>
              </w:rPr>
            </w:pPr>
            <w:r>
              <w:rPr>
                <w:rFonts w:hint="eastAsia" w:ascii="宋体" w:hAnsi="宋体" w:cs="宋体"/>
                <w:b/>
                <w:color w:val="000000"/>
                <w:sz w:val="24"/>
              </w:rPr>
              <w:t>分类</w:t>
            </w:r>
          </w:p>
        </w:tc>
        <w:tc>
          <w:tcPr>
            <w:tcW w:w="1381" w:type="dxa"/>
            <w:shd w:val="clear" w:color="auto" w:fill="FFFFFF"/>
            <w:tcMar>
              <w:bottom w:w="0" w:type="dxa"/>
            </w:tcMar>
            <w:vAlign w:val="center"/>
          </w:tcPr>
          <w:p w14:paraId="188B24CD">
            <w:pPr>
              <w:spacing w:line="360" w:lineRule="auto"/>
              <w:jc w:val="center"/>
              <w:rPr>
                <w:rFonts w:hint="eastAsia" w:ascii="宋体" w:hAnsi="宋体" w:cs="宋体"/>
                <w:sz w:val="24"/>
              </w:rPr>
            </w:pPr>
            <w:r>
              <w:rPr>
                <w:rFonts w:hint="eastAsia" w:ascii="宋体" w:hAnsi="宋体" w:cs="宋体"/>
                <w:b/>
                <w:color w:val="000000"/>
                <w:sz w:val="24"/>
              </w:rPr>
              <w:t>系统名称</w:t>
            </w:r>
          </w:p>
        </w:tc>
        <w:tc>
          <w:tcPr>
            <w:tcW w:w="896" w:type="dxa"/>
            <w:shd w:val="clear" w:color="auto" w:fill="FFFFFF"/>
            <w:vAlign w:val="center"/>
          </w:tcPr>
          <w:p w14:paraId="2D0F8592">
            <w:pPr>
              <w:spacing w:line="360" w:lineRule="auto"/>
              <w:jc w:val="center"/>
              <w:rPr>
                <w:rFonts w:hint="eastAsia" w:ascii="宋体" w:hAnsi="宋体" w:cs="宋体"/>
                <w:b/>
                <w:color w:val="000000"/>
                <w:sz w:val="24"/>
              </w:rPr>
            </w:pPr>
            <w:r>
              <w:rPr>
                <w:rFonts w:hint="eastAsia" w:ascii="宋体" w:hAnsi="宋体" w:cs="宋体"/>
                <w:b/>
                <w:color w:val="000000"/>
                <w:sz w:val="24"/>
              </w:rPr>
              <w:t>覆盖区域数量</w:t>
            </w:r>
          </w:p>
        </w:tc>
        <w:tc>
          <w:tcPr>
            <w:tcW w:w="2814" w:type="dxa"/>
            <w:shd w:val="clear" w:color="auto" w:fill="FFFFFF"/>
            <w:vAlign w:val="center"/>
          </w:tcPr>
          <w:p w14:paraId="4783F540">
            <w:pPr>
              <w:spacing w:line="360" w:lineRule="auto"/>
              <w:jc w:val="center"/>
              <w:rPr>
                <w:rFonts w:hint="eastAsia" w:ascii="宋体" w:hAnsi="宋体" w:cs="宋体"/>
                <w:b/>
                <w:color w:val="000000"/>
                <w:sz w:val="24"/>
              </w:rPr>
            </w:pPr>
            <w:r>
              <w:rPr>
                <w:rFonts w:hint="eastAsia" w:ascii="宋体" w:hAnsi="宋体" w:cs="宋体"/>
                <w:b/>
                <w:color w:val="000000"/>
                <w:sz w:val="24"/>
              </w:rPr>
              <w:t>具体覆盖情况</w:t>
            </w:r>
          </w:p>
        </w:tc>
        <w:tc>
          <w:tcPr>
            <w:tcW w:w="731" w:type="dxa"/>
            <w:shd w:val="clear" w:color="auto" w:fill="FFFFFF"/>
            <w:vAlign w:val="center"/>
          </w:tcPr>
          <w:p w14:paraId="2C646F78">
            <w:pPr>
              <w:spacing w:line="360" w:lineRule="auto"/>
              <w:jc w:val="center"/>
              <w:rPr>
                <w:rFonts w:hint="eastAsia" w:ascii="宋体" w:hAnsi="宋体" w:cs="宋体"/>
                <w:b/>
                <w:color w:val="000000"/>
                <w:sz w:val="24"/>
              </w:rPr>
            </w:pPr>
            <w:r>
              <w:rPr>
                <w:rFonts w:hint="eastAsia" w:ascii="宋体" w:hAnsi="宋体" w:cs="宋体"/>
                <w:b/>
                <w:color w:val="000000"/>
                <w:sz w:val="24"/>
              </w:rPr>
              <w:t>系统数量</w:t>
            </w:r>
          </w:p>
        </w:tc>
        <w:tc>
          <w:tcPr>
            <w:tcW w:w="579" w:type="dxa"/>
            <w:shd w:val="clear" w:color="auto" w:fill="FFFFFF"/>
            <w:vAlign w:val="center"/>
          </w:tcPr>
          <w:p w14:paraId="2415128E">
            <w:pPr>
              <w:spacing w:line="360" w:lineRule="auto"/>
              <w:jc w:val="center"/>
              <w:rPr>
                <w:rFonts w:hint="eastAsia" w:ascii="宋体" w:hAnsi="宋体" w:cs="宋体"/>
                <w:b/>
                <w:color w:val="000000"/>
                <w:sz w:val="24"/>
              </w:rPr>
            </w:pPr>
            <w:r>
              <w:rPr>
                <w:rFonts w:hint="eastAsia" w:ascii="宋体" w:hAnsi="宋体" w:cs="宋体"/>
                <w:b/>
                <w:color w:val="000000"/>
                <w:sz w:val="24"/>
              </w:rPr>
              <w:t>单位</w:t>
            </w:r>
          </w:p>
        </w:tc>
        <w:tc>
          <w:tcPr>
            <w:tcW w:w="1431" w:type="dxa"/>
            <w:shd w:val="clear" w:color="auto" w:fill="FFFFFF"/>
            <w:vAlign w:val="center"/>
          </w:tcPr>
          <w:p w14:paraId="5775A1C2">
            <w:pPr>
              <w:spacing w:line="360" w:lineRule="auto"/>
              <w:jc w:val="center"/>
              <w:rPr>
                <w:rFonts w:hint="eastAsia" w:ascii="宋体" w:hAnsi="宋体" w:cs="宋体"/>
                <w:b/>
                <w:color w:val="000000"/>
                <w:sz w:val="24"/>
              </w:rPr>
            </w:pPr>
            <w:r>
              <w:rPr>
                <w:rFonts w:hint="eastAsia" w:ascii="宋体" w:hAnsi="宋体" w:cs="宋体"/>
                <w:b/>
                <w:color w:val="000000"/>
                <w:sz w:val="24"/>
              </w:rPr>
              <w:t>预算</w:t>
            </w:r>
          </w:p>
          <w:p w14:paraId="56CB76F4">
            <w:pPr>
              <w:spacing w:line="360" w:lineRule="auto"/>
              <w:jc w:val="center"/>
              <w:rPr>
                <w:rFonts w:hint="eastAsia" w:ascii="宋体" w:hAnsi="宋体" w:cs="宋体"/>
                <w:b/>
                <w:color w:val="000000"/>
                <w:sz w:val="24"/>
              </w:rPr>
            </w:pPr>
            <w:r>
              <w:rPr>
                <w:rFonts w:hint="eastAsia" w:ascii="宋体" w:hAnsi="宋体" w:cs="宋体"/>
                <w:b/>
                <w:color w:val="000000"/>
                <w:sz w:val="24"/>
              </w:rPr>
              <w:t>（万元）</w:t>
            </w:r>
          </w:p>
        </w:tc>
      </w:tr>
      <w:tr w14:paraId="58A2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restart"/>
            <w:shd w:val="clear" w:color="auto" w:fill="FFFFFF"/>
            <w:tcMar>
              <w:bottom w:w="0" w:type="dxa"/>
            </w:tcMar>
            <w:vAlign w:val="center"/>
          </w:tcPr>
          <w:p w14:paraId="36C95293">
            <w:pPr>
              <w:spacing w:line="360" w:lineRule="auto"/>
              <w:jc w:val="center"/>
              <w:rPr>
                <w:rFonts w:hint="eastAsia" w:ascii="宋体" w:hAnsi="宋体" w:cs="宋体"/>
                <w:b/>
                <w:color w:val="000000"/>
                <w:sz w:val="24"/>
              </w:rPr>
            </w:pPr>
            <w:r>
              <w:rPr>
                <w:rFonts w:hint="eastAsia" w:ascii="宋体" w:hAnsi="宋体" w:cs="宋体"/>
                <w:color w:val="000000"/>
                <w:sz w:val="24"/>
              </w:rPr>
              <w:t>1</w:t>
            </w:r>
          </w:p>
        </w:tc>
        <w:tc>
          <w:tcPr>
            <w:tcW w:w="0" w:type="auto"/>
            <w:vMerge w:val="restart"/>
            <w:shd w:val="clear" w:color="auto" w:fill="FFFFFF"/>
            <w:tcMar>
              <w:bottom w:w="0" w:type="dxa"/>
            </w:tcMar>
            <w:vAlign w:val="center"/>
          </w:tcPr>
          <w:p w14:paraId="64719715">
            <w:pPr>
              <w:spacing w:line="360" w:lineRule="auto"/>
              <w:jc w:val="center"/>
              <w:rPr>
                <w:rFonts w:hint="eastAsia" w:ascii="宋体" w:hAnsi="宋体" w:cs="宋体"/>
                <w:b/>
                <w:color w:val="000000"/>
                <w:sz w:val="24"/>
              </w:rPr>
            </w:pPr>
            <w:r>
              <w:rPr>
                <w:rFonts w:hint="eastAsia" w:ascii="宋体" w:hAnsi="宋体" w:cs="宋体"/>
                <w:sz w:val="24"/>
              </w:rPr>
              <w:t>远程协同门诊</w:t>
            </w:r>
          </w:p>
        </w:tc>
        <w:tc>
          <w:tcPr>
            <w:tcW w:w="1381" w:type="dxa"/>
            <w:shd w:val="clear" w:color="auto" w:fill="FFFFFF"/>
            <w:tcMar>
              <w:bottom w:w="0" w:type="dxa"/>
            </w:tcMar>
            <w:vAlign w:val="center"/>
          </w:tcPr>
          <w:p w14:paraId="74BDFDFB">
            <w:pPr>
              <w:spacing w:line="360" w:lineRule="auto"/>
              <w:jc w:val="center"/>
              <w:rPr>
                <w:rFonts w:hint="eastAsia" w:ascii="宋体" w:hAnsi="宋体" w:cs="宋体"/>
                <w:b/>
                <w:color w:val="000000"/>
                <w:sz w:val="24"/>
              </w:rPr>
            </w:pPr>
            <w:r>
              <w:rPr>
                <w:rFonts w:hint="eastAsia" w:ascii="宋体" w:hAnsi="宋体" w:cs="宋体"/>
                <w:color w:val="000000"/>
                <w:sz w:val="24"/>
              </w:rPr>
              <w:t>区域远程门诊系统</w:t>
            </w:r>
          </w:p>
        </w:tc>
        <w:tc>
          <w:tcPr>
            <w:tcW w:w="896" w:type="dxa"/>
            <w:shd w:val="clear" w:color="auto" w:fill="FFFFFF"/>
            <w:vAlign w:val="center"/>
          </w:tcPr>
          <w:p w14:paraId="37C581F7">
            <w:pPr>
              <w:spacing w:line="360" w:lineRule="auto"/>
              <w:jc w:val="center"/>
              <w:rPr>
                <w:rFonts w:hint="eastAsia" w:ascii="宋体" w:hAnsi="宋体" w:cs="宋体"/>
                <w:b/>
                <w:color w:val="000000"/>
                <w:sz w:val="24"/>
              </w:rPr>
            </w:pPr>
            <w:r>
              <w:rPr>
                <w:rFonts w:hint="eastAsia" w:ascii="宋体" w:hAnsi="宋体" w:cs="宋体"/>
                <w:sz w:val="24"/>
              </w:rPr>
              <w:t>4</w:t>
            </w:r>
          </w:p>
        </w:tc>
        <w:tc>
          <w:tcPr>
            <w:tcW w:w="2814" w:type="dxa"/>
            <w:shd w:val="clear" w:color="auto" w:fill="FFFFFF"/>
            <w:vAlign w:val="center"/>
          </w:tcPr>
          <w:p w14:paraId="2F17BD45">
            <w:pPr>
              <w:spacing w:line="360" w:lineRule="auto"/>
              <w:jc w:val="center"/>
              <w:rPr>
                <w:rFonts w:hint="eastAsia" w:ascii="宋体" w:hAnsi="宋体" w:cs="宋体"/>
                <w:b/>
                <w:color w:val="000000"/>
                <w:sz w:val="24"/>
              </w:rPr>
            </w:pPr>
            <w:r>
              <w:rPr>
                <w:rFonts w:hint="eastAsia" w:ascii="宋体" w:hAnsi="宋体" w:cs="宋体"/>
                <w:sz w:val="24"/>
              </w:rPr>
              <w:t>土左旗、托克托县、和林县、武川县</w:t>
            </w:r>
          </w:p>
        </w:tc>
        <w:tc>
          <w:tcPr>
            <w:tcW w:w="731" w:type="dxa"/>
            <w:shd w:val="clear" w:color="auto" w:fill="FFFFFF"/>
            <w:vAlign w:val="center"/>
          </w:tcPr>
          <w:p w14:paraId="3CC4C00E">
            <w:pPr>
              <w:spacing w:line="360" w:lineRule="auto"/>
              <w:jc w:val="center"/>
              <w:rPr>
                <w:rFonts w:hint="eastAsia" w:ascii="宋体" w:hAnsi="宋体" w:cs="宋体"/>
                <w:color w:val="000000"/>
                <w:sz w:val="24"/>
              </w:rPr>
            </w:pPr>
            <w:r>
              <w:rPr>
                <w:rFonts w:hint="eastAsia" w:ascii="宋体" w:hAnsi="宋体" w:cs="宋体"/>
                <w:color w:val="000000"/>
                <w:sz w:val="24"/>
              </w:rPr>
              <w:t>1</w:t>
            </w:r>
          </w:p>
        </w:tc>
        <w:tc>
          <w:tcPr>
            <w:tcW w:w="579" w:type="dxa"/>
            <w:shd w:val="clear" w:color="auto" w:fill="FFFFFF"/>
            <w:vAlign w:val="center"/>
          </w:tcPr>
          <w:p w14:paraId="6308B792">
            <w:pPr>
              <w:spacing w:line="360" w:lineRule="auto"/>
              <w:jc w:val="center"/>
              <w:rPr>
                <w:rFonts w:hint="eastAsia" w:ascii="宋体" w:hAnsi="宋体" w:cs="宋体"/>
                <w:color w:val="000000"/>
                <w:sz w:val="24"/>
              </w:rPr>
            </w:pPr>
            <w:r>
              <w:rPr>
                <w:rFonts w:hint="eastAsia" w:ascii="宋体" w:hAnsi="宋体" w:cs="宋体"/>
                <w:color w:val="000000"/>
                <w:sz w:val="24"/>
              </w:rPr>
              <w:t>套</w:t>
            </w:r>
          </w:p>
        </w:tc>
        <w:tc>
          <w:tcPr>
            <w:tcW w:w="1431" w:type="dxa"/>
            <w:shd w:val="clear" w:color="auto" w:fill="FFFFFF"/>
            <w:vAlign w:val="center"/>
          </w:tcPr>
          <w:p w14:paraId="607737C0">
            <w:pPr>
              <w:spacing w:line="360" w:lineRule="auto"/>
              <w:jc w:val="center"/>
              <w:rPr>
                <w:rFonts w:hint="eastAsia" w:ascii="宋体" w:hAnsi="宋体" w:cs="宋体"/>
                <w:color w:val="000000"/>
                <w:sz w:val="24"/>
              </w:rPr>
            </w:pPr>
            <w:r>
              <w:rPr>
                <w:rFonts w:hint="eastAsia" w:ascii="宋体" w:hAnsi="宋体" w:cs="宋体"/>
                <w:color w:val="000000"/>
                <w:sz w:val="24"/>
              </w:rPr>
              <w:t>60</w:t>
            </w:r>
          </w:p>
        </w:tc>
      </w:tr>
      <w:tr w14:paraId="395D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tcMar>
              <w:bottom w:w="0" w:type="dxa"/>
            </w:tcMar>
            <w:vAlign w:val="center"/>
          </w:tcPr>
          <w:p w14:paraId="72F44ECC">
            <w:pPr>
              <w:spacing w:line="360" w:lineRule="auto"/>
              <w:jc w:val="center"/>
              <w:rPr>
                <w:rFonts w:hint="eastAsia" w:ascii="宋体" w:hAnsi="宋体" w:cs="宋体"/>
                <w:sz w:val="24"/>
              </w:rPr>
            </w:pPr>
          </w:p>
        </w:tc>
        <w:tc>
          <w:tcPr>
            <w:tcW w:w="0" w:type="auto"/>
            <w:vMerge w:val="continue"/>
            <w:tcMar>
              <w:bottom w:w="0" w:type="dxa"/>
            </w:tcMar>
            <w:vAlign w:val="center"/>
          </w:tcPr>
          <w:p w14:paraId="217FE611">
            <w:pPr>
              <w:spacing w:line="360" w:lineRule="auto"/>
              <w:jc w:val="center"/>
              <w:rPr>
                <w:rFonts w:hint="eastAsia" w:ascii="宋体" w:hAnsi="宋体" w:cs="宋体"/>
                <w:sz w:val="24"/>
              </w:rPr>
            </w:pPr>
          </w:p>
        </w:tc>
        <w:tc>
          <w:tcPr>
            <w:tcW w:w="1381" w:type="dxa"/>
            <w:tcMar>
              <w:bottom w:w="0" w:type="dxa"/>
            </w:tcMar>
            <w:vAlign w:val="center"/>
          </w:tcPr>
          <w:p w14:paraId="42A9DAB0">
            <w:pPr>
              <w:spacing w:line="360" w:lineRule="auto"/>
              <w:jc w:val="center"/>
              <w:rPr>
                <w:rFonts w:hint="eastAsia" w:ascii="宋体" w:hAnsi="宋体" w:cs="宋体"/>
                <w:sz w:val="24"/>
              </w:rPr>
            </w:pPr>
            <w:r>
              <w:rPr>
                <w:rFonts w:hint="eastAsia" w:ascii="宋体" w:hAnsi="宋体" w:cs="宋体"/>
                <w:color w:val="000000"/>
                <w:sz w:val="24"/>
              </w:rPr>
              <w:t>区域远程会诊系统</w:t>
            </w:r>
          </w:p>
        </w:tc>
        <w:tc>
          <w:tcPr>
            <w:tcW w:w="896" w:type="dxa"/>
            <w:vAlign w:val="center"/>
          </w:tcPr>
          <w:p w14:paraId="09377AD7">
            <w:pPr>
              <w:spacing w:line="360" w:lineRule="auto"/>
              <w:jc w:val="center"/>
              <w:rPr>
                <w:rFonts w:hint="eastAsia" w:ascii="宋体" w:hAnsi="宋体" w:cs="宋体"/>
                <w:sz w:val="24"/>
              </w:rPr>
            </w:pPr>
            <w:r>
              <w:rPr>
                <w:rFonts w:hint="eastAsia" w:ascii="宋体" w:hAnsi="宋体" w:cs="宋体"/>
                <w:sz w:val="24"/>
              </w:rPr>
              <w:t>3</w:t>
            </w:r>
          </w:p>
        </w:tc>
        <w:tc>
          <w:tcPr>
            <w:tcW w:w="2814" w:type="dxa"/>
            <w:vAlign w:val="center"/>
          </w:tcPr>
          <w:p w14:paraId="307048F9">
            <w:pPr>
              <w:spacing w:line="360" w:lineRule="auto"/>
              <w:jc w:val="center"/>
              <w:rPr>
                <w:rFonts w:hint="eastAsia" w:ascii="宋体" w:hAnsi="宋体" w:cs="宋体"/>
                <w:sz w:val="24"/>
              </w:rPr>
            </w:pPr>
            <w:r>
              <w:rPr>
                <w:rFonts w:hint="eastAsia" w:ascii="宋体" w:hAnsi="宋体" w:cs="宋体"/>
                <w:sz w:val="24"/>
              </w:rPr>
              <w:t>土左旗、和林县、武川县</w:t>
            </w:r>
          </w:p>
        </w:tc>
        <w:tc>
          <w:tcPr>
            <w:tcW w:w="731" w:type="dxa"/>
            <w:vAlign w:val="center"/>
          </w:tcPr>
          <w:p w14:paraId="5EAC3B24">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1065C73F">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2B997655">
            <w:pPr>
              <w:spacing w:line="360" w:lineRule="auto"/>
              <w:jc w:val="center"/>
              <w:rPr>
                <w:rFonts w:hint="eastAsia" w:ascii="宋体" w:hAnsi="宋体" w:cs="宋体"/>
                <w:sz w:val="24"/>
              </w:rPr>
            </w:pPr>
            <w:r>
              <w:rPr>
                <w:rFonts w:hint="eastAsia" w:ascii="宋体" w:hAnsi="宋体" w:cs="宋体"/>
                <w:sz w:val="24"/>
              </w:rPr>
              <w:t>42</w:t>
            </w:r>
          </w:p>
        </w:tc>
      </w:tr>
      <w:tr w14:paraId="3B26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tcMar>
              <w:bottom w:w="0" w:type="dxa"/>
            </w:tcMar>
            <w:vAlign w:val="center"/>
          </w:tcPr>
          <w:p w14:paraId="4F7C1DB9">
            <w:pPr>
              <w:spacing w:line="360" w:lineRule="auto"/>
              <w:jc w:val="center"/>
              <w:rPr>
                <w:rFonts w:hint="eastAsia" w:ascii="宋体" w:hAnsi="宋体" w:cs="宋体"/>
                <w:color w:val="000000"/>
                <w:sz w:val="24"/>
              </w:rPr>
            </w:pPr>
          </w:p>
        </w:tc>
        <w:tc>
          <w:tcPr>
            <w:tcW w:w="0" w:type="auto"/>
            <w:vMerge w:val="continue"/>
            <w:tcMar>
              <w:bottom w:w="0" w:type="dxa"/>
            </w:tcMar>
            <w:vAlign w:val="center"/>
          </w:tcPr>
          <w:p w14:paraId="678D3346">
            <w:pPr>
              <w:spacing w:line="360" w:lineRule="auto"/>
              <w:jc w:val="center"/>
              <w:rPr>
                <w:rFonts w:hint="eastAsia" w:ascii="宋体" w:hAnsi="宋体" w:cs="宋体"/>
                <w:color w:val="000000"/>
                <w:sz w:val="24"/>
              </w:rPr>
            </w:pPr>
          </w:p>
        </w:tc>
        <w:tc>
          <w:tcPr>
            <w:tcW w:w="1381" w:type="dxa"/>
            <w:tcMar>
              <w:bottom w:w="0" w:type="dxa"/>
            </w:tcMar>
            <w:vAlign w:val="center"/>
          </w:tcPr>
          <w:p w14:paraId="2EF4E1F1">
            <w:pPr>
              <w:spacing w:line="360" w:lineRule="auto"/>
              <w:jc w:val="center"/>
              <w:rPr>
                <w:rFonts w:hint="eastAsia" w:ascii="宋体" w:hAnsi="宋体" w:cs="宋体"/>
                <w:color w:val="000000"/>
                <w:sz w:val="24"/>
              </w:rPr>
            </w:pPr>
            <w:r>
              <w:rPr>
                <w:rFonts w:hint="eastAsia" w:ascii="宋体" w:hAnsi="宋体" w:cs="宋体"/>
                <w:color w:val="000000"/>
                <w:sz w:val="24"/>
              </w:rPr>
              <w:t>双向转诊系统</w:t>
            </w:r>
          </w:p>
        </w:tc>
        <w:tc>
          <w:tcPr>
            <w:tcW w:w="896" w:type="dxa"/>
            <w:vAlign w:val="center"/>
          </w:tcPr>
          <w:p w14:paraId="038CA868">
            <w:pPr>
              <w:spacing w:line="360" w:lineRule="auto"/>
              <w:jc w:val="center"/>
              <w:rPr>
                <w:rFonts w:hint="eastAsia" w:ascii="宋体" w:hAnsi="宋体" w:cs="宋体"/>
                <w:sz w:val="24"/>
              </w:rPr>
            </w:pPr>
            <w:r>
              <w:rPr>
                <w:rFonts w:hint="eastAsia" w:ascii="宋体" w:hAnsi="宋体" w:cs="宋体"/>
                <w:sz w:val="24"/>
              </w:rPr>
              <w:t>6</w:t>
            </w:r>
          </w:p>
        </w:tc>
        <w:tc>
          <w:tcPr>
            <w:tcW w:w="2814" w:type="dxa"/>
            <w:vAlign w:val="center"/>
          </w:tcPr>
          <w:p w14:paraId="462546B1">
            <w:pPr>
              <w:spacing w:line="360" w:lineRule="auto"/>
              <w:jc w:val="center"/>
              <w:rPr>
                <w:rFonts w:hint="eastAsia" w:ascii="宋体" w:hAnsi="宋体" w:cs="宋体"/>
                <w:sz w:val="24"/>
              </w:rPr>
            </w:pPr>
            <w:r>
              <w:rPr>
                <w:rFonts w:hint="eastAsia" w:ascii="宋体" w:hAnsi="宋体" w:cs="宋体"/>
                <w:sz w:val="24"/>
              </w:rPr>
              <w:t>新城区、回民区、玉泉区、土左旗、和林县、武川县</w:t>
            </w:r>
          </w:p>
        </w:tc>
        <w:tc>
          <w:tcPr>
            <w:tcW w:w="731" w:type="dxa"/>
            <w:vAlign w:val="center"/>
          </w:tcPr>
          <w:p w14:paraId="1F15D4E3">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2394C11D">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1CC1354D">
            <w:pPr>
              <w:spacing w:line="360" w:lineRule="auto"/>
              <w:jc w:val="center"/>
              <w:rPr>
                <w:rFonts w:hint="eastAsia" w:ascii="宋体" w:hAnsi="宋体" w:cs="宋体"/>
                <w:sz w:val="24"/>
              </w:rPr>
            </w:pPr>
            <w:r>
              <w:rPr>
                <w:rFonts w:hint="eastAsia" w:ascii="宋体" w:hAnsi="宋体" w:cs="宋体"/>
                <w:sz w:val="24"/>
              </w:rPr>
              <w:t>36</w:t>
            </w:r>
          </w:p>
        </w:tc>
      </w:tr>
      <w:tr w14:paraId="0746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restart"/>
            <w:tcMar>
              <w:bottom w:w="0" w:type="dxa"/>
            </w:tcMar>
            <w:vAlign w:val="center"/>
          </w:tcPr>
          <w:p w14:paraId="521DCD4C">
            <w:pPr>
              <w:spacing w:line="360" w:lineRule="auto"/>
              <w:jc w:val="center"/>
              <w:rPr>
                <w:rFonts w:hint="eastAsia" w:ascii="宋体" w:hAnsi="宋体" w:cs="宋体"/>
                <w:color w:val="000000"/>
                <w:sz w:val="24"/>
              </w:rPr>
            </w:pPr>
            <w:r>
              <w:rPr>
                <w:rFonts w:hint="eastAsia" w:ascii="宋体" w:hAnsi="宋体" w:cs="宋体"/>
                <w:color w:val="000000"/>
                <w:sz w:val="24"/>
              </w:rPr>
              <w:t>2</w:t>
            </w:r>
          </w:p>
        </w:tc>
        <w:tc>
          <w:tcPr>
            <w:tcW w:w="0" w:type="auto"/>
            <w:vMerge w:val="restart"/>
            <w:tcMar>
              <w:bottom w:w="0" w:type="dxa"/>
            </w:tcMar>
            <w:vAlign w:val="center"/>
          </w:tcPr>
          <w:p w14:paraId="5C59C1E9">
            <w:pPr>
              <w:spacing w:line="360" w:lineRule="auto"/>
              <w:jc w:val="center"/>
              <w:rPr>
                <w:rFonts w:hint="eastAsia" w:ascii="宋体" w:hAnsi="宋体" w:cs="宋体"/>
                <w:color w:val="000000"/>
                <w:sz w:val="24"/>
              </w:rPr>
            </w:pPr>
            <w:r>
              <w:rPr>
                <w:rFonts w:hint="eastAsia" w:ascii="宋体" w:hAnsi="宋体" w:cs="宋体"/>
                <w:color w:val="000000"/>
                <w:sz w:val="24"/>
              </w:rPr>
              <w:t>智能（人工）辅助审方系统</w:t>
            </w:r>
          </w:p>
        </w:tc>
        <w:tc>
          <w:tcPr>
            <w:tcW w:w="1381" w:type="dxa"/>
            <w:tcMar>
              <w:bottom w:w="0" w:type="dxa"/>
            </w:tcMar>
            <w:vAlign w:val="center"/>
          </w:tcPr>
          <w:p w14:paraId="7A70F7A9">
            <w:pPr>
              <w:spacing w:line="360" w:lineRule="auto"/>
              <w:jc w:val="center"/>
              <w:rPr>
                <w:rFonts w:hint="eastAsia" w:ascii="宋体" w:hAnsi="宋体" w:cs="宋体"/>
                <w:color w:val="000000"/>
                <w:sz w:val="24"/>
              </w:rPr>
            </w:pPr>
            <w:r>
              <w:rPr>
                <w:rFonts w:hint="eastAsia" w:ascii="宋体" w:hAnsi="宋体" w:cs="宋体"/>
                <w:color w:val="000000"/>
                <w:sz w:val="24"/>
              </w:rPr>
              <w:t>合理用药</w:t>
            </w:r>
          </w:p>
        </w:tc>
        <w:tc>
          <w:tcPr>
            <w:tcW w:w="896" w:type="dxa"/>
            <w:vAlign w:val="center"/>
          </w:tcPr>
          <w:p w14:paraId="5AD9FD70">
            <w:pPr>
              <w:spacing w:line="360" w:lineRule="auto"/>
              <w:jc w:val="center"/>
              <w:rPr>
                <w:rFonts w:hint="eastAsia" w:ascii="宋体" w:hAnsi="宋体" w:cs="宋体"/>
                <w:sz w:val="24"/>
              </w:rPr>
            </w:pPr>
            <w:r>
              <w:rPr>
                <w:rFonts w:hint="eastAsia" w:ascii="宋体" w:hAnsi="宋体" w:cs="宋体"/>
                <w:sz w:val="24"/>
              </w:rPr>
              <w:t>4</w:t>
            </w:r>
          </w:p>
        </w:tc>
        <w:tc>
          <w:tcPr>
            <w:tcW w:w="2814" w:type="dxa"/>
            <w:vAlign w:val="center"/>
          </w:tcPr>
          <w:p w14:paraId="77DC9304">
            <w:pPr>
              <w:spacing w:line="360" w:lineRule="auto"/>
              <w:jc w:val="center"/>
              <w:rPr>
                <w:rFonts w:hint="eastAsia" w:ascii="宋体" w:hAnsi="宋体" w:cs="宋体"/>
                <w:sz w:val="24"/>
              </w:rPr>
            </w:pPr>
            <w:r>
              <w:rPr>
                <w:rFonts w:hint="eastAsia" w:ascii="宋体" w:hAnsi="宋体" w:cs="宋体"/>
                <w:sz w:val="24"/>
              </w:rPr>
              <w:t>土左旗、托克托县、清水河县、武川县</w:t>
            </w:r>
          </w:p>
        </w:tc>
        <w:tc>
          <w:tcPr>
            <w:tcW w:w="731" w:type="dxa"/>
            <w:vAlign w:val="center"/>
          </w:tcPr>
          <w:p w14:paraId="6400FEC8">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153B2217">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18978142">
            <w:pPr>
              <w:spacing w:line="360" w:lineRule="auto"/>
              <w:jc w:val="center"/>
              <w:rPr>
                <w:rFonts w:hint="eastAsia" w:ascii="宋体" w:hAnsi="宋体" w:cs="宋体"/>
                <w:sz w:val="24"/>
              </w:rPr>
            </w:pPr>
            <w:r>
              <w:rPr>
                <w:rFonts w:hint="eastAsia" w:ascii="宋体" w:hAnsi="宋体" w:cs="宋体"/>
                <w:sz w:val="24"/>
              </w:rPr>
              <w:t>80</w:t>
            </w:r>
          </w:p>
        </w:tc>
      </w:tr>
      <w:tr w14:paraId="41AB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tcMar>
              <w:bottom w:w="0" w:type="dxa"/>
            </w:tcMar>
            <w:vAlign w:val="center"/>
          </w:tcPr>
          <w:p w14:paraId="364D0809">
            <w:pPr>
              <w:spacing w:line="360" w:lineRule="auto"/>
              <w:jc w:val="center"/>
              <w:rPr>
                <w:rFonts w:hint="eastAsia" w:ascii="宋体" w:hAnsi="宋体" w:cs="宋体"/>
                <w:sz w:val="24"/>
              </w:rPr>
            </w:pPr>
          </w:p>
        </w:tc>
        <w:tc>
          <w:tcPr>
            <w:tcW w:w="0" w:type="auto"/>
            <w:vMerge w:val="continue"/>
            <w:tcMar>
              <w:bottom w:w="0" w:type="dxa"/>
            </w:tcMar>
            <w:vAlign w:val="center"/>
          </w:tcPr>
          <w:p w14:paraId="443A169D">
            <w:pPr>
              <w:spacing w:line="360" w:lineRule="auto"/>
              <w:jc w:val="center"/>
              <w:rPr>
                <w:rFonts w:hint="eastAsia" w:ascii="宋体" w:hAnsi="宋体" w:cs="宋体"/>
                <w:sz w:val="24"/>
              </w:rPr>
            </w:pPr>
          </w:p>
        </w:tc>
        <w:tc>
          <w:tcPr>
            <w:tcW w:w="1381" w:type="dxa"/>
            <w:tcMar>
              <w:bottom w:w="0" w:type="dxa"/>
            </w:tcMar>
            <w:vAlign w:val="center"/>
          </w:tcPr>
          <w:p w14:paraId="03825A9B">
            <w:pPr>
              <w:spacing w:line="360" w:lineRule="auto"/>
              <w:jc w:val="center"/>
              <w:rPr>
                <w:rFonts w:hint="eastAsia" w:ascii="宋体" w:hAnsi="宋体" w:cs="宋体"/>
                <w:sz w:val="24"/>
              </w:rPr>
            </w:pPr>
            <w:r>
              <w:rPr>
                <w:rFonts w:hint="eastAsia" w:ascii="宋体" w:hAnsi="宋体" w:cs="宋体"/>
                <w:color w:val="000000"/>
                <w:sz w:val="24"/>
              </w:rPr>
              <w:t>审方系统</w:t>
            </w:r>
          </w:p>
        </w:tc>
        <w:tc>
          <w:tcPr>
            <w:tcW w:w="896" w:type="dxa"/>
            <w:vAlign w:val="center"/>
          </w:tcPr>
          <w:p w14:paraId="3ADAB06B">
            <w:pPr>
              <w:spacing w:line="360" w:lineRule="auto"/>
              <w:jc w:val="center"/>
              <w:rPr>
                <w:rFonts w:hint="eastAsia" w:ascii="宋体" w:hAnsi="宋体" w:cs="宋体"/>
                <w:color w:val="000000"/>
                <w:sz w:val="24"/>
              </w:rPr>
            </w:pPr>
            <w:r>
              <w:rPr>
                <w:rFonts w:hint="eastAsia" w:ascii="宋体" w:hAnsi="宋体" w:cs="宋体"/>
                <w:color w:val="000000"/>
                <w:sz w:val="24"/>
              </w:rPr>
              <w:t>5</w:t>
            </w:r>
          </w:p>
        </w:tc>
        <w:tc>
          <w:tcPr>
            <w:tcW w:w="2814" w:type="dxa"/>
            <w:vAlign w:val="center"/>
          </w:tcPr>
          <w:p w14:paraId="72AED6FA">
            <w:pPr>
              <w:spacing w:line="360" w:lineRule="auto"/>
              <w:jc w:val="center"/>
              <w:rPr>
                <w:rFonts w:hint="eastAsia" w:ascii="宋体" w:hAnsi="宋体" w:cs="宋体"/>
                <w:sz w:val="24"/>
              </w:rPr>
            </w:pPr>
            <w:r>
              <w:rPr>
                <w:rFonts w:hint="eastAsia" w:ascii="宋体" w:hAnsi="宋体" w:cs="宋体"/>
                <w:color w:val="000000"/>
                <w:sz w:val="24"/>
              </w:rPr>
              <w:t>土左旗、托克托县、和林县、清水河县、武川县</w:t>
            </w:r>
          </w:p>
        </w:tc>
        <w:tc>
          <w:tcPr>
            <w:tcW w:w="731" w:type="dxa"/>
            <w:vAlign w:val="center"/>
          </w:tcPr>
          <w:p w14:paraId="387A3A6B">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441FEF9D">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18384496">
            <w:pPr>
              <w:spacing w:line="360" w:lineRule="auto"/>
              <w:jc w:val="center"/>
              <w:rPr>
                <w:rFonts w:hint="eastAsia" w:ascii="宋体" w:hAnsi="宋体" w:cs="宋体"/>
                <w:sz w:val="24"/>
              </w:rPr>
            </w:pPr>
            <w:r>
              <w:rPr>
                <w:rFonts w:hint="eastAsia" w:ascii="宋体" w:hAnsi="宋体" w:cs="宋体"/>
                <w:sz w:val="24"/>
              </w:rPr>
              <w:t>100</w:t>
            </w:r>
          </w:p>
        </w:tc>
      </w:tr>
      <w:tr w14:paraId="32BD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tcMar>
              <w:bottom w:w="0" w:type="dxa"/>
            </w:tcMar>
            <w:vAlign w:val="center"/>
          </w:tcPr>
          <w:p w14:paraId="7BB7E55D">
            <w:pPr>
              <w:spacing w:line="360" w:lineRule="auto"/>
              <w:jc w:val="center"/>
              <w:rPr>
                <w:rFonts w:hint="eastAsia" w:ascii="宋体" w:hAnsi="宋体" w:cs="宋体"/>
                <w:sz w:val="24"/>
              </w:rPr>
            </w:pPr>
          </w:p>
        </w:tc>
        <w:tc>
          <w:tcPr>
            <w:tcW w:w="0" w:type="auto"/>
            <w:vMerge w:val="continue"/>
            <w:tcMar>
              <w:bottom w:w="0" w:type="dxa"/>
            </w:tcMar>
            <w:vAlign w:val="center"/>
          </w:tcPr>
          <w:p w14:paraId="58E71C31">
            <w:pPr>
              <w:spacing w:line="360" w:lineRule="auto"/>
              <w:jc w:val="center"/>
              <w:rPr>
                <w:rFonts w:hint="eastAsia" w:ascii="宋体" w:hAnsi="宋体" w:cs="宋体"/>
                <w:sz w:val="24"/>
              </w:rPr>
            </w:pPr>
          </w:p>
        </w:tc>
        <w:tc>
          <w:tcPr>
            <w:tcW w:w="1381" w:type="dxa"/>
            <w:tcMar>
              <w:bottom w:w="0" w:type="dxa"/>
            </w:tcMar>
            <w:vAlign w:val="center"/>
          </w:tcPr>
          <w:p w14:paraId="353163EF">
            <w:pPr>
              <w:spacing w:line="360" w:lineRule="auto"/>
              <w:jc w:val="center"/>
              <w:rPr>
                <w:rFonts w:hint="eastAsia" w:ascii="宋体" w:hAnsi="宋体" w:cs="宋体"/>
                <w:sz w:val="24"/>
              </w:rPr>
            </w:pPr>
            <w:r>
              <w:rPr>
                <w:rFonts w:hint="eastAsia" w:ascii="宋体" w:hAnsi="宋体" w:cs="宋体"/>
                <w:color w:val="000000"/>
                <w:sz w:val="24"/>
              </w:rPr>
              <w:t>处方点评</w:t>
            </w:r>
          </w:p>
        </w:tc>
        <w:tc>
          <w:tcPr>
            <w:tcW w:w="896" w:type="dxa"/>
            <w:vAlign w:val="center"/>
          </w:tcPr>
          <w:p w14:paraId="42D3A363">
            <w:pPr>
              <w:spacing w:line="360" w:lineRule="auto"/>
              <w:jc w:val="center"/>
              <w:rPr>
                <w:rFonts w:hint="eastAsia" w:ascii="宋体" w:hAnsi="宋体" w:cs="宋体"/>
                <w:color w:val="000000"/>
                <w:sz w:val="24"/>
              </w:rPr>
            </w:pPr>
            <w:r>
              <w:rPr>
                <w:rFonts w:hint="eastAsia" w:ascii="宋体" w:hAnsi="宋体" w:cs="宋体"/>
                <w:color w:val="000000"/>
                <w:sz w:val="24"/>
              </w:rPr>
              <w:t>4</w:t>
            </w:r>
          </w:p>
        </w:tc>
        <w:tc>
          <w:tcPr>
            <w:tcW w:w="2814" w:type="dxa"/>
            <w:vAlign w:val="center"/>
          </w:tcPr>
          <w:p w14:paraId="4C2FE574">
            <w:pPr>
              <w:spacing w:line="360" w:lineRule="auto"/>
              <w:jc w:val="center"/>
              <w:rPr>
                <w:rFonts w:hint="eastAsia" w:ascii="宋体" w:hAnsi="宋体" w:cs="宋体"/>
                <w:sz w:val="24"/>
              </w:rPr>
            </w:pPr>
            <w:r>
              <w:rPr>
                <w:rFonts w:hint="eastAsia" w:ascii="宋体" w:hAnsi="宋体" w:cs="宋体"/>
                <w:color w:val="000000"/>
                <w:sz w:val="24"/>
              </w:rPr>
              <w:t>土左旗、托克托县、和林县、武川县</w:t>
            </w:r>
          </w:p>
        </w:tc>
        <w:tc>
          <w:tcPr>
            <w:tcW w:w="731" w:type="dxa"/>
            <w:vAlign w:val="center"/>
          </w:tcPr>
          <w:p w14:paraId="648280D5">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7D956895">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67DA09F9">
            <w:pPr>
              <w:spacing w:line="360" w:lineRule="auto"/>
              <w:jc w:val="center"/>
              <w:rPr>
                <w:rFonts w:hint="eastAsia" w:ascii="宋体" w:hAnsi="宋体" w:cs="宋体"/>
                <w:sz w:val="24"/>
              </w:rPr>
            </w:pPr>
            <w:r>
              <w:rPr>
                <w:rFonts w:hint="eastAsia" w:ascii="宋体" w:hAnsi="宋体" w:cs="宋体"/>
                <w:sz w:val="24"/>
              </w:rPr>
              <w:t>82</w:t>
            </w:r>
          </w:p>
        </w:tc>
      </w:tr>
      <w:tr w14:paraId="5709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Mar>
              <w:bottom w:w="0" w:type="dxa"/>
            </w:tcMar>
            <w:vAlign w:val="center"/>
          </w:tcPr>
          <w:p w14:paraId="2A0CF525">
            <w:pPr>
              <w:spacing w:line="360" w:lineRule="auto"/>
              <w:jc w:val="center"/>
              <w:rPr>
                <w:rFonts w:hint="eastAsia" w:ascii="宋体" w:hAnsi="宋体" w:cs="宋体"/>
                <w:sz w:val="24"/>
              </w:rPr>
            </w:pPr>
            <w:r>
              <w:rPr>
                <w:rFonts w:hint="eastAsia" w:ascii="宋体" w:hAnsi="宋体" w:cs="宋体"/>
                <w:sz w:val="24"/>
              </w:rPr>
              <w:t>3</w:t>
            </w:r>
          </w:p>
        </w:tc>
        <w:tc>
          <w:tcPr>
            <w:tcW w:w="0" w:type="auto"/>
            <w:tcMar>
              <w:bottom w:w="0" w:type="dxa"/>
            </w:tcMar>
            <w:vAlign w:val="center"/>
          </w:tcPr>
          <w:p w14:paraId="4E25435D">
            <w:pPr>
              <w:spacing w:line="360" w:lineRule="auto"/>
              <w:jc w:val="center"/>
              <w:rPr>
                <w:rFonts w:hint="eastAsia" w:ascii="宋体" w:hAnsi="宋体" w:cs="宋体"/>
                <w:sz w:val="24"/>
              </w:rPr>
            </w:pPr>
            <w:r>
              <w:rPr>
                <w:rFonts w:hint="eastAsia" w:ascii="宋体" w:hAnsi="宋体" w:cs="宋体"/>
                <w:sz w:val="24"/>
              </w:rPr>
              <w:t>AI人工辅助应用</w:t>
            </w:r>
          </w:p>
        </w:tc>
        <w:tc>
          <w:tcPr>
            <w:tcW w:w="1381" w:type="dxa"/>
            <w:tcMar>
              <w:bottom w:w="0" w:type="dxa"/>
            </w:tcMar>
            <w:vAlign w:val="center"/>
          </w:tcPr>
          <w:p w14:paraId="06962619">
            <w:pPr>
              <w:spacing w:line="360" w:lineRule="auto"/>
              <w:jc w:val="center"/>
              <w:rPr>
                <w:rFonts w:hint="eastAsia" w:ascii="宋体" w:hAnsi="宋体" w:cs="宋体"/>
                <w:color w:val="000000"/>
                <w:sz w:val="24"/>
              </w:rPr>
            </w:pPr>
            <w:r>
              <w:rPr>
                <w:rFonts w:hint="eastAsia" w:ascii="宋体" w:hAnsi="宋体" w:cs="宋体"/>
                <w:color w:val="000000"/>
                <w:sz w:val="24"/>
              </w:rPr>
              <w:t>疾病风险预警系统</w:t>
            </w:r>
          </w:p>
        </w:tc>
        <w:tc>
          <w:tcPr>
            <w:tcW w:w="896" w:type="dxa"/>
            <w:vAlign w:val="center"/>
          </w:tcPr>
          <w:p w14:paraId="4940425B">
            <w:pPr>
              <w:spacing w:line="360" w:lineRule="auto"/>
              <w:jc w:val="center"/>
              <w:rPr>
                <w:rFonts w:hint="eastAsia" w:ascii="宋体" w:hAnsi="宋体" w:cs="宋体"/>
                <w:sz w:val="24"/>
              </w:rPr>
            </w:pPr>
            <w:r>
              <w:rPr>
                <w:rFonts w:hint="eastAsia" w:ascii="宋体" w:hAnsi="宋体" w:cs="宋体"/>
                <w:sz w:val="24"/>
              </w:rPr>
              <w:t>6</w:t>
            </w:r>
          </w:p>
        </w:tc>
        <w:tc>
          <w:tcPr>
            <w:tcW w:w="2814" w:type="dxa"/>
            <w:vAlign w:val="center"/>
          </w:tcPr>
          <w:p w14:paraId="413E7C84">
            <w:pPr>
              <w:spacing w:line="360" w:lineRule="auto"/>
              <w:jc w:val="center"/>
              <w:rPr>
                <w:rFonts w:hint="eastAsia" w:ascii="宋体" w:hAnsi="宋体" w:cs="宋体"/>
                <w:sz w:val="24"/>
              </w:rPr>
            </w:pPr>
            <w:r>
              <w:rPr>
                <w:rFonts w:hint="eastAsia" w:ascii="宋体" w:hAnsi="宋体" w:cs="宋体"/>
                <w:sz w:val="24"/>
              </w:rPr>
              <w:t>新城区、回民区、玉泉区、赛罕区、土左县、和林县</w:t>
            </w:r>
          </w:p>
        </w:tc>
        <w:tc>
          <w:tcPr>
            <w:tcW w:w="731" w:type="dxa"/>
            <w:vAlign w:val="center"/>
          </w:tcPr>
          <w:p w14:paraId="153BBD88">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2FE2BB43">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2836BD4D">
            <w:pPr>
              <w:spacing w:line="360" w:lineRule="auto"/>
              <w:jc w:val="center"/>
              <w:rPr>
                <w:rFonts w:hint="eastAsia" w:ascii="宋体" w:hAnsi="宋体" w:cs="宋体"/>
                <w:sz w:val="24"/>
              </w:rPr>
            </w:pPr>
            <w:r>
              <w:rPr>
                <w:rFonts w:hint="eastAsia" w:ascii="宋体" w:hAnsi="宋体" w:cs="宋体"/>
                <w:sz w:val="24"/>
              </w:rPr>
              <w:t>175</w:t>
            </w:r>
          </w:p>
        </w:tc>
      </w:tr>
      <w:tr w14:paraId="779F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tcMar>
              <w:bottom w:w="0" w:type="dxa"/>
            </w:tcMar>
            <w:vAlign w:val="center"/>
          </w:tcPr>
          <w:p w14:paraId="0FCA89EC">
            <w:pPr>
              <w:spacing w:line="360" w:lineRule="auto"/>
              <w:jc w:val="center"/>
              <w:rPr>
                <w:rFonts w:hint="eastAsia" w:ascii="宋体" w:hAnsi="宋体" w:cs="宋体"/>
                <w:sz w:val="24"/>
              </w:rPr>
            </w:pPr>
            <w:r>
              <w:rPr>
                <w:rFonts w:hint="eastAsia" w:ascii="宋体" w:hAnsi="宋体" w:cs="宋体"/>
                <w:sz w:val="24"/>
              </w:rPr>
              <w:t>4</w:t>
            </w:r>
          </w:p>
        </w:tc>
        <w:tc>
          <w:tcPr>
            <w:tcW w:w="0" w:type="auto"/>
            <w:tcMar>
              <w:bottom w:w="0" w:type="dxa"/>
            </w:tcMar>
            <w:vAlign w:val="center"/>
          </w:tcPr>
          <w:p w14:paraId="6819D04A">
            <w:pPr>
              <w:spacing w:line="360" w:lineRule="auto"/>
              <w:jc w:val="center"/>
              <w:rPr>
                <w:rFonts w:hint="eastAsia" w:ascii="宋体" w:hAnsi="宋体" w:cs="宋体"/>
                <w:sz w:val="24"/>
              </w:rPr>
            </w:pPr>
            <w:r>
              <w:rPr>
                <w:rFonts w:hint="eastAsia" w:ascii="宋体" w:hAnsi="宋体" w:cs="宋体"/>
                <w:sz w:val="24"/>
              </w:rPr>
              <w:t>区域医学检验中心</w:t>
            </w:r>
          </w:p>
        </w:tc>
        <w:tc>
          <w:tcPr>
            <w:tcW w:w="1381" w:type="dxa"/>
            <w:shd w:val="clear" w:color="auto" w:fill="FFFFFF"/>
            <w:tcMar>
              <w:bottom w:w="0" w:type="dxa"/>
            </w:tcMar>
            <w:vAlign w:val="center"/>
          </w:tcPr>
          <w:p w14:paraId="41589182">
            <w:pPr>
              <w:spacing w:line="360" w:lineRule="auto"/>
              <w:jc w:val="center"/>
              <w:rPr>
                <w:rFonts w:hint="eastAsia" w:ascii="宋体" w:hAnsi="宋体" w:cs="宋体"/>
                <w:sz w:val="24"/>
              </w:rPr>
            </w:pPr>
            <w:r>
              <w:rPr>
                <w:rFonts w:hint="eastAsia" w:ascii="宋体" w:hAnsi="宋体" w:cs="宋体"/>
                <w:color w:val="000000"/>
                <w:sz w:val="24"/>
              </w:rPr>
              <w:t>区域检验中心</w:t>
            </w:r>
          </w:p>
        </w:tc>
        <w:tc>
          <w:tcPr>
            <w:tcW w:w="896" w:type="dxa"/>
            <w:vAlign w:val="center"/>
          </w:tcPr>
          <w:p w14:paraId="7DD2EDE8">
            <w:pPr>
              <w:spacing w:line="360" w:lineRule="auto"/>
              <w:jc w:val="center"/>
              <w:rPr>
                <w:rFonts w:hint="eastAsia" w:ascii="宋体" w:hAnsi="宋体" w:cs="宋体"/>
                <w:sz w:val="24"/>
              </w:rPr>
            </w:pPr>
            <w:r>
              <w:rPr>
                <w:rFonts w:hint="eastAsia" w:ascii="宋体" w:hAnsi="宋体" w:cs="宋体"/>
                <w:sz w:val="24"/>
              </w:rPr>
              <w:t>1</w:t>
            </w:r>
          </w:p>
        </w:tc>
        <w:tc>
          <w:tcPr>
            <w:tcW w:w="2814" w:type="dxa"/>
            <w:vAlign w:val="center"/>
          </w:tcPr>
          <w:p w14:paraId="1FFDDAA3">
            <w:pPr>
              <w:spacing w:line="360" w:lineRule="auto"/>
              <w:jc w:val="center"/>
              <w:rPr>
                <w:rFonts w:hint="eastAsia" w:ascii="宋体" w:hAnsi="宋体" w:cs="宋体"/>
                <w:sz w:val="24"/>
              </w:rPr>
            </w:pPr>
            <w:r>
              <w:rPr>
                <w:rFonts w:hint="eastAsia" w:ascii="宋体" w:hAnsi="宋体" w:cs="宋体"/>
                <w:sz w:val="24"/>
              </w:rPr>
              <w:t>土左旗</w:t>
            </w:r>
          </w:p>
        </w:tc>
        <w:tc>
          <w:tcPr>
            <w:tcW w:w="731" w:type="dxa"/>
            <w:vAlign w:val="center"/>
          </w:tcPr>
          <w:p w14:paraId="68B974B5">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2DBF2743">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1951F136">
            <w:pPr>
              <w:spacing w:line="360" w:lineRule="auto"/>
              <w:jc w:val="center"/>
              <w:rPr>
                <w:rFonts w:hint="eastAsia" w:ascii="宋体" w:hAnsi="宋体" w:cs="宋体"/>
                <w:sz w:val="24"/>
              </w:rPr>
            </w:pPr>
            <w:r>
              <w:rPr>
                <w:rFonts w:hint="eastAsia" w:ascii="宋体" w:hAnsi="宋体" w:cs="宋体"/>
                <w:sz w:val="24"/>
              </w:rPr>
              <w:t>60</w:t>
            </w:r>
          </w:p>
        </w:tc>
      </w:tr>
      <w:tr w14:paraId="13D8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0" w:type="auto"/>
            <w:tcMar>
              <w:bottom w:w="0" w:type="dxa"/>
            </w:tcMar>
            <w:vAlign w:val="center"/>
          </w:tcPr>
          <w:p w14:paraId="37C3F9BA">
            <w:pPr>
              <w:spacing w:line="360" w:lineRule="auto"/>
              <w:jc w:val="center"/>
              <w:rPr>
                <w:rFonts w:hint="eastAsia" w:ascii="宋体" w:hAnsi="宋体" w:cs="宋体"/>
                <w:sz w:val="24"/>
              </w:rPr>
            </w:pPr>
            <w:r>
              <w:rPr>
                <w:rFonts w:hint="eastAsia" w:ascii="宋体" w:hAnsi="宋体" w:cs="宋体"/>
                <w:sz w:val="24"/>
              </w:rPr>
              <w:t>5</w:t>
            </w:r>
          </w:p>
        </w:tc>
        <w:tc>
          <w:tcPr>
            <w:tcW w:w="0" w:type="auto"/>
            <w:tcMar>
              <w:bottom w:w="0" w:type="dxa"/>
            </w:tcMar>
            <w:vAlign w:val="center"/>
          </w:tcPr>
          <w:p w14:paraId="74502677">
            <w:pPr>
              <w:spacing w:line="360" w:lineRule="auto"/>
              <w:jc w:val="center"/>
              <w:rPr>
                <w:rFonts w:hint="eastAsia" w:ascii="宋体" w:hAnsi="宋体" w:cs="宋体"/>
                <w:sz w:val="24"/>
              </w:rPr>
            </w:pPr>
            <w:r>
              <w:rPr>
                <w:rFonts w:hint="eastAsia" w:ascii="宋体" w:hAnsi="宋体" w:cs="宋体"/>
                <w:color w:val="000000"/>
                <w:sz w:val="24"/>
              </w:rPr>
              <w:t>专慢病协同防治系统</w:t>
            </w:r>
          </w:p>
        </w:tc>
        <w:tc>
          <w:tcPr>
            <w:tcW w:w="1381" w:type="dxa"/>
            <w:tcMar>
              <w:bottom w:w="0" w:type="dxa"/>
            </w:tcMar>
            <w:vAlign w:val="center"/>
          </w:tcPr>
          <w:p w14:paraId="41E09186">
            <w:pPr>
              <w:spacing w:line="360" w:lineRule="auto"/>
              <w:jc w:val="center"/>
              <w:rPr>
                <w:rFonts w:hint="eastAsia" w:ascii="宋体" w:hAnsi="宋体" w:cs="宋体"/>
                <w:sz w:val="24"/>
              </w:rPr>
            </w:pPr>
            <w:r>
              <w:rPr>
                <w:rFonts w:hint="eastAsia" w:ascii="宋体" w:hAnsi="宋体" w:cs="宋体"/>
                <w:color w:val="000000"/>
                <w:sz w:val="24"/>
              </w:rPr>
              <w:t>专慢病协同防治系统</w:t>
            </w:r>
          </w:p>
        </w:tc>
        <w:tc>
          <w:tcPr>
            <w:tcW w:w="896" w:type="dxa"/>
            <w:vAlign w:val="center"/>
          </w:tcPr>
          <w:p w14:paraId="5F3BA9E7">
            <w:pPr>
              <w:spacing w:line="360" w:lineRule="auto"/>
              <w:jc w:val="center"/>
              <w:rPr>
                <w:rFonts w:hint="eastAsia" w:ascii="宋体" w:hAnsi="宋体" w:cs="宋体"/>
                <w:sz w:val="24"/>
              </w:rPr>
            </w:pPr>
            <w:r>
              <w:rPr>
                <w:rFonts w:hint="eastAsia" w:ascii="宋体" w:hAnsi="宋体" w:cs="宋体"/>
                <w:sz w:val="24"/>
              </w:rPr>
              <w:t>8</w:t>
            </w:r>
          </w:p>
        </w:tc>
        <w:tc>
          <w:tcPr>
            <w:tcW w:w="2814" w:type="dxa"/>
            <w:vAlign w:val="center"/>
          </w:tcPr>
          <w:p w14:paraId="0EF1F629">
            <w:pPr>
              <w:spacing w:line="360" w:lineRule="auto"/>
              <w:jc w:val="center"/>
              <w:rPr>
                <w:rFonts w:hint="eastAsia" w:ascii="宋体" w:hAnsi="宋体" w:cs="宋体"/>
                <w:sz w:val="24"/>
              </w:rPr>
            </w:pPr>
            <w:r>
              <w:rPr>
                <w:rFonts w:hint="eastAsia" w:ascii="宋体" w:hAnsi="宋体" w:cs="宋体"/>
                <w:sz w:val="24"/>
              </w:rPr>
              <w:t>新城区、回民区、玉泉区、赛罕区、土左旗、和林县、清水河县、武川县</w:t>
            </w:r>
          </w:p>
        </w:tc>
        <w:tc>
          <w:tcPr>
            <w:tcW w:w="731" w:type="dxa"/>
            <w:vAlign w:val="center"/>
          </w:tcPr>
          <w:p w14:paraId="737D444E">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27B25421">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7F525020">
            <w:pPr>
              <w:spacing w:line="360" w:lineRule="auto"/>
              <w:jc w:val="center"/>
              <w:rPr>
                <w:rFonts w:hint="eastAsia" w:ascii="宋体" w:hAnsi="宋体" w:cs="宋体"/>
                <w:sz w:val="24"/>
              </w:rPr>
            </w:pPr>
            <w:r>
              <w:rPr>
                <w:rFonts w:hint="eastAsia" w:ascii="宋体" w:hAnsi="宋体" w:cs="宋体"/>
                <w:sz w:val="24"/>
              </w:rPr>
              <w:t>150</w:t>
            </w:r>
          </w:p>
        </w:tc>
      </w:tr>
      <w:tr w14:paraId="7D4A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Mar>
              <w:bottom w:w="0" w:type="dxa"/>
            </w:tcMar>
            <w:vAlign w:val="center"/>
          </w:tcPr>
          <w:p w14:paraId="7EAA6609">
            <w:pPr>
              <w:spacing w:line="360" w:lineRule="auto"/>
              <w:jc w:val="center"/>
              <w:rPr>
                <w:rFonts w:hint="eastAsia" w:ascii="宋体" w:hAnsi="宋体" w:cs="宋体"/>
                <w:sz w:val="24"/>
              </w:rPr>
            </w:pPr>
            <w:r>
              <w:rPr>
                <w:rFonts w:hint="eastAsia" w:ascii="宋体" w:hAnsi="宋体" w:cs="宋体"/>
                <w:sz w:val="24"/>
              </w:rPr>
              <w:t>6</w:t>
            </w:r>
          </w:p>
        </w:tc>
        <w:tc>
          <w:tcPr>
            <w:tcW w:w="0" w:type="auto"/>
            <w:tcMar>
              <w:bottom w:w="0" w:type="dxa"/>
            </w:tcMar>
            <w:vAlign w:val="center"/>
          </w:tcPr>
          <w:p w14:paraId="6A196B4A">
            <w:pPr>
              <w:spacing w:line="360" w:lineRule="auto"/>
              <w:jc w:val="center"/>
              <w:rPr>
                <w:rFonts w:hint="eastAsia" w:ascii="宋体" w:hAnsi="宋体" w:cs="宋体"/>
                <w:sz w:val="24"/>
              </w:rPr>
            </w:pPr>
            <w:r>
              <w:rPr>
                <w:rFonts w:hint="eastAsia" w:ascii="宋体" w:hAnsi="宋体" w:cs="宋体"/>
                <w:color w:val="000000"/>
                <w:sz w:val="24"/>
              </w:rPr>
              <w:t>云体检（区域体检）</w:t>
            </w:r>
          </w:p>
        </w:tc>
        <w:tc>
          <w:tcPr>
            <w:tcW w:w="1381" w:type="dxa"/>
            <w:shd w:val="clear" w:color="auto" w:fill="FFFFFF"/>
            <w:tcMar>
              <w:bottom w:w="0" w:type="dxa"/>
            </w:tcMar>
            <w:vAlign w:val="center"/>
          </w:tcPr>
          <w:p w14:paraId="6C35F82E">
            <w:pPr>
              <w:spacing w:line="360" w:lineRule="auto"/>
              <w:jc w:val="center"/>
              <w:rPr>
                <w:rFonts w:hint="eastAsia" w:ascii="宋体" w:hAnsi="宋体" w:cs="宋体"/>
                <w:sz w:val="24"/>
              </w:rPr>
            </w:pPr>
            <w:r>
              <w:rPr>
                <w:rFonts w:hint="eastAsia" w:ascii="宋体" w:hAnsi="宋体" w:cs="宋体"/>
                <w:color w:val="000000"/>
                <w:sz w:val="24"/>
              </w:rPr>
              <w:t>云体检（区域体检）</w:t>
            </w:r>
          </w:p>
        </w:tc>
        <w:tc>
          <w:tcPr>
            <w:tcW w:w="896" w:type="dxa"/>
            <w:vAlign w:val="center"/>
          </w:tcPr>
          <w:p w14:paraId="6D7EF80A">
            <w:pPr>
              <w:spacing w:line="360" w:lineRule="auto"/>
              <w:jc w:val="center"/>
              <w:rPr>
                <w:rFonts w:hint="eastAsia" w:ascii="宋体" w:hAnsi="宋体" w:cs="宋体"/>
                <w:color w:val="000000"/>
                <w:sz w:val="24"/>
              </w:rPr>
            </w:pPr>
            <w:r>
              <w:rPr>
                <w:rFonts w:hint="eastAsia" w:ascii="宋体" w:hAnsi="宋体" w:cs="宋体"/>
                <w:color w:val="000000"/>
                <w:sz w:val="24"/>
              </w:rPr>
              <w:t>9</w:t>
            </w:r>
          </w:p>
        </w:tc>
        <w:tc>
          <w:tcPr>
            <w:tcW w:w="2814" w:type="dxa"/>
            <w:vAlign w:val="center"/>
          </w:tcPr>
          <w:p w14:paraId="3AFE973D">
            <w:pPr>
              <w:spacing w:line="360" w:lineRule="auto"/>
              <w:jc w:val="center"/>
              <w:rPr>
                <w:rFonts w:hint="eastAsia" w:ascii="宋体" w:hAnsi="宋体" w:cs="宋体"/>
                <w:sz w:val="24"/>
              </w:rPr>
            </w:pPr>
            <w:r>
              <w:rPr>
                <w:rFonts w:hint="eastAsia" w:ascii="宋体" w:hAnsi="宋体" w:cs="宋体"/>
                <w:color w:val="000000"/>
                <w:sz w:val="24"/>
              </w:rPr>
              <w:t>新城区、回民区、玉泉区、赛罕区、土左旗、托克托县、和林县、清水河县、武川县</w:t>
            </w:r>
          </w:p>
        </w:tc>
        <w:tc>
          <w:tcPr>
            <w:tcW w:w="731" w:type="dxa"/>
            <w:vAlign w:val="center"/>
          </w:tcPr>
          <w:p w14:paraId="53FCBF86">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224C52A5">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650B4B0C">
            <w:pPr>
              <w:spacing w:line="360" w:lineRule="auto"/>
              <w:jc w:val="center"/>
              <w:rPr>
                <w:rFonts w:hint="eastAsia" w:ascii="宋体" w:hAnsi="宋体" w:cs="宋体"/>
                <w:sz w:val="24"/>
              </w:rPr>
            </w:pPr>
            <w:r>
              <w:rPr>
                <w:rFonts w:hint="eastAsia" w:ascii="宋体" w:hAnsi="宋体" w:cs="宋体"/>
                <w:sz w:val="24"/>
              </w:rPr>
              <w:t>159.4</w:t>
            </w:r>
          </w:p>
        </w:tc>
      </w:tr>
      <w:tr w14:paraId="006D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Mar>
              <w:bottom w:w="0" w:type="dxa"/>
            </w:tcMar>
            <w:vAlign w:val="center"/>
          </w:tcPr>
          <w:p w14:paraId="3F726E3D">
            <w:pPr>
              <w:spacing w:line="360" w:lineRule="auto"/>
              <w:jc w:val="center"/>
              <w:rPr>
                <w:rFonts w:hint="eastAsia" w:ascii="宋体" w:hAnsi="宋体" w:cs="宋体"/>
                <w:sz w:val="24"/>
              </w:rPr>
            </w:pPr>
            <w:r>
              <w:rPr>
                <w:rFonts w:hint="eastAsia" w:ascii="宋体" w:hAnsi="宋体" w:cs="宋体"/>
                <w:sz w:val="24"/>
              </w:rPr>
              <w:t>7</w:t>
            </w:r>
          </w:p>
        </w:tc>
        <w:tc>
          <w:tcPr>
            <w:tcW w:w="0" w:type="auto"/>
            <w:tcMar>
              <w:bottom w:w="0" w:type="dxa"/>
            </w:tcMar>
            <w:vAlign w:val="center"/>
          </w:tcPr>
          <w:p w14:paraId="23FBFDE4">
            <w:pPr>
              <w:spacing w:line="360" w:lineRule="auto"/>
              <w:jc w:val="center"/>
              <w:rPr>
                <w:rFonts w:hint="eastAsia" w:ascii="宋体" w:hAnsi="宋体" w:cs="宋体"/>
                <w:sz w:val="24"/>
              </w:rPr>
            </w:pPr>
            <w:r>
              <w:rPr>
                <w:rFonts w:hint="eastAsia" w:ascii="宋体" w:hAnsi="宋体" w:cs="宋体"/>
                <w:color w:val="000000"/>
                <w:sz w:val="24"/>
              </w:rPr>
              <w:t>区域卫生决策支持</w:t>
            </w:r>
          </w:p>
        </w:tc>
        <w:tc>
          <w:tcPr>
            <w:tcW w:w="1381" w:type="dxa"/>
            <w:tcMar>
              <w:bottom w:w="0" w:type="dxa"/>
            </w:tcMar>
            <w:vAlign w:val="center"/>
          </w:tcPr>
          <w:p w14:paraId="1547E49B">
            <w:pPr>
              <w:spacing w:line="360" w:lineRule="auto"/>
              <w:jc w:val="center"/>
              <w:rPr>
                <w:rFonts w:hint="eastAsia" w:ascii="宋体" w:hAnsi="宋体" w:cs="宋体"/>
                <w:sz w:val="24"/>
              </w:rPr>
            </w:pPr>
            <w:r>
              <w:rPr>
                <w:rFonts w:hint="eastAsia" w:ascii="宋体" w:hAnsi="宋体" w:cs="宋体"/>
                <w:color w:val="000000"/>
                <w:sz w:val="24"/>
              </w:rPr>
              <w:t>区域卫生决策支持</w:t>
            </w:r>
          </w:p>
        </w:tc>
        <w:tc>
          <w:tcPr>
            <w:tcW w:w="896" w:type="dxa"/>
            <w:vAlign w:val="center"/>
          </w:tcPr>
          <w:p w14:paraId="0219BA72">
            <w:pPr>
              <w:spacing w:line="360" w:lineRule="auto"/>
              <w:jc w:val="center"/>
              <w:rPr>
                <w:rFonts w:hint="eastAsia" w:ascii="宋体" w:hAnsi="宋体" w:cs="宋体"/>
                <w:sz w:val="24"/>
              </w:rPr>
            </w:pPr>
            <w:r>
              <w:rPr>
                <w:rFonts w:hint="eastAsia" w:ascii="宋体" w:hAnsi="宋体" w:cs="宋体"/>
                <w:sz w:val="24"/>
              </w:rPr>
              <w:t>6</w:t>
            </w:r>
          </w:p>
        </w:tc>
        <w:tc>
          <w:tcPr>
            <w:tcW w:w="2814" w:type="dxa"/>
            <w:vAlign w:val="center"/>
          </w:tcPr>
          <w:p w14:paraId="30125A5E">
            <w:pPr>
              <w:spacing w:line="360" w:lineRule="auto"/>
              <w:jc w:val="center"/>
              <w:rPr>
                <w:rFonts w:hint="eastAsia" w:ascii="宋体" w:hAnsi="宋体" w:cs="宋体"/>
                <w:sz w:val="24"/>
              </w:rPr>
            </w:pPr>
            <w:r>
              <w:rPr>
                <w:rFonts w:hint="eastAsia" w:ascii="宋体" w:hAnsi="宋体" w:cs="宋体"/>
                <w:sz w:val="24"/>
              </w:rPr>
              <w:t>新城区、回民区、玉泉区、赛罕区、土左旗、和林县</w:t>
            </w:r>
          </w:p>
        </w:tc>
        <w:tc>
          <w:tcPr>
            <w:tcW w:w="731" w:type="dxa"/>
            <w:vAlign w:val="center"/>
          </w:tcPr>
          <w:p w14:paraId="4B218F68">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61876FA8">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23D368EF">
            <w:pPr>
              <w:spacing w:line="360" w:lineRule="auto"/>
              <w:jc w:val="center"/>
              <w:rPr>
                <w:rFonts w:hint="eastAsia" w:ascii="宋体" w:hAnsi="宋体" w:cs="宋体"/>
                <w:sz w:val="24"/>
              </w:rPr>
            </w:pPr>
            <w:r>
              <w:rPr>
                <w:rFonts w:hint="eastAsia" w:ascii="宋体" w:hAnsi="宋体" w:cs="宋体"/>
                <w:sz w:val="24"/>
              </w:rPr>
              <w:t>108.6</w:t>
            </w:r>
          </w:p>
        </w:tc>
      </w:tr>
      <w:tr w14:paraId="3EEB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0" w:type="auto"/>
            <w:tcMar>
              <w:bottom w:w="0" w:type="dxa"/>
            </w:tcMar>
            <w:vAlign w:val="center"/>
          </w:tcPr>
          <w:p w14:paraId="7DC9E3FC">
            <w:pPr>
              <w:spacing w:line="360" w:lineRule="auto"/>
              <w:jc w:val="center"/>
              <w:rPr>
                <w:rFonts w:hint="eastAsia" w:ascii="宋体" w:hAnsi="宋体" w:cs="宋体"/>
                <w:color w:val="000000"/>
                <w:sz w:val="24"/>
              </w:rPr>
            </w:pPr>
            <w:r>
              <w:rPr>
                <w:rFonts w:hint="eastAsia" w:ascii="宋体" w:hAnsi="宋体" w:cs="宋体"/>
                <w:color w:val="000000"/>
                <w:sz w:val="24"/>
              </w:rPr>
              <w:t>8</w:t>
            </w:r>
          </w:p>
        </w:tc>
        <w:tc>
          <w:tcPr>
            <w:tcW w:w="0" w:type="auto"/>
            <w:tcMar>
              <w:bottom w:w="0" w:type="dxa"/>
            </w:tcMar>
            <w:vAlign w:val="center"/>
          </w:tcPr>
          <w:p w14:paraId="453C2DB6">
            <w:pPr>
              <w:spacing w:line="360" w:lineRule="auto"/>
              <w:jc w:val="center"/>
              <w:rPr>
                <w:rFonts w:hint="eastAsia" w:ascii="宋体" w:hAnsi="宋体" w:cs="宋体"/>
                <w:color w:val="000000"/>
                <w:sz w:val="24"/>
              </w:rPr>
            </w:pPr>
            <w:r>
              <w:rPr>
                <w:rFonts w:hint="eastAsia" w:ascii="宋体" w:hAnsi="宋体" w:cs="宋体"/>
                <w:color w:val="000000"/>
                <w:sz w:val="24"/>
              </w:rPr>
              <w:t>医共体运营管理系统</w:t>
            </w:r>
          </w:p>
        </w:tc>
        <w:tc>
          <w:tcPr>
            <w:tcW w:w="1381" w:type="dxa"/>
            <w:shd w:val="clear" w:color="auto" w:fill="auto"/>
            <w:tcMar>
              <w:bottom w:w="0" w:type="dxa"/>
            </w:tcMar>
            <w:vAlign w:val="center"/>
          </w:tcPr>
          <w:p w14:paraId="30B28B8A">
            <w:pPr>
              <w:spacing w:line="360" w:lineRule="auto"/>
              <w:jc w:val="center"/>
              <w:rPr>
                <w:rFonts w:hint="eastAsia" w:ascii="宋体" w:hAnsi="宋体" w:cs="宋体"/>
                <w:color w:val="000000"/>
                <w:sz w:val="24"/>
              </w:rPr>
            </w:pPr>
            <w:r>
              <w:rPr>
                <w:rFonts w:hint="eastAsia" w:ascii="宋体" w:hAnsi="宋体" w:cs="宋体"/>
                <w:color w:val="000000"/>
                <w:sz w:val="24"/>
              </w:rPr>
              <w:t>医共体运营管理系统</w:t>
            </w:r>
          </w:p>
        </w:tc>
        <w:tc>
          <w:tcPr>
            <w:tcW w:w="896" w:type="dxa"/>
            <w:vAlign w:val="center"/>
          </w:tcPr>
          <w:p w14:paraId="4CA0009A">
            <w:pPr>
              <w:spacing w:line="360" w:lineRule="auto"/>
              <w:jc w:val="center"/>
              <w:rPr>
                <w:rFonts w:hint="eastAsia" w:ascii="宋体" w:hAnsi="宋体" w:cs="宋体"/>
                <w:sz w:val="24"/>
              </w:rPr>
            </w:pPr>
            <w:r>
              <w:rPr>
                <w:rFonts w:hint="eastAsia" w:ascii="宋体" w:hAnsi="宋体" w:cs="宋体"/>
                <w:sz w:val="24"/>
              </w:rPr>
              <w:t>6</w:t>
            </w:r>
          </w:p>
        </w:tc>
        <w:tc>
          <w:tcPr>
            <w:tcW w:w="2814" w:type="dxa"/>
            <w:vAlign w:val="center"/>
          </w:tcPr>
          <w:p w14:paraId="3143FB1F">
            <w:pPr>
              <w:spacing w:line="360" w:lineRule="auto"/>
              <w:jc w:val="center"/>
              <w:rPr>
                <w:rFonts w:hint="eastAsia" w:ascii="宋体" w:hAnsi="宋体" w:cs="宋体"/>
                <w:sz w:val="24"/>
              </w:rPr>
            </w:pPr>
            <w:r>
              <w:rPr>
                <w:rFonts w:hint="eastAsia" w:ascii="宋体" w:hAnsi="宋体" w:cs="宋体"/>
                <w:sz w:val="24"/>
              </w:rPr>
              <w:t>新城区、回民区、玉泉区、赛罕区、土左旗、和林县</w:t>
            </w:r>
          </w:p>
        </w:tc>
        <w:tc>
          <w:tcPr>
            <w:tcW w:w="731" w:type="dxa"/>
            <w:vAlign w:val="center"/>
          </w:tcPr>
          <w:p w14:paraId="1805B2AD">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2DA4453B">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1200AC9F">
            <w:pPr>
              <w:spacing w:line="360" w:lineRule="auto"/>
              <w:jc w:val="center"/>
              <w:rPr>
                <w:rFonts w:hint="eastAsia" w:ascii="宋体" w:hAnsi="宋体" w:cs="宋体"/>
                <w:sz w:val="24"/>
              </w:rPr>
            </w:pPr>
            <w:r>
              <w:rPr>
                <w:rFonts w:hint="eastAsia" w:ascii="宋体" w:hAnsi="宋体" w:cs="宋体"/>
                <w:sz w:val="24"/>
              </w:rPr>
              <w:t>132</w:t>
            </w:r>
          </w:p>
        </w:tc>
      </w:tr>
      <w:tr w14:paraId="2AC0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tcMar>
              <w:bottom w:w="0" w:type="dxa"/>
            </w:tcMar>
            <w:vAlign w:val="center"/>
          </w:tcPr>
          <w:p w14:paraId="5A97396F">
            <w:pPr>
              <w:spacing w:line="360" w:lineRule="auto"/>
              <w:jc w:val="center"/>
              <w:rPr>
                <w:rFonts w:hint="eastAsia" w:ascii="宋体" w:hAnsi="宋体" w:cs="宋体"/>
                <w:sz w:val="24"/>
              </w:rPr>
            </w:pPr>
            <w:r>
              <w:rPr>
                <w:rFonts w:hint="eastAsia" w:ascii="宋体" w:hAnsi="宋体" w:cs="宋体"/>
                <w:sz w:val="24"/>
              </w:rPr>
              <w:t>9</w:t>
            </w:r>
          </w:p>
        </w:tc>
        <w:tc>
          <w:tcPr>
            <w:tcW w:w="0" w:type="auto"/>
            <w:tcMar>
              <w:bottom w:w="0" w:type="dxa"/>
            </w:tcMar>
            <w:vAlign w:val="center"/>
          </w:tcPr>
          <w:p w14:paraId="76832C5D">
            <w:pPr>
              <w:spacing w:line="360" w:lineRule="auto"/>
              <w:jc w:val="center"/>
              <w:rPr>
                <w:rFonts w:hint="eastAsia" w:ascii="宋体" w:hAnsi="宋体" w:cs="宋体"/>
                <w:sz w:val="24"/>
              </w:rPr>
            </w:pPr>
            <w:r>
              <w:rPr>
                <w:rFonts w:hint="eastAsia" w:ascii="宋体" w:hAnsi="宋体" w:cs="宋体"/>
                <w:color w:val="000000"/>
                <w:sz w:val="24"/>
              </w:rPr>
              <w:t>数据集成系统</w:t>
            </w:r>
          </w:p>
        </w:tc>
        <w:tc>
          <w:tcPr>
            <w:tcW w:w="1381" w:type="dxa"/>
            <w:shd w:val="clear" w:color="auto" w:fill="FFFFFF"/>
            <w:tcMar>
              <w:bottom w:w="0" w:type="dxa"/>
            </w:tcMar>
            <w:vAlign w:val="center"/>
          </w:tcPr>
          <w:p w14:paraId="2149F235">
            <w:pPr>
              <w:spacing w:line="360" w:lineRule="auto"/>
              <w:jc w:val="center"/>
              <w:rPr>
                <w:rFonts w:hint="eastAsia" w:ascii="宋体" w:hAnsi="宋体" w:cs="宋体"/>
                <w:sz w:val="24"/>
              </w:rPr>
            </w:pPr>
            <w:r>
              <w:rPr>
                <w:rFonts w:hint="eastAsia" w:ascii="宋体" w:hAnsi="宋体" w:cs="宋体"/>
                <w:color w:val="000000"/>
                <w:sz w:val="24"/>
              </w:rPr>
              <w:t>数据集成系统</w:t>
            </w:r>
          </w:p>
        </w:tc>
        <w:tc>
          <w:tcPr>
            <w:tcW w:w="896" w:type="dxa"/>
            <w:vAlign w:val="center"/>
          </w:tcPr>
          <w:p w14:paraId="2CDDB000">
            <w:pPr>
              <w:spacing w:line="360" w:lineRule="auto"/>
              <w:jc w:val="center"/>
              <w:rPr>
                <w:rFonts w:hint="eastAsia" w:ascii="宋体" w:hAnsi="宋体" w:cs="宋体"/>
                <w:sz w:val="24"/>
              </w:rPr>
            </w:pPr>
            <w:r>
              <w:rPr>
                <w:rFonts w:hint="eastAsia" w:ascii="宋体" w:hAnsi="宋体" w:cs="宋体"/>
                <w:sz w:val="24"/>
              </w:rPr>
              <w:t>6</w:t>
            </w:r>
          </w:p>
        </w:tc>
        <w:tc>
          <w:tcPr>
            <w:tcW w:w="2814" w:type="dxa"/>
            <w:vAlign w:val="center"/>
          </w:tcPr>
          <w:p w14:paraId="4FB5B42F">
            <w:pPr>
              <w:spacing w:line="360" w:lineRule="auto"/>
              <w:jc w:val="center"/>
              <w:rPr>
                <w:rFonts w:hint="eastAsia" w:ascii="宋体" w:hAnsi="宋体" w:cs="宋体"/>
                <w:sz w:val="24"/>
              </w:rPr>
            </w:pPr>
            <w:r>
              <w:rPr>
                <w:rFonts w:hint="eastAsia" w:ascii="宋体" w:hAnsi="宋体" w:cs="宋体"/>
                <w:sz w:val="24"/>
              </w:rPr>
              <w:t>新城区、回民区、玉泉区、赛罕区、土左旗、和林县</w:t>
            </w:r>
          </w:p>
        </w:tc>
        <w:tc>
          <w:tcPr>
            <w:tcW w:w="731" w:type="dxa"/>
            <w:vAlign w:val="center"/>
          </w:tcPr>
          <w:p w14:paraId="08CE5428">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6E7F3747">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21789A34">
            <w:pPr>
              <w:spacing w:line="360" w:lineRule="auto"/>
              <w:jc w:val="center"/>
              <w:rPr>
                <w:rFonts w:hint="eastAsia" w:ascii="宋体" w:hAnsi="宋体" w:cs="宋体"/>
                <w:sz w:val="24"/>
              </w:rPr>
            </w:pPr>
            <w:r>
              <w:rPr>
                <w:rFonts w:hint="eastAsia" w:ascii="宋体" w:hAnsi="宋体" w:cs="宋体"/>
                <w:sz w:val="24"/>
              </w:rPr>
              <w:t>155</w:t>
            </w:r>
          </w:p>
        </w:tc>
      </w:tr>
      <w:tr w14:paraId="1D76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Mar>
              <w:bottom w:w="0" w:type="dxa"/>
            </w:tcMar>
            <w:vAlign w:val="center"/>
          </w:tcPr>
          <w:p w14:paraId="34950CF5">
            <w:pPr>
              <w:spacing w:line="360" w:lineRule="auto"/>
              <w:jc w:val="center"/>
              <w:rPr>
                <w:rFonts w:hint="eastAsia" w:ascii="宋体" w:hAnsi="宋体" w:cs="宋体"/>
                <w:sz w:val="24"/>
              </w:rPr>
            </w:pPr>
            <w:r>
              <w:rPr>
                <w:rFonts w:hint="eastAsia" w:ascii="宋体" w:hAnsi="宋体" w:cs="宋体"/>
                <w:sz w:val="24"/>
              </w:rPr>
              <w:t>10</w:t>
            </w:r>
          </w:p>
        </w:tc>
        <w:tc>
          <w:tcPr>
            <w:tcW w:w="0" w:type="auto"/>
            <w:tcMar>
              <w:bottom w:w="0" w:type="dxa"/>
            </w:tcMar>
            <w:vAlign w:val="center"/>
          </w:tcPr>
          <w:p w14:paraId="551EEB7E">
            <w:pPr>
              <w:spacing w:line="360" w:lineRule="auto"/>
              <w:jc w:val="center"/>
              <w:rPr>
                <w:rFonts w:hint="eastAsia" w:ascii="宋体" w:hAnsi="宋体" w:cs="宋体"/>
                <w:sz w:val="24"/>
              </w:rPr>
            </w:pPr>
            <w:r>
              <w:rPr>
                <w:rFonts w:hint="eastAsia" w:ascii="宋体" w:hAnsi="宋体" w:cs="宋体"/>
                <w:sz w:val="24"/>
              </w:rPr>
              <w:t>数据资源系统</w:t>
            </w:r>
          </w:p>
        </w:tc>
        <w:tc>
          <w:tcPr>
            <w:tcW w:w="1381" w:type="dxa"/>
            <w:tcMar>
              <w:bottom w:w="0" w:type="dxa"/>
            </w:tcMar>
            <w:vAlign w:val="center"/>
          </w:tcPr>
          <w:p w14:paraId="1E3D2E79">
            <w:pPr>
              <w:spacing w:line="360" w:lineRule="auto"/>
              <w:jc w:val="center"/>
              <w:rPr>
                <w:rFonts w:hint="eastAsia" w:ascii="宋体" w:hAnsi="宋体" w:cs="宋体"/>
                <w:color w:val="000000"/>
                <w:sz w:val="24"/>
              </w:rPr>
            </w:pPr>
            <w:r>
              <w:rPr>
                <w:rFonts w:hint="eastAsia" w:ascii="宋体" w:hAnsi="宋体" w:cs="宋体"/>
                <w:sz w:val="24"/>
              </w:rPr>
              <w:t>数据资源系统</w:t>
            </w:r>
          </w:p>
        </w:tc>
        <w:tc>
          <w:tcPr>
            <w:tcW w:w="896" w:type="dxa"/>
            <w:vAlign w:val="center"/>
          </w:tcPr>
          <w:p w14:paraId="2C2C8870">
            <w:pPr>
              <w:spacing w:line="360" w:lineRule="auto"/>
              <w:jc w:val="center"/>
              <w:rPr>
                <w:rFonts w:hint="eastAsia" w:ascii="宋体" w:hAnsi="宋体" w:cs="宋体"/>
                <w:sz w:val="24"/>
              </w:rPr>
            </w:pPr>
            <w:r>
              <w:rPr>
                <w:rFonts w:hint="eastAsia" w:ascii="宋体" w:hAnsi="宋体" w:cs="宋体"/>
                <w:sz w:val="24"/>
              </w:rPr>
              <w:t>6</w:t>
            </w:r>
          </w:p>
        </w:tc>
        <w:tc>
          <w:tcPr>
            <w:tcW w:w="2814" w:type="dxa"/>
            <w:vAlign w:val="center"/>
          </w:tcPr>
          <w:p w14:paraId="437AF82B">
            <w:pPr>
              <w:spacing w:line="360" w:lineRule="auto"/>
              <w:jc w:val="center"/>
              <w:rPr>
                <w:rFonts w:hint="eastAsia" w:ascii="宋体" w:hAnsi="宋体" w:cs="宋体"/>
                <w:sz w:val="24"/>
              </w:rPr>
            </w:pPr>
            <w:r>
              <w:rPr>
                <w:rFonts w:hint="eastAsia" w:ascii="宋体" w:hAnsi="宋体" w:cs="宋体"/>
                <w:sz w:val="24"/>
              </w:rPr>
              <w:t>新城区、回民区、玉泉区、赛罕区、土左旗、和林县</w:t>
            </w:r>
          </w:p>
        </w:tc>
        <w:tc>
          <w:tcPr>
            <w:tcW w:w="731" w:type="dxa"/>
            <w:vAlign w:val="center"/>
          </w:tcPr>
          <w:p w14:paraId="5F8F6E66">
            <w:pPr>
              <w:spacing w:line="360" w:lineRule="auto"/>
              <w:jc w:val="center"/>
              <w:rPr>
                <w:rFonts w:hint="eastAsia" w:ascii="宋体" w:hAnsi="宋体" w:cs="宋体"/>
                <w:sz w:val="24"/>
              </w:rPr>
            </w:pPr>
            <w:r>
              <w:rPr>
                <w:rFonts w:hint="eastAsia" w:ascii="宋体" w:hAnsi="宋体" w:cs="宋体"/>
                <w:sz w:val="24"/>
              </w:rPr>
              <w:t>1</w:t>
            </w:r>
          </w:p>
        </w:tc>
        <w:tc>
          <w:tcPr>
            <w:tcW w:w="579" w:type="dxa"/>
            <w:vAlign w:val="center"/>
          </w:tcPr>
          <w:p w14:paraId="1C8B24A9">
            <w:pPr>
              <w:spacing w:line="360" w:lineRule="auto"/>
              <w:jc w:val="center"/>
              <w:rPr>
                <w:rFonts w:hint="eastAsia" w:ascii="宋体" w:hAnsi="宋体" w:cs="宋体"/>
                <w:sz w:val="24"/>
              </w:rPr>
            </w:pPr>
            <w:r>
              <w:rPr>
                <w:rFonts w:hint="eastAsia" w:ascii="宋体" w:hAnsi="宋体" w:cs="宋体"/>
                <w:sz w:val="24"/>
              </w:rPr>
              <w:t>套</w:t>
            </w:r>
          </w:p>
        </w:tc>
        <w:tc>
          <w:tcPr>
            <w:tcW w:w="1431" w:type="dxa"/>
            <w:vAlign w:val="center"/>
          </w:tcPr>
          <w:p w14:paraId="210A2690">
            <w:pPr>
              <w:spacing w:line="360" w:lineRule="auto"/>
              <w:jc w:val="center"/>
              <w:rPr>
                <w:rFonts w:hint="eastAsia" w:ascii="宋体" w:hAnsi="宋体" w:cs="宋体"/>
                <w:sz w:val="24"/>
              </w:rPr>
            </w:pPr>
            <w:r>
              <w:rPr>
                <w:rFonts w:hint="eastAsia" w:ascii="宋体" w:hAnsi="宋体" w:cs="宋体"/>
                <w:sz w:val="24"/>
              </w:rPr>
              <w:t>110</w:t>
            </w:r>
          </w:p>
        </w:tc>
      </w:tr>
      <w:tr w14:paraId="67C7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39" w:type="dxa"/>
            <w:gridSpan w:val="7"/>
            <w:tcMar>
              <w:bottom w:w="0" w:type="dxa"/>
            </w:tcMar>
            <w:vAlign w:val="center"/>
          </w:tcPr>
          <w:p w14:paraId="56E3CFE8">
            <w:pPr>
              <w:spacing w:line="360" w:lineRule="auto"/>
              <w:jc w:val="center"/>
              <w:rPr>
                <w:rFonts w:hint="eastAsia" w:ascii="宋体" w:hAnsi="宋体" w:cs="宋体"/>
                <w:sz w:val="24"/>
              </w:rPr>
            </w:pPr>
            <w:r>
              <w:rPr>
                <w:rFonts w:hint="eastAsia" w:ascii="宋体" w:hAnsi="宋体" w:cs="宋体"/>
                <w:sz w:val="24"/>
              </w:rPr>
              <w:t>合计</w:t>
            </w:r>
          </w:p>
        </w:tc>
        <w:tc>
          <w:tcPr>
            <w:tcW w:w="1431" w:type="dxa"/>
            <w:vAlign w:val="center"/>
          </w:tcPr>
          <w:p w14:paraId="7CABD995">
            <w:pPr>
              <w:spacing w:line="360" w:lineRule="auto"/>
              <w:jc w:val="center"/>
              <w:rPr>
                <w:rFonts w:hint="eastAsia" w:ascii="宋体" w:hAnsi="宋体" w:cs="宋体"/>
                <w:sz w:val="24"/>
              </w:rPr>
            </w:pPr>
            <w:r>
              <w:rPr>
                <w:rFonts w:hint="eastAsia" w:ascii="宋体" w:hAnsi="宋体" w:cs="宋体"/>
                <w:sz w:val="24"/>
              </w:rPr>
              <w:t>1450</w:t>
            </w:r>
          </w:p>
        </w:tc>
      </w:tr>
    </w:tbl>
    <w:p w14:paraId="60555EEF">
      <w:pPr>
        <w:spacing w:line="360" w:lineRule="auto"/>
        <w:rPr>
          <w:rFonts w:hint="eastAsia" w:ascii="宋体" w:hAnsi="宋体" w:cs="宋体"/>
          <w:b/>
          <w:bCs/>
          <w:sz w:val="24"/>
        </w:rPr>
      </w:pPr>
      <w:r>
        <w:rPr>
          <w:rFonts w:hint="eastAsia" w:ascii="宋体" w:hAnsi="宋体" w:cs="宋体"/>
          <w:b/>
          <w:bCs/>
          <w:sz w:val="24"/>
        </w:rPr>
        <w:br w:type="page"/>
      </w:r>
    </w:p>
    <w:p w14:paraId="0062FC99">
      <w:pPr>
        <w:spacing w:line="360" w:lineRule="auto"/>
        <w:jc w:val="left"/>
        <w:rPr>
          <w:rFonts w:hint="eastAsia" w:hAnsi="宋体" w:cs="宋体"/>
          <w:b/>
          <w:szCs w:val="24"/>
        </w:rPr>
      </w:pPr>
      <w:bookmarkStart w:id="3" w:name="_Toc187017161"/>
      <w:r>
        <w:rPr>
          <w:rFonts w:hint="eastAsia" w:ascii="宋体" w:hAnsi="宋体" w:cs="宋体"/>
          <w:b/>
          <w:bCs/>
          <w:sz w:val="32"/>
          <w:szCs w:val="32"/>
        </w:rPr>
        <w:t>四、总体要求</w:t>
      </w:r>
      <w:bookmarkEnd w:id="3"/>
    </w:p>
    <w:p w14:paraId="70812B55">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sz w:val="24"/>
        </w:rPr>
        <w:t>要求投标人在项目建设期间严格遵循ISO相关质量管理要求，ISO标准是指国际化标准组织制定的标准，对项目整体建设质量管理具有促进作用，保证整个项目建设质量，能够有效地推动工作。</w:t>
      </w:r>
    </w:p>
    <w:p w14:paraId="26684D19">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sz w:val="24"/>
        </w:rPr>
        <w:t>要求投标人具备较强的产品自主研发能力，有利于促进项目信息基础设施、软件系统安全及业务连续性，保障项目设计、研发、实施、运维、数据处理、测评等服务。</w:t>
      </w:r>
    </w:p>
    <w:p w14:paraId="0A628BA1">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sz w:val="24"/>
        </w:rPr>
        <w:t>要求投标人提供的云体检（区域体检）、区域卫生决策支持、数据交换平台、数据质量监管平台等此次建设的核心系统应响应国家信创战略，支持国产化数据库适配，确保应用系统和数据库长期稳定、安全运行；在国产操作系统下部署不影响性能，系统安全性高、稳定性好、扩展性强。</w:t>
      </w:r>
    </w:p>
    <w:p w14:paraId="01936746">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sz w:val="24"/>
        </w:rPr>
        <w:t>要求投标人具有丰富的与异构系统的医疗卫生机构对接和集成能力，具备短期内完成大量医疗卫生机构数据对接与集成的经验。</w:t>
      </w:r>
    </w:p>
    <w:p w14:paraId="0EED9C5C">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sz w:val="24"/>
        </w:rPr>
        <w:t>为保障项目建设的可扩展性，此次项目建设以国家医疗健康信息互联互通标准化成熟度（区域级）评测为标准，要求投标人有类似项目通过国家医疗健康信息互联互通标准化成熟度测评四级及以上的建设经验。</w:t>
      </w:r>
    </w:p>
    <w:p w14:paraId="4C94242E">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sz w:val="24"/>
        </w:rPr>
        <w:t>要求投标人针对本项目提供完善、周到的售后服务方案、培训计划、实施推广计划等，确保以优质的服务为目标，促进医疗信息化建设的发展，保证项目成果的有效接收和学习，有利于后续工作计划的推广。</w:t>
      </w:r>
    </w:p>
    <w:p w14:paraId="6A3CC4E0">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bCs/>
          <w:sz w:val="24"/>
        </w:rPr>
        <w:t>项目实施要求</w:t>
      </w:r>
      <w:r>
        <w:rPr>
          <w:rFonts w:hint="eastAsia" w:ascii="宋体" w:hAnsi="宋体" w:cs="宋体"/>
          <w:sz w:val="24"/>
        </w:rPr>
        <w:t>：为确保项目能够迅速响应，本项目要求所有系统必须在合同签订后的7个月内完成开发、测试、部署及上线工作，并实现全面投入使用，且项目上线实施阶段，需提供不少于</w:t>
      </w:r>
      <w:r>
        <w:rPr>
          <w:rFonts w:hint="eastAsia" w:ascii="宋体" w:hAnsi="宋体" w:cs="宋体"/>
          <w:sz w:val="24"/>
          <w:lang w:val="en-US" w:eastAsia="zh-CN"/>
        </w:rPr>
        <w:t>15</w:t>
      </w:r>
      <w:r>
        <w:rPr>
          <w:rFonts w:hint="eastAsia" w:ascii="宋体" w:hAnsi="宋体" w:cs="宋体"/>
          <w:sz w:val="24"/>
        </w:rPr>
        <w:t>人的项目实施团队，以确保项目按时按质完成，及时发挥效益。</w:t>
      </w:r>
    </w:p>
    <w:p w14:paraId="3859A489">
      <w:pPr>
        <w:numPr>
          <w:ilvl w:val="0"/>
          <w:numId w:val="2"/>
        </w:numPr>
        <w:spacing w:line="360" w:lineRule="auto"/>
        <w:ind w:left="425" w:leftChars="0" w:hanging="425" w:firstLineChars="0"/>
        <w:rPr>
          <w:rFonts w:hint="eastAsia" w:ascii="宋体" w:hAnsi="宋体" w:cs="宋体"/>
          <w:sz w:val="24"/>
        </w:rPr>
      </w:pPr>
      <w:r>
        <w:rPr>
          <w:rFonts w:hint="eastAsia" w:ascii="宋体" w:hAnsi="宋体" w:cs="宋体"/>
          <w:bCs/>
          <w:sz w:val="24"/>
        </w:rPr>
        <w:t>项目验收后运维服务要求</w:t>
      </w:r>
      <w:r>
        <w:rPr>
          <w:rFonts w:hint="eastAsia" w:ascii="宋体" w:hAnsi="宋体" w:cs="宋体"/>
          <w:sz w:val="24"/>
        </w:rPr>
        <w:t>：为保障系统上线后的稳定运行与持续优化，本项目要求中标方在通过项目验收之日起，提供为期3年的全面运维服务，且运维服务期间提供不少于2人的现场服务人员，此运维服务要求的设立，旨在确保系统长期稳定运行，及时响应并解决可能出现的问题，同时根据使用反馈进行系统优化，持续提升服务质量和用户体验。</w:t>
      </w:r>
    </w:p>
    <w:p w14:paraId="6209E978">
      <w:pPr>
        <w:spacing w:line="360" w:lineRule="auto"/>
        <w:rPr>
          <w:rFonts w:hint="eastAsia" w:ascii="宋体" w:hAnsi="宋体" w:cs="宋体"/>
          <w:b/>
          <w:bCs/>
          <w:sz w:val="24"/>
        </w:rPr>
      </w:pPr>
    </w:p>
    <w:p w14:paraId="314E884C">
      <w:pPr>
        <w:spacing w:line="360" w:lineRule="auto"/>
        <w:jc w:val="left"/>
        <w:outlineLvl w:val="0"/>
        <w:rPr>
          <w:rFonts w:hint="eastAsia" w:ascii="宋体" w:hAnsi="宋体" w:cs="宋体"/>
          <w:b/>
          <w:bCs/>
          <w:sz w:val="32"/>
          <w:szCs w:val="32"/>
        </w:rPr>
      </w:pPr>
      <w:bookmarkStart w:id="4" w:name="_Toc415334939"/>
      <w:r>
        <w:rPr>
          <w:rFonts w:hint="eastAsia" w:ascii="宋体" w:hAnsi="宋体" w:cs="宋体"/>
          <w:b/>
          <w:bCs/>
          <w:sz w:val="32"/>
          <w:szCs w:val="32"/>
        </w:rPr>
        <w:t>五、技术要求</w:t>
      </w:r>
      <w:bookmarkEnd w:id="4"/>
    </w:p>
    <w:p w14:paraId="2CCF8E13">
      <w:pPr>
        <w:pStyle w:val="22"/>
        <w:spacing w:beforeLines="0" w:afterLines="0"/>
        <w:ind w:firstLine="0" w:firstLineChars="0"/>
        <w:outlineLvl w:val="1"/>
        <w:rPr>
          <w:rFonts w:hint="eastAsia" w:hAnsi="宋体" w:cs="宋体"/>
          <w:b/>
          <w:szCs w:val="24"/>
        </w:rPr>
      </w:pPr>
      <w:r>
        <w:rPr>
          <w:rFonts w:hint="eastAsia" w:hAnsi="宋体" w:cs="宋体"/>
          <w:b/>
          <w:szCs w:val="24"/>
        </w:rPr>
        <w:t>1.开发语言</w:t>
      </w:r>
    </w:p>
    <w:p w14:paraId="318A26CD">
      <w:pPr>
        <w:spacing w:line="360" w:lineRule="auto"/>
        <w:rPr>
          <w:rFonts w:hint="eastAsia" w:ascii="宋体" w:hAnsi="宋体" w:cs="宋体"/>
          <w:sz w:val="24"/>
        </w:rPr>
      </w:pPr>
      <w:r>
        <w:rPr>
          <w:rFonts w:hint="eastAsia" w:ascii="宋体" w:hAnsi="宋体" w:cs="宋体"/>
          <w:sz w:val="24"/>
        </w:rPr>
        <w:t>各系统需采用主流开发语言及技术，支持主流数据库技术。</w:t>
      </w:r>
    </w:p>
    <w:p w14:paraId="1BFF4D48">
      <w:pPr>
        <w:pStyle w:val="22"/>
        <w:spacing w:beforeLines="0" w:afterLines="0"/>
        <w:ind w:firstLine="0" w:firstLineChars="0"/>
        <w:outlineLvl w:val="1"/>
        <w:rPr>
          <w:rFonts w:hint="eastAsia" w:hAnsi="宋体" w:cs="宋体"/>
          <w:b/>
          <w:szCs w:val="24"/>
        </w:rPr>
      </w:pPr>
      <w:r>
        <w:rPr>
          <w:rFonts w:hint="eastAsia" w:hAnsi="宋体" w:cs="宋体"/>
          <w:b/>
          <w:szCs w:val="24"/>
        </w:rPr>
        <w:t>2.技术框架</w:t>
      </w:r>
    </w:p>
    <w:p w14:paraId="2C448F96">
      <w:pPr>
        <w:spacing w:line="360" w:lineRule="auto"/>
        <w:rPr>
          <w:rFonts w:hint="eastAsia" w:ascii="宋体" w:hAnsi="宋体" w:cs="宋体"/>
          <w:sz w:val="24"/>
        </w:rPr>
      </w:pPr>
      <w:r>
        <w:rPr>
          <w:rFonts w:hint="eastAsia" w:ascii="宋体" w:hAnsi="宋体" w:cs="宋体"/>
          <w:sz w:val="24"/>
        </w:rPr>
        <w:t>2.1医共体信息化系统整体需采用SOA架构，需满足呼和浩特市统一集中部署、统一运行云架构，支持SaaS模式，构建统一开放、松耦合、易部署、易管理和易使用的平台；</w:t>
      </w:r>
    </w:p>
    <w:p w14:paraId="5D452B75">
      <w:pPr>
        <w:spacing w:line="360" w:lineRule="auto"/>
        <w:rPr>
          <w:rFonts w:hint="eastAsia" w:ascii="宋体" w:hAnsi="宋体" w:cs="宋体"/>
          <w:sz w:val="24"/>
        </w:rPr>
      </w:pPr>
      <w:r>
        <w:rPr>
          <w:rFonts w:hint="eastAsia" w:ascii="宋体" w:hAnsi="宋体" w:cs="宋体"/>
          <w:sz w:val="24"/>
        </w:rPr>
        <w:t>2.2医共体各系统中心端支持系统级参数及业务管理，通过账号及权限分配供各旗县区医共体成员单位入驻使用，各医共体数据存储需支持逻辑分离或者物理分离存储，满足各医共体只访问本医共体的数据和应用；</w:t>
      </w:r>
    </w:p>
    <w:p w14:paraId="41A109A9">
      <w:pPr>
        <w:spacing w:line="360" w:lineRule="auto"/>
        <w:rPr>
          <w:rFonts w:hint="eastAsia" w:ascii="宋体" w:hAnsi="宋体" w:cs="宋体"/>
          <w:sz w:val="24"/>
        </w:rPr>
      </w:pPr>
      <w:r>
        <w:rPr>
          <w:rFonts w:hint="eastAsia" w:ascii="宋体" w:hAnsi="宋体" w:cs="宋体"/>
          <w:sz w:val="24"/>
        </w:rPr>
        <w:t>2.3医共体各系统需支持B/S架构，并且需支持与C/S及B/S架构医疗卫生机构信息系统数据和服务对接，降低医疗卫生机构系统对接复杂度。</w:t>
      </w:r>
    </w:p>
    <w:p w14:paraId="59FC7049">
      <w:pPr>
        <w:spacing w:line="360" w:lineRule="auto"/>
        <w:rPr>
          <w:rFonts w:hint="eastAsia" w:ascii="宋体" w:hAnsi="宋体" w:cs="宋体"/>
          <w:sz w:val="24"/>
        </w:rPr>
      </w:pPr>
      <w:r>
        <w:rPr>
          <w:rFonts w:hint="eastAsia" w:ascii="宋体" w:hAnsi="宋体" w:cs="宋体"/>
          <w:sz w:val="24"/>
        </w:rPr>
        <w:t>2.4医共体平台需基于API服务网关技术，能够统一前后端访问，并基于网关支持熔断，隔离，统一认证，服务路由，协议转换、负载均衡等多种功能控制。</w:t>
      </w:r>
    </w:p>
    <w:p w14:paraId="446C7CD5">
      <w:pPr>
        <w:spacing w:line="360" w:lineRule="auto"/>
        <w:rPr>
          <w:rFonts w:hint="eastAsia" w:ascii="宋体" w:hAnsi="宋体" w:cs="宋体"/>
          <w:sz w:val="24"/>
        </w:rPr>
      </w:pPr>
      <w:r>
        <w:rPr>
          <w:rFonts w:hint="eastAsia" w:ascii="宋体" w:hAnsi="宋体" w:cs="宋体"/>
          <w:sz w:val="24"/>
        </w:rPr>
        <w:t>2.5医共体决策支持系统需支持以可视化方式（基于可视化组件拖拉拽配置方式）实现电脑端和大屏端配置，以满足各医共体管理个性化、灵活化的管理要求；</w:t>
      </w:r>
    </w:p>
    <w:p w14:paraId="10FDC8D4">
      <w:pPr>
        <w:spacing w:line="360" w:lineRule="auto"/>
        <w:outlineLvl w:val="2"/>
        <w:rPr>
          <w:rFonts w:hint="eastAsia" w:ascii="宋体" w:hAnsi="宋体" w:cs="宋体"/>
          <w:sz w:val="24"/>
        </w:rPr>
      </w:pPr>
      <w:r>
        <w:rPr>
          <w:rFonts w:hint="eastAsia" w:ascii="宋体" w:hAnsi="宋体" w:cs="宋体"/>
          <w:sz w:val="24"/>
        </w:rPr>
        <w:t>2.6医共体平台性能方面需满足以下要求：</w:t>
      </w:r>
    </w:p>
    <w:p w14:paraId="730E317F">
      <w:pPr>
        <w:spacing w:line="360" w:lineRule="auto"/>
        <w:rPr>
          <w:rFonts w:hint="eastAsia" w:ascii="宋体" w:hAnsi="宋体" w:cs="宋体"/>
          <w:sz w:val="24"/>
        </w:rPr>
      </w:pPr>
      <w:r>
        <w:rPr>
          <w:rFonts w:hint="eastAsia" w:ascii="宋体" w:hAnsi="宋体" w:cs="宋体"/>
          <w:sz w:val="24"/>
        </w:rPr>
        <w:t>2.7批量数据交换：单记录交换/入库的平均响应时间≤30ms，完成全部增量数据交换分发时间≤2小时；</w:t>
      </w:r>
    </w:p>
    <w:p w14:paraId="028DD618">
      <w:pPr>
        <w:spacing w:line="360" w:lineRule="auto"/>
        <w:rPr>
          <w:rFonts w:hint="eastAsia" w:ascii="宋体" w:hAnsi="宋体" w:cs="宋体"/>
          <w:sz w:val="24"/>
        </w:rPr>
      </w:pPr>
      <w:r>
        <w:rPr>
          <w:rFonts w:hint="eastAsia" w:ascii="宋体" w:hAnsi="宋体" w:cs="宋体"/>
          <w:sz w:val="24"/>
        </w:rPr>
        <w:t>2.8数据查询：千万级数据量下单记录本地查询的响应时间≤1秒，简单统计报表查询的响应时间≤3秒；</w:t>
      </w:r>
    </w:p>
    <w:p w14:paraId="165AFB10">
      <w:pPr>
        <w:spacing w:line="360" w:lineRule="auto"/>
        <w:rPr>
          <w:rFonts w:hint="eastAsia" w:ascii="宋体" w:hAnsi="宋体" w:cs="宋体"/>
          <w:sz w:val="24"/>
        </w:rPr>
      </w:pPr>
      <w:r>
        <w:rPr>
          <w:rFonts w:hint="eastAsia" w:ascii="宋体" w:hAnsi="宋体" w:cs="宋体"/>
          <w:sz w:val="24"/>
        </w:rPr>
        <w:t>2.9数据统计：一个自然年度统计报表生成平均响应时间 ≤3秒，千万级数据量下单项统计的响应时间≤3秒，复合汇总统计响应时间≤5秒；</w:t>
      </w:r>
    </w:p>
    <w:p w14:paraId="3B5E4BF6">
      <w:pPr>
        <w:spacing w:line="360" w:lineRule="auto"/>
        <w:outlineLvl w:val="2"/>
        <w:rPr>
          <w:rFonts w:hint="eastAsia" w:ascii="宋体" w:hAnsi="宋体" w:cs="宋体"/>
          <w:sz w:val="24"/>
        </w:rPr>
      </w:pPr>
      <w:r>
        <w:rPr>
          <w:rFonts w:hint="eastAsia" w:ascii="宋体" w:hAnsi="宋体" w:cs="宋体"/>
          <w:sz w:val="24"/>
        </w:rPr>
        <w:t>2.10可提供7x24小时高可靠性服务。</w:t>
      </w:r>
    </w:p>
    <w:p w14:paraId="2B950139">
      <w:pPr>
        <w:pStyle w:val="22"/>
        <w:spacing w:beforeLines="0" w:afterLines="0"/>
        <w:ind w:firstLine="0" w:firstLineChars="0"/>
        <w:outlineLvl w:val="1"/>
        <w:rPr>
          <w:rFonts w:hint="eastAsia" w:hAnsi="宋体" w:cs="宋体"/>
          <w:b/>
          <w:szCs w:val="24"/>
        </w:rPr>
      </w:pPr>
      <w:r>
        <w:rPr>
          <w:rFonts w:hint="eastAsia" w:hAnsi="宋体" w:cs="宋体"/>
          <w:b/>
          <w:szCs w:val="24"/>
        </w:rPr>
        <w:t>3.技术路线</w:t>
      </w:r>
    </w:p>
    <w:p w14:paraId="0E5CADEB">
      <w:pPr>
        <w:spacing w:line="360" w:lineRule="auto"/>
        <w:ind w:firstLine="480"/>
        <w:rPr>
          <w:rFonts w:hint="eastAsia" w:ascii="宋体" w:hAnsi="宋体" w:cs="宋体"/>
          <w:sz w:val="24"/>
        </w:rPr>
      </w:pPr>
      <w:r>
        <w:rPr>
          <w:rFonts w:hint="eastAsia" w:ascii="宋体" w:hAnsi="宋体" w:cs="宋体"/>
          <w:sz w:val="24"/>
        </w:rPr>
        <w:t>本项目要求采用先进的技术路线，包括大数据检索技术，以优化传统检索问题，实现秒级搜索并适应医疗领域的复杂需求；微服务化技术架构，确保平台高性能与稳定运行，实现业务模块间的独立与动态负载均衡；通用数据接口技术，用于系统集成与对外接口，提供松散耦合、跨技术实现的应用特点；统一消息引擎，保障消息的高效持久化与集群吞吐率；以及数据分析决策技术，涵盖数据模型设计、OLAP多维数据集分析与BI数据挖掘，以实现快速的业务智能分析、预警与预测，支撑医共体平台及相关应用的高效运行与智能化决策；</w:t>
      </w:r>
      <w:r>
        <w:rPr>
          <w:rFonts w:ascii="宋体" w:hAnsi="宋体" w:cs="宋体"/>
          <w:sz w:val="24"/>
        </w:rPr>
        <w:t>核心系统，涵盖区域卫生决策支持、数据交换平台及数据质量监管平台，采纳业界领先且经过实践验证的国产化信创技术</w:t>
      </w:r>
      <w:r>
        <w:rPr>
          <w:rFonts w:hint="eastAsia" w:ascii="宋体" w:hAnsi="宋体" w:cs="宋体"/>
          <w:sz w:val="24"/>
        </w:rPr>
        <w:t>，</w:t>
      </w:r>
      <w:r>
        <w:rPr>
          <w:rFonts w:ascii="宋体" w:hAnsi="宋体" w:cs="宋体"/>
          <w:sz w:val="24"/>
        </w:rPr>
        <w:t>需充分支持国产化操作系统与数据库的无缝对接与适配，旨在构建一个既先进又稳固的基础架构。</w:t>
      </w:r>
    </w:p>
    <w:p w14:paraId="1488CB6B">
      <w:pPr>
        <w:spacing w:line="360" w:lineRule="auto"/>
        <w:jc w:val="left"/>
      </w:pPr>
      <w:r>
        <w:rPr>
          <w:rFonts w:hint="eastAsia"/>
          <w:sz w:val="24"/>
        </w:rPr>
        <w:br w:type="page"/>
      </w:r>
    </w:p>
    <w:p w14:paraId="5EF08071">
      <w:pPr>
        <w:numPr>
          <w:ilvl w:val="0"/>
          <w:numId w:val="3"/>
        </w:numPr>
        <w:spacing w:line="360" w:lineRule="auto"/>
        <w:jc w:val="left"/>
        <w:outlineLvl w:val="0"/>
        <w:rPr>
          <w:rFonts w:hint="eastAsia" w:ascii="宋体" w:hAnsi="宋体" w:cs="宋体"/>
          <w:sz w:val="32"/>
          <w:szCs w:val="32"/>
        </w:rPr>
      </w:pPr>
      <w:bookmarkStart w:id="5" w:name="_Toc1212467023"/>
      <w:r>
        <w:rPr>
          <w:rFonts w:hint="eastAsia" w:ascii="宋体" w:hAnsi="宋体" w:cs="宋体"/>
          <w:sz w:val="32"/>
          <w:szCs w:val="32"/>
        </w:rPr>
        <w:t>具体要求</w:t>
      </w:r>
      <w:bookmarkEnd w:id="5"/>
    </w:p>
    <w:p w14:paraId="4B7C4E36">
      <w:pPr>
        <w:pStyle w:val="2"/>
        <w:numPr>
          <w:ilvl w:val="0"/>
          <w:numId w:val="4"/>
        </w:numPr>
        <w:spacing w:before="0" w:after="0" w:line="360" w:lineRule="auto"/>
        <w:jc w:val="left"/>
        <w:outlineLvl w:val="1"/>
        <w:rPr>
          <w:rFonts w:hint="eastAsia"/>
          <w:b/>
          <w:bCs/>
          <w:sz w:val="28"/>
          <w:szCs w:val="28"/>
        </w:rPr>
      </w:pPr>
      <w:bookmarkStart w:id="6" w:name="_Toc460929178"/>
      <w:r>
        <w:rPr>
          <w:rFonts w:hint="eastAsia"/>
          <w:b/>
          <w:bCs/>
          <w:sz w:val="28"/>
          <w:szCs w:val="28"/>
        </w:rPr>
        <w:t>远程协同门诊</w:t>
      </w:r>
      <w:bookmarkEnd w:id="6"/>
    </w:p>
    <w:p w14:paraId="7AD13B51">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bCs/>
          <w:sz w:val="24"/>
          <w:szCs w:val="24"/>
        </w:rPr>
      </w:pPr>
      <w:bookmarkStart w:id="7" w:name="_Toc174632272"/>
      <w:bookmarkStart w:id="8" w:name="_Toc863179917"/>
      <w:r>
        <w:rPr>
          <w:rFonts w:hint="eastAsia" w:ascii="宋体" w:hAnsi="宋体" w:cs="宋体"/>
          <w:b/>
          <w:bCs/>
          <w:sz w:val="24"/>
          <w:szCs w:val="24"/>
        </w:rPr>
        <w:t>区域远程门诊系统</w:t>
      </w:r>
      <w:bookmarkEnd w:id="7"/>
      <w:bookmarkEnd w:id="8"/>
    </w:p>
    <w:p w14:paraId="47DD7A20">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整体要求</w:t>
      </w:r>
    </w:p>
    <w:p w14:paraId="16A30674">
      <w:pPr>
        <w:spacing w:line="360" w:lineRule="auto"/>
        <w:ind w:firstLine="480" w:firstLineChars="200"/>
        <w:rPr>
          <w:rFonts w:hint="eastAsia" w:ascii="宋体" w:hAnsi="宋体"/>
          <w:b/>
          <w:sz w:val="24"/>
        </w:rPr>
      </w:pPr>
      <w:r>
        <w:rPr>
          <w:rFonts w:hint="eastAsia" w:ascii="宋体" w:hAnsi="宋体"/>
          <w:sz w:val="24"/>
        </w:rPr>
        <w:t>区域远程门诊系统是用于上级医疗机构的医生为远端下级医疗机构在工作时段开展远程协助诊疗、协助分诊的专家/专科门诊业务的系统。通过协同门诊系统，解决基层医疗卫生机构在诊断不明确、辅助检查等能力不能满足疾病诊断时，通过上级医生协助诊断、协助分诊，为患者提供精准的门诊诊疗服务，促进分级诊疗的落实。</w:t>
      </w:r>
    </w:p>
    <w:p w14:paraId="073B480A">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bookmarkStart w:id="9" w:name="_Toc154068515"/>
      <w:bookmarkStart w:id="10" w:name="_Toc132386855"/>
      <w:r>
        <w:rPr>
          <w:rFonts w:hint="eastAsia" w:ascii="宋体" w:hAnsi="宋体" w:cs="宋体"/>
          <w:b w:val="0"/>
          <w:bCs w:val="0"/>
          <w:sz w:val="24"/>
          <w:szCs w:val="24"/>
        </w:rPr>
        <w:t>远程医疗协同中心管理端</w:t>
      </w:r>
      <w:bookmarkEnd w:id="9"/>
      <w:bookmarkEnd w:id="10"/>
    </w:p>
    <w:p w14:paraId="08476E72">
      <w:pPr>
        <w:pStyle w:val="5"/>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color w:val="auto"/>
          <w:sz w:val="24"/>
          <w:szCs w:val="24"/>
        </w:rPr>
      </w:pPr>
      <w:r>
        <w:rPr>
          <w:rFonts w:hint="eastAsia" w:ascii="宋体" w:hAnsi="宋体" w:cs="宋体"/>
          <w:b w:val="0"/>
          <w:bCs w:val="0"/>
          <w:color w:val="auto"/>
          <w:sz w:val="24"/>
          <w:szCs w:val="24"/>
        </w:rPr>
        <w:t>远程医疗基础管理</w:t>
      </w:r>
    </w:p>
    <w:p w14:paraId="3764B17A">
      <w:pPr>
        <w:spacing w:line="360" w:lineRule="auto"/>
        <w:ind w:firstLine="480" w:firstLineChars="200"/>
        <w:rPr>
          <w:rFonts w:hint="eastAsia" w:ascii="宋体" w:hAnsi="宋体" w:eastAsia="宋体"/>
          <w:sz w:val="24"/>
          <w:lang w:eastAsia="zh-CN"/>
        </w:rPr>
      </w:pPr>
      <w:r>
        <w:rPr>
          <w:rFonts w:hint="eastAsia" w:ascii="宋体" w:hAnsi="宋体"/>
          <w:sz w:val="24"/>
        </w:rPr>
        <w:t>应支持管理员通过远程医疗协同中心管理端平台来维护医共体内各机构的基本信息、科室信息、医护人员信息</w:t>
      </w:r>
      <w:r>
        <w:rPr>
          <w:rFonts w:hint="eastAsia" w:ascii="宋体" w:hAnsi="宋体"/>
          <w:sz w:val="24"/>
          <w:lang w:eastAsia="zh-CN"/>
        </w:rPr>
        <w:t>。</w:t>
      </w:r>
    </w:p>
    <w:p w14:paraId="2CF979A7">
      <w:pPr>
        <w:pStyle w:val="5"/>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4"/>
        </w:rPr>
      </w:pPr>
      <w:r>
        <w:rPr>
          <w:rFonts w:hint="eastAsia" w:ascii="宋体" w:hAnsi="宋体" w:cs="宋体"/>
          <w:b w:val="0"/>
          <w:bCs w:val="0"/>
          <w:sz w:val="24"/>
          <w:szCs w:val="24"/>
        </w:rPr>
        <w:t>远程医疗价格管理</w:t>
      </w:r>
    </w:p>
    <w:p w14:paraId="79BCB775">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应支持通过平台维护各机构的远程门诊、远程会诊业务的价格信息。</w:t>
      </w:r>
    </w:p>
    <w:p w14:paraId="57D701C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应支持根据医生的不同职称来设置业务价格信息，如主任医师、副主任医师、主治医师等，支持对业务的支付方式进行设置。</w:t>
      </w:r>
    </w:p>
    <w:p w14:paraId="6E6B4BDC">
      <w:pPr>
        <w:pStyle w:val="5"/>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▲远程医疗业务授权管理</w:t>
      </w:r>
    </w:p>
    <w:p w14:paraId="254A35B4">
      <w:pPr>
        <w:spacing w:line="360" w:lineRule="auto"/>
        <w:ind w:firstLine="480" w:firstLineChars="200"/>
        <w:rPr>
          <w:rFonts w:hint="eastAsia" w:ascii="宋体" w:hAnsi="宋体"/>
          <w:sz w:val="24"/>
        </w:rPr>
      </w:pPr>
      <w:r>
        <w:rPr>
          <w:rFonts w:hint="eastAsia" w:ascii="宋体" w:hAnsi="宋体"/>
          <w:sz w:val="24"/>
        </w:rPr>
        <w:t>应支持通过平台设置各医疗机构之间远程门诊、远程会诊的业务权限；需提供授出权限和被授权限；支持对各医疗机构进行批量授权设置，</w:t>
      </w:r>
      <w:r>
        <w:rPr>
          <w:rFonts w:hint="eastAsia" w:ascii="宋体" w:hAnsi="宋体"/>
          <w:b/>
          <w:bCs/>
          <w:sz w:val="24"/>
        </w:rPr>
        <w:t>需要提供系统功能界面截图证明</w:t>
      </w:r>
      <w:r>
        <w:rPr>
          <w:rFonts w:hint="eastAsia" w:ascii="宋体" w:hAnsi="宋体"/>
          <w:sz w:val="24"/>
        </w:rPr>
        <w:t>。</w:t>
      </w:r>
    </w:p>
    <w:p w14:paraId="2AFAFAC1">
      <w:pPr>
        <w:pStyle w:val="5"/>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远程医疗业务查询</w:t>
      </w:r>
    </w:p>
    <w:p w14:paraId="79729913">
      <w:pPr>
        <w:spacing w:line="360" w:lineRule="auto"/>
        <w:ind w:firstLine="480" w:firstLineChars="200"/>
        <w:rPr>
          <w:rFonts w:hint="eastAsia" w:ascii="宋体" w:hAnsi="宋体"/>
          <w:sz w:val="24"/>
        </w:rPr>
      </w:pPr>
      <w:r>
        <w:rPr>
          <w:rFonts w:hint="eastAsia" w:ascii="宋体" w:hAnsi="宋体"/>
          <w:sz w:val="24"/>
        </w:rPr>
        <w:t>应支持通过平台对远程协同业务（远程会诊和远程门诊）进行查询，支持按多条件查询，包括且不限于时间、申请医生、目标医生、科室、订单号、缴费状态等维度；支持查询结果导出。</w:t>
      </w:r>
    </w:p>
    <w:p w14:paraId="3C675B60">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bookmarkStart w:id="11" w:name="_Toc132386859"/>
      <w:bookmarkStart w:id="12" w:name="_Toc154068519"/>
      <w:r>
        <w:rPr>
          <w:rFonts w:hint="eastAsia" w:ascii="宋体" w:hAnsi="宋体" w:cs="宋体"/>
          <w:b w:val="0"/>
          <w:bCs w:val="0"/>
          <w:sz w:val="24"/>
          <w:szCs w:val="24"/>
        </w:rPr>
        <w:t>区域远程门诊</w:t>
      </w:r>
    </w:p>
    <w:p w14:paraId="642933E3">
      <w:pPr>
        <w:pStyle w:val="5"/>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整体要求</w:t>
      </w:r>
    </w:p>
    <w:p w14:paraId="1BB8664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通过互联网+技术，实现呼和浩特市土左旗、托克托县、和林县、武川县医共体平台建设，实现各医共体内上级医院与基层医院之间的远程门诊。建设范围如下：</w:t>
      </w:r>
    </w:p>
    <w:p w14:paraId="0C38915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土左旗医共体：上级医院：1家二级医院（土默特左旗人民医院）；基层医院：1家二级医院和17家卫生服务中心/乡镇卫生院。</w:t>
      </w:r>
    </w:p>
    <w:p w14:paraId="712C0DB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托克托县医共体：上级医院：1家二级医院（托克托县医院）；基层医院：1家二级医院和11家卫生服务中心/乡镇卫生院。</w:t>
      </w:r>
    </w:p>
    <w:p w14:paraId="421638C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和林县医共体：上级医院：1家二级医院（和林县医院）；基层医院：1家二级医院和13家卫生服务中心/乡镇卫生院。</w:t>
      </w:r>
    </w:p>
    <w:p w14:paraId="698C553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武川县医共体：上级医院：1家二级医院（武川县医院）；基层医院：1家二级医院和16家卫生服务中心/乡镇卫生院。</w:t>
      </w:r>
    </w:p>
    <w:p w14:paraId="47AF4BD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应支持远程门诊预约管理和实时发起两种模式，满足基层医生端和专家端排班时间的智能匹配预约。同时满足PC端和手机端业务开展，支持PC端发起、移动端接收，或移动端发起，PC端接收。</w:t>
      </w:r>
    </w:p>
    <w:p w14:paraId="2AFE78C3">
      <w:pPr>
        <w:pStyle w:val="5"/>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远程门诊基础配置</w:t>
      </w:r>
    </w:p>
    <w:p w14:paraId="7F6BA70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应支持维护远程门诊号源信息，包括排班时间、号源数量、执业点、挂号科室等；支持设置医院远程门诊服务价格，医生业务的权限。</w:t>
      </w:r>
    </w:p>
    <w:p w14:paraId="5FF2CD3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▲应支持对远程门诊业务进行配置，支持对云门诊是否可当天预约、云门诊支付提前天数、云门诊预约、医生是否默认开启实时远程门诊等业务参数进行配置，</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00B7C0ED">
      <w:pPr>
        <w:pStyle w:val="5"/>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远程门诊申请（实时/预约）</w:t>
      </w:r>
    </w:p>
    <w:p w14:paraId="247106F0">
      <w:pPr>
        <w:spacing w:line="360" w:lineRule="auto"/>
        <w:ind w:firstLine="480" w:firstLineChars="200"/>
        <w:rPr>
          <w:rFonts w:hint="eastAsia" w:ascii="宋体" w:hAnsi="宋体"/>
          <w:sz w:val="24"/>
        </w:rPr>
      </w:pPr>
      <w:r>
        <w:rPr>
          <w:rFonts w:hint="eastAsia" w:ascii="宋体" w:hAnsi="宋体"/>
          <w:sz w:val="24"/>
        </w:rPr>
        <w:t>应支持基层医生可以通过移动端和PC端向上级医院医生发起远程门诊预约和实时两种模式。</w:t>
      </w:r>
    </w:p>
    <w:p w14:paraId="1F23D991">
      <w:pPr>
        <w:pStyle w:val="5"/>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远程门诊开展</w:t>
      </w:r>
    </w:p>
    <w:p w14:paraId="3D5E4D61">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应支持上下级医院医生通过远程视频的方式，对患者开展诊疗。</w:t>
      </w:r>
    </w:p>
    <w:p w14:paraId="65CB5F2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应支持远程门诊过程中多种形式病人资料共享，应包括病历资料拍照上传、桌面可视化共享等形式。</w:t>
      </w:r>
      <w:bookmarkEnd w:id="11"/>
      <w:bookmarkEnd w:id="12"/>
    </w:p>
    <w:p w14:paraId="460F879C">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接口服务</w:t>
      </w:r>
    </w:p>
    <w:p w14:paraId="5CD236F9">
      <w:pPr>
        <w:spacing w:line="360" w:lineRule="auto"/>
        <w:ind w:firstLine="480" w:firstLineChars="200"/>
        <w:rPr>
          <w:rFonts w:hint="eastAsia" w:ascii="宋体" w:hAnsi="宋体"/>
          <w:sz w:val="24"/>
        </w:rPr>
      </w:pPr>
      <w:r>
        <w:rPr>
          <w:rFonts w:hint="eastAsia" w:ascii="宋体" w:hAnsi="宋体"/>
          <w:sz w:val="24"/>
        </w:rPr>
        <w:t>应提供标准接口文档，完成与4个医共体（土左旗、托克托县、和林县、武川县医共体）区域的HIS系统进行对接，需包括患者出院小结、病案首页、门诊处方、医技报告信息的病历共享（需按标准接口文档对接）。</w:t>
      </w:r>
    </w:p>
    <w:p w14:paraId="0793DD5B">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bCs/>
          <w:sz w:val="24"/>
          <w:szCs w:val="24"/>
        </w:rPr>
      </w:pPr>
      <w:bookmarkStart w:id="13" w:name="_Toc154068516"/>
      <w:bookmarkStart w:id="14" w:name="_Toc132386856"/>
      <w:bookmarkStart w:id="15" w:name="_Toc1212829534"/>
      <w:r>
        <w:rPr>
          <w:rFonts w:hint="eastAsia" w:ascii="宋体" w:hAnsi="宋体" w:cs="宋体"/>
          <w:b/>
          <w:bCs/>
          <w:sz w:val="24"/>
          <w:szCs w:val="24"/>
        </w:rPr>
        <w:t>区域远程会诊</w:t>
      </w:r>
      <w:bookmarkEnd w:id="13"/>
      <w:bookmarkEnd w:id="14"/>
      <w:r>
        <w:rPr>
          <w:rFonts w:hint="eastAsia" w:ascii="宋体" w:hAnsi="宋体" w:cs="宋体"/>
          <w:b/>
          <w:bCs/>
          <w:sz w:val="24"/>
          <w:szCs w:val="24"/>
        </w:rPr>
        <w:t>系统</w:t>
      </w:r>
      <w:bookmarkEnd w:id="15"/>
    </w:p>
    <w:p w14:paraId="4E9F98F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整体要求</w:t>
      </w:r>
    </w:p>
    <w:p w14:paraId="5BBB27D2">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通过互联网+技术，完成与土左旗、和林县、武川县医共体平台对接，实现各医共体内上级医院与基层医院之间的远程会诊。建设范围如下：</w:t>
      </w:r>
    </w:p>
    <w:p w14:paraId="35F38E10">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土左旗医共体：上级医院：1家二级医院（土默特左旗人民医院）；基层医院：1家二级医院和17家卫生服务中心/乡镇卫生院。</w:t>
      </w:r>
    </w:p>
    <w:p w14:paraId="5B9DCF6E">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和林县医共体：上级医院：1家二级医院（和林县医院）；基层医院：1家二级医院和13家卫生服务中心/乡镇卫生院。</w:t>
      </w:r>
    </w:p>
    <w:p w14:paraId="502BA413">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武川县医共体：上级医院：1家二级医院（武川县医院）；基层医院：1家二级医院和16家卫生服务中心/乡镇卫生院。</w:t>
      </w:r>
    </w:p>
    <w:p w14:paraId="35424312">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应支持通过PC端发起、移动端接收；或移动端发起，PC端接收。支持专家通过手机或电脑进行在线图文、会话和多方视频会诊，需满足会诊过程中专家医生通过平台免费电话与申请医生进行电话沟通。</w:t>
      </w:r>
    </w:p>
    <w:p w14:paraId="4A13DF0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会诊基础配置</w:t>
      </w:r>
    </w:p>
    <w:p w14:paraId="5C96F700">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应支持对医院的会诊业务流程、业务规则、提示方案等进行配置管理。</w:t>
      </w:r>
    </w:p>
    <w:p w14:paraId="3CBBB360">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sz w:val="24"/>
          <w:szCs w:val="22"/>
        </w:rPr>
        <w:t>▲</w:t>
      </w:r>
      <w:r>
        <w:rPr>
          <w:rFonts w:hint="eastAsia" w:ascii="宋体" w:hAnsi="宋体" w:cs="宋体"/>
          <w:b w:val="0"/>
          <w:bCs w:val="0"/>
          <w:sz w:val="24"/>
          <w:szCs w:val="24"/>
        </w:rPr>
        <w:t>应支持对远程会诊业务进行配置，支持与主流消息平台对接提醒医生、会诊报告单打印模板样式、会诊单打印类型、会诊业务模式、会诊中心模式是否需要邀请下级参与医生、会诊申请单打印模板样式等业务参数进行配置，</w:t>
      </w:r>
      <w:r>
        <w:rPr>
          <w:rFonts w:hint="eastAsia" w:ascii="宋体" w:hAnsi="宋体" w:cs="宋体"/>
          <w:b/>
          <w:bCs/>
          <w:sz w:val="24"/>
          <w:szCs w:val="24"/>
        </w:rPr>
        <w:t>需要提供系统功能界面截图证明</w:t>
      </w:r>
      <w:r>
        <w:rPr>
          <w:rFonts w:hint="eastAsia" w:ascii="宋体" w:hAnsi="宋体" w:cs="宋体"/>
          <w:b w:val="0"/>
          <w:bCs w:val="0"/>
          <w:sz w:val="24"/>
          <w:szCs w:val="24"/>
        </w:rPr>
        <w:t>。</w:t>
      </w:r>
    </w:p>
    <w:p w14:paraId="07DD48D0">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会诊申请</w:t>
      </w:r>
    </w:p>
    <w:p w14:paraId="4F3F0C5C">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应支持远程会诊提供会诊中心和指定专家模式两种模式。</w:t>
      </w:r>
    </w:p>
    <w:p w14:paraId="40C9F31F">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应支持基层医疗机构直接指定上级医院专家或专家团队，也支持将会诊申请及需求发至上级医院会诊中心，由会诊中心根据会诊需求选择合适的专家。</w:t>
      </w:r>
    </w:p>
    <w:p w14:paraId="1E80D3F7">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支持受邀医生接受或拒绝会诊邀请。</w:t>
      </w:r>
    </w:p>
    <w:p w14:paraId="4F506D3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视频会诊（不含硬件）</w:t>
      </w:r>
    </w:p>
    <w:p w14:paraId="5B79CF0F">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应支持PC、平板、手机（IOS、Android）、可移动一体化终端等多种终端设备同时接入进行视频会诊。</w:t>
      </w:r>
    </w:p>
    <w:p w14:paraId="6B095F9E">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应支持多个会诊专家在自己的办公室远程接入平台，可自由切换视频主窗口、浏览会诊患者的电子病历信息。</w:t>
      </w:r>
    </w:p>
    <w:p w14:paraId="61A62330">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应支持会诊过程中多种形式病人资料共享，包括但不限于病历资料拍照上传、桌面共享等形式。</w:t>
      </w:r>
    </w:p>
    <w:p w14:paraId="3DA0CCC4">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病例讨论</w:t>
      </w:r>
    </w:p>
    <w:p w14:paraId="5CDC5D5C">
      <w:pPr>
        <w:spacing w:line="360" w:lineRule="auto"/>
        <w:ind w:firstLine="480" w:firstLineChars="200"/>
        <w:rPr>
          <w:rFonts w:hint="eastAsia" w:ascii="宋体" w:hAnsi="宋体"/>
          <w:sz w:val="24"/>
        </w:rPr>
      </w:pPr>
      <w:r>
        <w:rPr>
          <w:rFonts w:hint="eastAsia" w:ascii="宋体" w:hAnsi="宋体"/>
          <w:sz w:val="24"/>
        </w:rPr>
        <w:t>应支持建立医生之间的沟通群；支持医生语音、图文在线沟通讨论病例情况；支持查房过程中一对一病例交流。</w:t>
      </w:r>
    </w:p>
    <w:p w14:paraId="0CF66A5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会诊意见及评价</w:t>
      </w:r>
    </w:p>
    <w:p w14:paraId="64595B5F">
      <w:pPr>
        <w:spacing w:line="360" w:lineRule="auto"/>
        <w:ind w:firstLine="480" w:firstLineChars="200"/>
        <w:rPr>
          <w:rFonts w:hint="eastAsia" w:ascii="宋体" w:hAnsi="宋体"/>
          <w:sz w:val="24"/>
        </w:rPr>
      </w:pPr>
      <w:r>
        <w:rPr>
          <w:rFonts w:hint="eastAsia" w:ascii="宋体" w:hAnsi="宋体"/>
          <w:sz w:val="24"/>
        </w:rPr>
        <w:t>应支持专家会诊意见进行在线电子签名及会诊情况评价。</w:t>
      </w:r>
    </w:p>
    <w:p w14:paraId="53134352">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bCs/>
          <w:sz w:val="24"/>
          <w:szCs w:val="24"/>
        </w:rPr>
      </w:pPr>
      <w:bookmarkStart w:id="16" w:name="_Toc111200614"/>
      <w:r>
        <w:rPr>
          <w:rFonts w:hint="eastAsia" w:ascii="宋体" w:hAnsi="宋体" w:cs="宋体"/>
          <w:b/>
          <w:bCs/>
          <w:sz w:val="24"/>
          <w:szCs w:val="24"/>
        </w:rPr>
        <w:t>双向转诊系统</w:t>
      </w:r>
      <w:bookmarkEnd w:id="16"/>
    </w:p>
    <w:p w14:paraId="250A8BA4">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整体要求</w:t>
      </w:r>
    </w:p>
    <w:p w14:paraId="209BC6CE">
      <w:pPr>
        <w:pStyle w:val="22"/>
        <w:spacing w:beforeLines="0" w:afterLines="0"/>
        <w:ind w:firstLine="480"/>
        <w:rPr>
          <w:rFonts w:hint="eastAsia"/>
          <w:b/>
        </w:rPr>
      </w:pPr>
      <w:r>
        <w:rPr>
          <w:rFonts w:hint="eastAsia"/>
        </w:rPr>
        <w:t>双向转诊系统是支持多级机构之间的双向转诊业务，协助基层医疗卫生机构实现电子化的转诊申请与审核管理的系统。</w:t>
      </w:r>
    </w:p>
    <w:p w14:paraId="1326977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转诊业务</w:t>
      </w:r>
    </w:p>
    <w:p w14:paraId="4A8D86C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上转/下转</w:t>
      </w:r>
    </w:p>
    <w:p w14:paraId="32782BE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需提供上转/下转转诊申请入口，发起上转/下转转诊申请时需填写申请单；</w:t>
      </w:r>
    </w:p>
    <w:p w14:paraId="47390BD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与医生站对接自动获取所对接系统数据，在发起申请时，能够自动获取、手动填写患者相关信息，包括基本信息、诊疗信息、转诊信息等；基本信息包括患者姓名、证件号码等信息；诊疗信息包括疾病诊断、主诉、现病史、既往史等信息，支持上传病历附件；转诊信息包括转诊方向、转入/转出机构、转入/转出科室、转诊原因等信息，转入/转出机构、转入/转出科室信息支持自动获取和通过下拉菜单选择两种填写方式，转诊原因提供模板库，并支持模板库自定义。</w:t>
      </w:r>
    </w:p>
    <w:p w14:paraId="7287350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需支持预约转入医院、接诊科室和接诊医生。</w:t>
      </w:r>
    </w:p>
    <w:p w14:paraId="480A412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bCs w:val="0"/>
          <w:sz w:val="24"/>
          <w:szCs w:val="24"/>
        </w:rPr>
        <w:t>▲</w:t>
      </w:r>
      <w:r>
        <w:rPr>
          <w:rFonts w:hint="eastAsia" w:ascii="宋体" w:hAnsi="宋体" w:cs="宋体"/>
          <w:b w:val="0"/>
          <w:sz w:val="24"/>
          <w:szCs w:val="22"/>
        </w:rPr>
        <w:t>可在诊疗过程提供转诊服务，包括转诊指证提醒、转诊申请，在发起转诊申请时可自动录入患者基本信息、诊断、主诉等数据，支持人工上传患者病历资料，若对接医院统一预约系统后可在发起转诊申请时为患者预约医生号源。在接诊医院可将转入患者一键回转至转出医院（此为整套业务流程，应当提供多张截图，且上下数据应保持一致，</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4C727FD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转诊管理</w:t>
      </w:r>
    </w:p>
    <w:p w14:paraId="5F9FFD1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需支持通过列表展示本机构医生发起的所有上/下转诊信息，支持通过转诊单号、患者姓名、日期等条件进行检索；</w:t>
      </w:r>
    </w:p>
    <w:p w14:paraId="17BCC029">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需支持查看上/下转诊信息详情，包括转出信息、转出审核、接诊信息、回转信息、回转接诊等，支持查看附件。</w:t>
      </w:r>
    </w:p>
    <w:p w14:paraId="3F249AD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需支持对上转/下转转诊申请单进行审核，支持与区域预约挂号系统进行对接，在审核通过后实现转诊预约；</w:t>
      </w:r>
    </w:p>
    <w:p w14:paraId="7A5521E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需支持转诊单打印功能，就诊患者持转诊单按照转诊申请安排前去相应接收机构就诊；</w:t>
      </w:r>
    </w:p>
    <w:p w14:paraId="2F02F8D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需支持转诊患者流程跟踪，可通过转诊流程图和事件列表对患者转诊关键节点和流程进行展示。</w:t>
      </w:r>
    </w:p>
    <w:p w14:paraId="2011C44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本院转入/本院转出</w:t>
      </w:r>
    </w:p>
    <w:p w14:paraId="64A4702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需支持通过列表对本机构发起的上转、下转单进行展示，支持按待处理和已处理进行分类展示；</w:t>
      </w:r>
    </w:p>
    <w:p w14:paraId="13703CA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需支持通过转诊单号、患者姓名、日期、转诊方向进行检索；</w:t>
      </w:r>
    </w:p>
    <w:p w14:paraId="53D37F06">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需支持查看转诊详情；</w:t>
      </w:r>
    </w:p>
    <w:p w14:paraId="73BCF765">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转诊提醒</w:t>
      </w:r>
    </w:p>
    <w:p w14:paraId="336BE550">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需支持在上转、下转、回转、审核等流程关键节点向患者、申请医生、接诊医生等提醒对象发送相应提醒，支持通过系统消息</w:t>
      </w:r>
      <w:r>
        <w:rPr>
          <w:rFonts w:hint="eastAsia" w:ascii="宋体" w:hAnsi="宋体" w:cs="宋体"/>
          <w:b w:val="0"/>
          <w:bCs w:val="0"/>
          <w:sz w:val="24"/>
          <w:szCs w:val="24"/>
          <w:lang w:val="en-US" w:eastAsia="zh-CN"/>
        </w:rPr>
        <w:t>与</w:t>
      </w:r>
      <w:r>
        <w:rPr>
          <w:rFonts w:hint="eastAsia" w:ascii="宋体" w:hAnsi="宋体" w:cs="宋体"/>
          <w:b w:val="0"/>
          <w:bCs w:val="0"/>
          <w:sz w:val="24"/>
          <w:szCs w:val="24"/>
        </w:rPr>
        <w:t>主流消息平台对接，向医生发送提醒；</w:t>
      </w:r>
    </w:p>
    <w:p w14:paraId="4D48FF36">
      <w:pPr>
        <w:pStyle w:val="5"/>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需支持在与医生站对接后，支持在诊疗过程中通过获取患者诊断信息，自动识别需要转诊的患者，在医生工作站提供转诊提醒。</w:t>
      </w:r>
    </w:p>
    <w:p w14:paraId="04738998">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转诊统计</w:t>
      </w:r>
    </w:p>
    <w:p w14:paraId="5F7250ED">
      <w:pPr>
        <w:pStyle w:val="22"/>
        <w:spacing w:beforeLines="0" w:afterLines="0"/>
        <w:ind w:firstLine="480"/>
        <w:rPr>
          <w:rFonts w:hint="eastAsia"/>
          <w:b/>
        </w:rPr>
      </w:pPr>
      <w:r>
        <w:rPr>
          <w:rFonts w:hint="eastAsia"/>
        </w:rPr>
        <w:t>需支持转诊统计功能，可通过列表、表格对转诊数据进行统计，支持多种统计主题，包括：机构工作量统计、医生工作量统计、全区转诊工作统计、本院转出人次统计、本院转入人次统计、转诊人次统计，统计结果支持下钻、检索及导出。</w:t>
      </w:r>
    </w:p>
    <w:p w14:paraId="3F978397">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配置管理</w:t>
      </w:r>
    </w:p>
    <w:p w14:paraId="32A01C7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对转诊指征进行管理，包括病种类型、指征内容、指征方向，提供转诊指征的新增、编辑、作废、删除及导出，支持模板下载，可通过模板批量导入转诊指征；支持通过列表展示已添加转诊指征信息，支持通过病种类型、指征内容、指征方向等条件进行检索；</w:t>
      </w:r>
    </w:p>
    <w:p w14:paraId="437198B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需支持对转诊路径进行管理，支持对多个医联体设置单独的转诊路径，并通过列表展示，支持通过条件进行检索，转诊路径包括签约转诊、自由转诊、定向转诊和逐级转诊；</w:t>
      </w:r>
    </w:p>
    <w:p w14:paraId="77FC6BE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对提醒消息规则库进行管理，支持添加、维护提醒消息，支持对提醒类型、提醒对象、场景类型、提醒内容进行设置；系统提供提醒内容字典库，可通过添加模板字典快速编辑提醒内容；支持通过列表展示已添加提醒消息，支持通过条件进行检索。</w:t>
      </w:r>
    </w:p>
    <w:p w14:paraId="29C3C147">
      <w:pPr>
        <w:pStyle w:val="2"/>
        <w:numPr>
          <w:ilvl w:val="0"/>
          <w:numId w:val="4"/>
        </w:numPr>
        <w:spacing w:before="0" w:after="0" w:line="360" w:lineRule="auto"/>
        <w:jc w:val="left"/>
        <w:outlineLvl w:val="1"/>
        <w:rPr>
          <w:rFonts w:hint="eastAsia"/>
          <w:b/>
          <w:bCs/>
          <w:sz w:val="28"/>
          <w:szCs w:val="28"/>
        </w:rPr>
      </w:pPr>
      <w:bookmarkStart w:id="17" w:name="_Toc637946608"/>
      <w:r>
        <w:rPr>
          <w:rFonts w:hint="eastAsia"/>
          <w:b/>
          <w:bCs/>
          <w:sz w:val="28"/>
          <w:szCs w:val="28"/>
        </w:rPr>
        <w:t>智能（人工）辅助审方系统</w:t>
      </w:r>
      <w:bookmarkEnd w:id="17"/>
    </w:p>
    <w:p w14:paraId="34755305">
      <w:pPr>
        <w:pStyle w:val="27"/>
        <w:widowControl/>
        <w:numPr>
          <w:ilvl w:val="0"/>
          <w:numId w:val="5"/>
        </w:numPr>
        <w:tabs>
          <w:tab w:val="left" w:pos="720"/>
        </w:tabs>
        <w:spacing w:line="360" w:lineRule="auto"/>
        <w:ind w:left="1063" w:firstLine="0"/>
        <w:jc w:val="left"/>
        <w:outlineLvl w:val="1"/>
        <w:rPr>
          <w:rFonts w:hint="eastAsia" w:ascii="宋体" w:hAnsi="宋体" w:cs="宋体"/>
          <w:vanish/>
          <w:sz w:val="24"/>
        </w:rPr>
      </w:pPr>
      <w:bookmarkStart w:id="18" w:name="_Toc1730274832"/>
    </w:p>
    <w:p w14:paraId="55DA8427">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bCs/>
          <w:sz w:val="24"/>
          <w:szCs w:val="24"/>
        </w:rPr>
      </w:pPr>
      <w:r>
        <w:rPr>
          <w:rFonts w:hint="eastAsia" w:ascii="宋体" w:hAnsi="宋体" w:cs="宋体"/>
          <w:b/>
          <w:bCs/>
          <w:sz w:val="24"/>
          <w:szCs w:val="24"/>
        </w:rPr>
        <w:t>合理用药</w:t>
      </w:r>
      <w:bookmarkEnd w:id="18"/>
    </w:p>
    <w:p w14:paraId="3B0CB152">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整体要求</w:t>
      </w:r>
    </w:p>
    <w:p w14:paraId="70FB78DE">
      <w:pPr>
        <w:spacing w:line="360" w:lineRule="auto"/>
        <w:ind w:firstLine="480" w:firstLineChars="200"/>
        <w:rPr>
          <w:rFonts w:hint="eastAsia" w:ascii="宋体" w:hAnsi="宋体"/>
          <w:sz w:val="24"/>
        </w:rPr>
      </w:pPr>
      <w:r>
        <w:rPr>
          <w:rFonts w:hint="eastAsia" w:ascii="宋体" w:hAnsi="宋体"/>
          <w:sz w:val="24"/>
        </w:rPr>
        <w:t>合理用药系统旨在全面提升医疗机构内的用药安全水平与药物治疗效果，其核心功能在于通过高度集成的信息化手段，向所有接入的医生工作站提供实时、精准的合理用药预警与提示功能。</w:t>
      </w:r>
    </w:p>
    <w:p w14:paraId="7A58D3E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门诊医生站合理用药</w:t>
      </w:r>
    </w:p>
    <w:p w14:paraId="3CC7584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4"/>
        </w:rPr>
      </w:pPr>
      <w:r>
        <w:rPr>
          <w:rFonts w:hint="eastAsia" w:ascii="宋体" w:hAnsi="宋体" w:cs="宋体"/>
          <w:b w:val="0"/>
          <w:bCs w:val="0"/>
          <w:sz w:val="24"/>
          <w:szCs w:val="24"/>
        </w:rPr>
        <w:t>要求概述</w:t>
      </w:r>
    </w:p>
    <w:p w14:paraId="4691AD20">
      <w:pPr>
        <w:spacing w:line="360" w:lineRule="auto"/>
        <w:ind w:firstLine="480" w:firstLineChars="200"/>
        <w:rPr>
          <w:rFonts w:hint="eastAsia" w:ascii="宋体" w:hAnsi="宋体"/>
          <w:sz w:val="24"/>
        </w:rPr>
      </w:pPr>
      <w:r>
        <w:rPr>
          <w:rFonts w:hint="eastAsia" w:ascii="宋体" w:hAnsi="宋体"/>
          <w:sz w:val="24"/>
        </w:rPr>
        <w:t>通过向所有接入的门急诊医生工作站提供合理用药预警与提示功能，形成集中用药安全管理和用药知识共享，在相同的共性化用药知识规则驱动下，对医生开方实现多维度的用药风险预警和提醒。功能要求：可实现在医生开方时进行用药安全提示、用药知识的推送、查询药品说明书和合理用药分析数据的统计功能。</w:t>
      </w:r>
    </w:p>
    <w:p w14:paraId="5DAB739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4"/>
        </w:rPr>
      </w:pPr>
      <w:r>
        <w:rPr>
          <w:rFonts w:hint="eastAsia" w:ascii="宋体" w:hAnsi="宋体" w:cs="宋体"/>
          <w:b w:val="0"/>
          <w:bCs w:val="0"/>
          <w:sz w:val="24"/>
          <w:szCs w:val="24"/>
        </w:rPr>
        <w:t>处方用药风险自动审查</w:t>
      </w:r>
    </w:p>
    <w:p w14:paraId="157E9FA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在医生开具处方时，自动调用【智慧药学知识库智能分析服务】组件和【药学知识建设】组件对处方中的药物过敏、用药合法合规和用药安全进行自动审查，并将分析结果提示给医生，具体要求如下：</w:t>
      </w:r>
    </w:p>
    <w:p w14:paraId="172F3E87">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具备在医生尚未提交处方时，对处方中的某一药品的过敏风险进行提示的功能；</w:t>
      </w:r>
    </w:p>
    <w:p w14:paraId="0A7E7259">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具备在医生尚未提交处方时，对处方中的高危药品用药风险进行提示的功能；</w:t>
      </w:r>
    </w:p>
    <w:p w14:paraId="2FF587BD">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具备在医生开具药品时，显示系统要点提示或用户自定义要点提示的功能。</w:t>
      </w:r>
    </w:p>
    <w:p w14:paraId="3BA75451">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具备对医生开具药品的权限进行法律法规和行政管理方面的审查分析，并展示相关提示的功能；</w:t>
      </w:r>
    </w:p>
    <w:p w14:paraId="1D5A8CA8">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具备结合患者生理状况，对处方用药的适宜性进行多维度的审查分析，并展示相关提示的功能；</w:t>
      </w:r>
    </w:p>
    <w:p w14:paraId="35D2CBB8">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具备对处方中潜在的用药风险进行审查分析，并展示相关提示的功能。</w:t>
      </w:r>
    </w:p>
    <w:p w14:paraId="72DE1EA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4"/>
        </w:rPr>
      </w:pPr>
      <w:r>
        <w:rPr>
          <w:rFonts w:hint="eastAsia" w:ascii="宋体" w:hAnsi="宋体" w:cs="宋体"/>
          <w:b w:val="0"/>
          <w:bCs w:val="0"/>
          <w:sz w:val="24"/>
          <w:szCs w:val="24"/>
        </w:rPr>
        <w:t>用药知识查询</w:t>
      </w:r>
    </w:p>
    <w:p w14:paraId="4E4A80C0">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医生可在开方时查看相关药物的说明书和用药注意事项，具体如下：</w:t>
      </w:r>
    </w:p>
    <w:p w14:paraId="1E034ABD">
      <w:pPr>
        <w:pStyle w:val="7"/>
        <w:widowControl/>
        <w:numPr>
          <w:ilvl w:val="5"/>
          <w:numId w:val="1"/>
        </w:numPr>
        <w:tabs>
          <w:tab w:val="clear" w:pos="4149"/>
        </w:tabs>
        <w:spacing w:before="0" w:beforeAutospacing="0" w:after="0" w:afterAutospacing="0" w:line="360" w:lineRule="auto"/>
        <w:ind w:left="839"/>
        <w:jc w:val="left"/>
        <w:outlineLvl w:val="1"/>
        <w:rPr>
          <w:rFonts w:hint="eastAsia" w:ascii="宋体" w:hAnsi="宋体" w:cs="宋体"/>
          <w:b w:val="0"/>
          <w:bCs w:val="0"/>
          <w:szCs w:val="22"/>
        </w:rPr>
      </w:pPr>
      <w:r>
        <w:rPr>
          <w:rFonts w:hint="eastAsia" w:ascii="宋体" w:hAnsi="宋体" w:cs="宋体"/>
          <w:b w:val="0"/>
          <w:bCs w:val="0"/>
          <w:szCs w:val="22"/>
        </w:rPr>
        <w:t>具备在医生站界面嵌入药品的说明书查看路径的功能；</w:t>
      </w:r>
    </w:p>
    <w:p w14:paraId="7F56FF5C">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具备在开具处方时调阅药品说明书的功能。</w:t>
      </w:r>
    </w:p>
    <w:p w14:paraId="7252B4A8">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医生端用药信息提示具备倒计时功能，并可设置倒计时时长，具体如下：具备在医生站合理用药提示框显示倒计时的功能；具备对提示框倒计时时长进行自定义设置的功能。</w:t>
      </w:r>
    </w:p>
    <w:p w14:paraId="69E99667">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住院医生站合理用药</w:t>
      </w:r>
    </w:p>
    <w:p w14:paraId="413BD38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要求概述</w:t>
      </w:r>
    </w:p>
    <w:p w14:paraId="2F2F6B71">
      <w:pPr>
        <w:spacing w:line="360" w:lineRule="auto"/>
        <w:ind w:firstLine="480" w:firstLineChars="200"/>
        <w:rPr>
          <w:rFonts w:hint="eastAsia" w:ascii="宋体" w:hAnsi="宋体"/>
          <w:sz w:val="24"/>
        </w:rPr>
      </w:pPr>
      <w:r>
        <w:rPr>
          <w:rFonts w:hint="eastAsia" w:ascii="宋体" w:hAnsi="宋体"/>
          <w:sz w:val="24"/>
        </w:rPr>
        <w:t>通过向所有接入的住院医生工作站提供合理用药预警与提示功能，形成集中用药安全管理和用药知识共享，在相同的共性化用药知识规则驱动下，对医生开具的医嘱实现多维度用药风险预警和提醒。功能要求：可实现在医生开方时进行用药安全提示、用药知识的推送、查询药品说明书和合理用药分析数据的统计功能。</w:t>
      </w:r>
    </w:p>
    <w:p w14:paraId="49398FC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医嘱用药风险自动审查</w:t>
      </w:r>
    </w:p>
    <w:p w14:paraId="404D112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在医生开具医嘱时，自动调用【智慧药学知识库智能分析服务】组件和【药学知识建设】组件对长、临医嘱中的药物过敏、用药合法合规和用药安全进行自动审查，并将分析提示展示给医生，具体要求如下：</w:t>
      </w:r>
    </w:p>
    <w:p w14:paraId="3A66C1C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具备在医生尚未提交医嘱时，对长、临医嘱的用药过敏风险进行提示的功能；</w:t>
      </w:r>
    </w:p>
    <w:p w14:paraId="1324370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具备在医生尚未提交处方时，对长、临医嘱中的高危药品用药风险进行提示的功能；</w:t>
      </w:r>
    </w:p>
    <w:p w14:paraId="6F5FAB3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具备在医生开具药品医嘱时，显示系统要点提示或用户自定义要点提示的功能。</w:t>
      </w:r>
    </w:p>
    <w:p w14:paraId="32C2CDF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具备对医生开具药品的权限进行法律法规和行政管理方面的审查分析，并展示相关提示的功能；</w:t>
      </w:r>
    </w:p>
    <w:p w14:paraId="76638FC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具备结合患者生理状况，对长、临医嘱中用药的适宜性进行多维度的审查分析，并展示相关提示的功能；</w:t>
      </w:r>
    </w:p>
    <w:p w14:paraId="648FE7CF">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具备对长、临医嘱中潜在的用药风险进行审查分析，并展示相关提示的功能。</w:t>
      </w:r>
    </w:p>
    <w:p w14:paraId="7FBCEFA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开具质子泵抑制剂药品时，需填写用药评估单。提供评估单专项统计分析。</w:t>
      </w:r>
    </w:p>
    <w:p w14:paraId="0E42B26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可评估患者病发状态，若存在应激性溃疡风险，提供质子泵抑制剂用药建议。</w:t>
      </w:r>
    </w:p>
    <w:p w14:paraId="2FC235D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用药知识查询</w:t>
      </w:r>
    </w:p>
    <w:p w14:paraId="18D58B4C">
      <w:pPr>
        <w:spacing w:line="360" w:lineRule="auto"/>
        <w:ind w:firstLine="480" w:firstLineChars="200"/>
        <w:rPr>
          <w:rFonts w:hint="eastAsia" w:ascii="宋体" w:hAnsi="宋体"/>
          <w:sz w:val="24"/>
        </w:rPr>
      </w:pPr>
      <w:r>
        <w:rPr>
          <w:rFonts w:hint="eastAsia" w:ascii="宋体" w:hAnsi="宋体"/>
          <w:sz w:val="24"/>
        </w:rPr>
        <w:t>医生可在开具医嘱时查看相关药物的说明书和用药注意事项，具备在医生站界面嵌入药品的说明书查看路径的功能。具备在开具医嘱时调阅药品说明书的功能。</w:t>
      </w:r>
    </w:p>
    <w:p w14:paraId="534DB0C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提示信息计时</w:t>
      </w:r>
    </w:p>
    <w:p w14:paraId="6633E236">
      <w:pPr>
        <w:spacing w:line="360" w:lineRule="auto"/>
        <w:ind w:firstLine="480" w:firstLineChars="200"/>
        <w:rPr>
          <w:rFonts w:hint="eastAsia" w:ascii="宋体" w:hAnsi="宋体"/>
          <w:sz w:val="24"/>
        </w:rPr>
      </w:pPr>
      <w:r>
        <w:rPr>
          <w:rFonts w:hint="eastAsia" w:ascii="宋体" w:hAnsi="宋体"/>
          <w:sz w:val="24"/>
        </w:rPr>
        <w:t>医生端用药信息提示具备倒计时功能，并可设置倒计时时长，具备医生站合理用药提示框信息的倒计时显示功能的功能；具备对提示框的倒计时时长进行自定义设置的功能。</w:t>
      </w:r>
    </w:p>
    <w:p w14:paraId="6F7A3005">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合理用药医生站嵌入功能</w:t>
      </w:r>
    </w:p>
    <w:p w14:paraId="3D911A1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要求概述</w:t>
      </w:r>
    </w:p>
    <w:p w14:paraId="02A1C789">
      <w:pPr>
        <w:spacing w:line="360" w:lineRule="auto"/>
        <w:ind w:firstLine="480" w:firstLineChars="200"/>
        <w:rPr>
          <w:rFonts w:hint="eastAsia" w:ascii="宋体" w:hAnsi="宋体"/>
          <w:sz w:val="24"/>
        </w:rPr>
      </w:pPr>
      <w:r>
        <w:rPr>
          <w:rFonts w:hint="eastAsia" w:ascii="宋体" w:hAnsi="宋体"/>
          <w:sz w:val="24"/>
        </w:rPr>
        <w:t>可通过医生站快捷查询合理用药分析结果，并可查询药品说明书和相关用药知识。便于医生对自己的开方情况有所了解。</w:t>
      </w:r>
    </w:p>
    <w:p w14:paraId="13707F9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医生站查询嵌入功能</w:t>
      </w:r>
    </w:p>
    <w:p w14:paraId="39D0BE13">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医生站药品说明书嵌入查询</w:t>
      </w:r>
    </w:p>
    <w:p w14:paraId="1818A91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具备快捷查看系统中所有药品说明书和医疗机构在用药品说明书的功能；</w:t>
      </w:r>
    </w:p>
    <w:p w14:paraId="051B5DBA">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具备对医疗机构在用药品以不同标记显示的功能。</w:t>
      </w:r>
    </w:p>
    <w:p w14:paraId="05E76CE9">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药品相关知识嵌入查询</w:t>
      </w:r>
    </w:p>
    <w:p w14:paraId="1A49CCEF">
      <w:pPr>
        <w:pStyle w:val="7"/>
        <w:keepNext w:val="0"/>
        <w:keepLines w:val="0"/>
        <w:widowControl/>
        <w:numPr>
          <w:ilvl w:val="5"/>
          <w:numId w:val="1"/>
        </w:numPr>
        <w:tabs>
          <w:tab w:val="clear" w:pos="4149"/>
        </w:tabs>
        <w:spacing w:before="0" w:beforeAutospacing="0" w:after="0" w:afterAutospacing="0" w:line="360" w:lineRule="auto"/>
        <w:ind w:left="839"/>
        <w:jc w:val="left"/>
        <w:outlineLvl w:val="2"/>
        <w:rPr>
          <w:rFonts w:hint="eastAsia" w:ascii="宋体" w:hAnsi="宋体" w:cs="宋体"/>
          <w:b w:val="0"/>
          <w:bCs w:val="0"/>
          <w:szCs w:val="22"/>
        </w:rPr>
      </w:pPr>
      <w:r>
        <w:rPr>
          <w:rFonts w:hint="eastAsia" w:ascii="宋体" w:hAnsi="宋体" w:cs="宋体"/>
          <w:b w:val="0"/>
          <w:bCs w:val="0"/>
          <w:szCs w:val="22"/>
        </w:rPr>
        <w:t>具备快捷查询药品知识信息的功能；</w:t>
      </w:r>
    </w:p>
    <w:p w14:paraId="1C47BFB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可快捷查看药品相关重要信息；</w:t>
      </w:r>
    </w:p>
    <w:p w14:paraId="0791E57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药品厂家说明书并可查看药监局发布的说明书修订勘误，修改和新增药品说明书内容；</w:t>
      </w:r>
    </w:p>
    <w:p w14:paraId="031C928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查询相应药品的中药材专论信息。</w:t>
      </w:r>
    </w:p>
    <w:p w14:paraId="7A2DCA0F">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具备快捷查询药品说明书修订公告的功能；</w:t>
      </w:r>
    </w:p>
    <w:p w14:paraId="49ADA82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医生站合理用药分析结果快捷嵌入功能</w:t>
      </w:r>
    </w:p>
    <w:p w14:paraId="3B7D18A7">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合理用药分析结果嵌入查询</w:t>
      </w:r>
    </w:p>
    <w:p w14:paraId="492783D4">
      <w:pPr>
        <w:spacing w:line="360" w:lineRule="auto"/>
        <w:ind w:firstLine="480" w:firstLineChars="200"/>
        <w:rPr>
          <w:rFonts w:hint="eastAsia" w:ascii="宋体" w:hAnsi="宋体"/>
          <w:sz w:val="24"/>
        </w:rPr>
      </w:pPr>
      <w:r>
        <w:rPr>
          <w:rFonts w:hint="eastAsia" w:ascii="宋体" w:hAnsi="宋体"/>
          <w:sz w:val="24"/>
        </w:rPr>
        <w:t>具备在医生站对用药风险进行警示，并可快速查看用药风险的功能。</w:t>
      </w:r>
    </w:p>
    <w:p w14:paraId="0BF92899">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合理用药分析记录嵌入查询</w:t>
      </w:r>
    </w:p>
    <w:p w14:paraId="70971B1E">
      <w:pPr>
        <w:pStyle w:val="7"/>
        <w:keepNext w:val="0"/>
        <w:keepLines w:val="0"/>
        <w:widowControl/>
        <w:numPr>
          <w:ilvl w:val="5"/>
          <w:numId w:val="1"/>
        </w:numPr>
        <w:tabs>
          <w:tab w:val="clear" w:pos="4149"/>
        </w:tabs>
        <w:spacing w:before="0" w:beforeAutospacing="0" w:after="0" w:afterAutospacing="0" w:line="360" w:lineRule="auto"/>
        <w:ind w:left="839"/>
        <w:jc w:val="left"/>
        <w:outlineLvl w:val="1"/>
        <w:rPr>
          <w:rFonts w:hint="eastAsia" w:ascii="宋体" w:hAnsi="宋体" w:cs="宋体"/>
          <w:b w:val="0"/>
          <w:bCs w:val="0"/>
          <w:szCs w:val="22"/>
        </w:rPr>
      </w:pPr>
      <w:r>
        <w:rPr>
          <w:rFonts w:hint="eastAsia" w:ascii="宋体" w:hAnsi="宋体" w:cs="宋体"/>
          <w:b w:val="0"/>
          <w:bCs w:val="0"/>
          <w:szCs w:val="22"/>
        </w:rPr>
        <w:t>具备在医生站快捷查询合理用药问题历史记录的功能；</w:t>
      </w:r>
    </w:p>
    <w:p w14:paraId="6FF84E2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具备在医生站快捷查看合理用药问题明细信息的功能。</w:t>
      </w:r>
    </w:p>
    <w:p w14:paraId="23DBECFD">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合理用药情况统计分析</w:t>
      </w:r>
    </w:p>
    <w:p w14:paraId="471F7B4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2"/>
        </w:rPr>
        <w:t>要求概述</w:t>
      </w:r>
    </w:p>
    <w:p w14:paraId="1DC8422F">
      <w:pPr>
        <w:spacing w:line="360" w:lineRule="auto"/>
        <w:ind w:firstLine="480" w:firstLineChars="200"/>
        <w:rPr>
          <w:rFonts w:hint="eastAsia" w:ascii="宋体" w:hAnsi="宋体"/>
          <w:sz w:val="24"/>
        </w:rPr>
      </w:pPr>
      <w:r>
        <w:rPr>
          <w:rFonts w:hint="eastAsia" w:ascii="宋体" w:hAnsi="宋体"/>
          <w:sz w:val="24"/>
        </w:rPr>
        <w:t>查询合理用药的问题处方信息以及问题处方统计。</w:t>
      </w:r>
    </w:p>
    <w:p w14:paraId="269FC93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合理用药问题处方查询</w:t>
      </w:r>
    </w:p>
    <w:p w14:paraId="5AF5EE2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具备通过科室、医生、患者、药品、问题级别等单项条件查询问题处方的功能；</w:t>
      </w:r>
    </w:p>
    <w:p w14:paraId="27BF604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具备通过科室、医生、患者、药品、问题级别等多项条件组合查询问题处方的功能。</w:t>
      </w:r>
    </w:p>
    <w:p w14:paraId="73DE8B5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4"/>
        </w:rPr>
      </w:pPr>
      <w:r>
        <w:rPr>
          <w:rFonts w:hint="eastAsia" w:ascii="宋体" w:hAnsi="宋体" w:cs="宋体"/>
          <w:b w:val="0"/>
          <w:bCs w:val="0"/>
          <w:sz w:val="24"/>
          <w:szCs w:val="24"/>
        </w:rPr>
        <w:t>合理用药问题处方统计</w:t>
      </w:r>
    </w:p>
    <w:p w14:paraId="3B9578BB">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具备对问题处方和无问题处方的统计，并以图表形式呈现的功能；</w:t>
      </w:r>
    </w:p>
    <w:p w14:paraId="704560D8">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具备对处方问题按问题类型进行统计，并以图表形式呈现的功能；</w:t>
      </w:r>
    </w:p>
    <w:p w14:paraId="30A1202D">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具备对处方问题按问题等级进行统计，并以图表形式呈现的功能；</w:t>
      </w:r>
    </w:p>
    <w:p w14:paraId="305C32CB">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具备统计表数据下钻查看问题处方明细的功能。</w:t>
      </w:r>
    </w:p>
    <w:p w14:paraId="5C15646B">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静配中心药房合理用药风险审查</w:t>
      </w:r>
    </w:p>
    <w:p w14:paraId="3BBA526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具备对接医疗机构静配药房端系统的功能；</w:t>
      </w:r>
    </w:p>
    <w:p w14:paraId="75F945E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具备调用【智慧药学知识库智能分析服务】中配伍禁忌、重复用药等相关分析规则审查医生开具的处方/医嘱的功能；</w:t>
      </w:r>
    </w:p>
    <w:p w14:paraId="76FCEB5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具备在静配中心药房发药处提示处方/医嘱用药风险问题的功能。</w:t>
      </w:r>
    </w:p>
    <w:p w14:paraId="5FDC6840">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bCs/>
          <w:sz w:val="24"/>
          <w:szCs w:val="24"/>
        </w:rPr>
      </w:pPr>
      <w:bookmarkStart w:id="19" w:name="_Toc174632277"/>
      <w:bookmarkStart w:id="20" w:name="_Toc1653037397"/>
      <w:r>
        <w:rPr>
          <w:rFonts w:hint="eastAsia" w:ascii="宋体" w:hAnsi="宋体" w:cs="宋体"/>
          <w:b/>
          <w:bCs/>
          <w:sz w:val="24"/>
          <w:szCs w:val="24"/>
        </w:rPr>
        <w:t>审方系统</w:t>
      </w:r>
      <w:bookmarkEnd w:id="19"/>
      <w:bookmarkEnd w:id="20"/>
    </w:p>
    <w:p w14:paraId="259859C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整体要求</w:t>
      </w:r>
    </w:p>
    <w:p w14:paraId="60B840A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审方系统是一种高度集成的信息化解决方案，旨在提升医疗机构处方审核的效率与质量，确保患者用药的安全性和有效性，此次建设过程中根据机构实际开展的业务按需部署覆盖。</w:t>
      </w:r>
    </w:p>
    <w:p w14:paraId="1794B344">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医生站审方干预</w:t>
      </w:r>
    </w:p>
    <w:p w14:paraId="3EADE97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系统自动对医生开具的处方/医嘱进行用药问题分级，并对用药安全问题较大的处方/医嘱进行干预或拦截，同时将用药风险提示推送至医生工作站。</w:t>
      </w:r>
    </w:p>
    <w:p w14:paraId="30E1F85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门急诊医生站审方干预</w:t>
      </w:r>
    </w:p>
    <w:p w14:paraId="6801A68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急诊处方审查干预</w:t>
      </w:r>
    </w:p>
    <w:p w14:paraId="225D8ED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具备调用【智慧药学知识库智能分析服务】对门急诊处方用药问题划分不同等级的功能；</w:t>
      </w:r>
    </w:p>
    <w:p w14:paraId="7A3D77C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具备不同等级的处方用药问题对应不同系统预审干预效果的功能；</w:t>
      </w:r>
    </w:p>
    <w:p w14:paraId="232873B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审方干预结果推送</w:t>
      </w:r>
    </w:p>
    <w:p w14:paraId="61ED1C4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具备将审方干预信息推送至医生站的功能；</w:t>
      </w:r>
    </w:p>
    <w:p w14:paraId="606200D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具备对药师人工干预的用药问题进行医师和药师互动沟通的功能；</w:t>
      </w:r>
    </w:p>
    <w:p w14:paraId="2AC640E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具备医生填写用药理由并回复审方药师的功能；</w:t>
      </w:r>
    </w:p>
    <w:p w14:paraId="12B46B6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具备审方干预和开方不间断进行的功能。</w:t>
      </w:r>
    </w:p>
    <w:p w14:paraId="2E8942E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医生站审方结果操作</w:t>
      </w:r>
    </w:p>
    <w:p w14:paraId="62D98F9B">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具备接收药师处方审核结果的功能；</w:t>
      </w:r>
    </w:p>
    <w:p w14:paraId="4F6723C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具备医生修改或填写用药理由后坚持使用处方的功能；</w:t>
      </w:r>
    </w:p>
    <w:p w14:paraId="42D41D1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具备医生选择双签通过，处方自动通过二次审核的功能。</w:t>
      </w:r>
    </w:p>
    <w:p w14:paraId="5E6C39F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住院医生站审方干预</w:t>
      </w:r>
    </w:p>
    <w:p w14:paraId="78F7BCC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住院处方审查干预</w:t>
      </w:r>
    </w:p>
    <w:p w14:paraId="5312CDAD">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具备调用【智慧药学知识库智能分析服务】对住院医嘱用药问题划分不同等级的功能；</w:t>
      </w:r>
    </w:p>
    <w:p w14:paraId="1369518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具备不同等级的医嘱用药问题对应不同系统预审干预效果的功能；</w:t>
      </w:r>
    </w:p>
    <w:p w14:paraId="4A6935D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审方干预结果推送</w:t>
      </w:r>
    </w:p>
    <w:p w14:paraId="4142F00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具备将审方干预信息推送至医生站的功能；</w:t>
      </w:r>
    </w:p>
    <w:p w14:paraId="3FFF8A4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具备对药师人工干预的用药问题进行医师和药师互动沟通的功能；</w:t>
      </w:r>
    </w:p>
    <w:p w14:paraId="4969573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具备医生填写用药理由并回复审方药师的功能；</w:t>
      </w:r>
    </w:p>
    <w:p w14:paraId="69435EA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具备审方干预和开方不间断进行的功能。</w:t>
      </w:r>
    </w:p>
    <w:p w14:paraId="5893E53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医生站审方结果操作</w:t>
      </w:r>
    </w:p>
    <w:p w14:paraId="3CCC7A8B">
      <w:pPr>
        <w:pStyle w:val="7"/>
        <w:keepNext w:val="0"/>
        <w:keepLines w:val="0"/>
        <w:widowControl/>
        <w:numPr>
          <w:ilvl w:val="5"/>
          <w:numId w:val="1"/>
        </w:numPr>
        <w:tabs>
          <w:tab w:val="clear" w:pos="4149"/>
        </w:tabs>
        <w:spacing w:before="0" w:beforeAutospacing="0" w:after="0" w:afterAutospacing="0" w:line="360" w:lineRule="auto"/>
        <w:ind w:left="839"/>
        <w:jc w:val="left"/>
        <w:outlineLvl w:val="2"/>
        <w:rPr>
          <w:rFonts w:hint="eastAsia" w:ascii="宋体" w:hAnsi="宋体" w:cs="宋体"/>
          <w:b w:val="0"/>
          <w:bCs w:val="0"/>
          <w:szCs w:val="22"/>
        </w:rPr>
      </w:pPr>
      <w:r>
        <w:rPr>
          <w:rFonts w:hint="eastAsia" w:ascii="宋体" w:hAnsi="宋体" w:cs="宋体"/>
          <w:b w:val="0"/>
          <w:bCs w:val="0"/>
          <w:szCs w:val="22"/>
        </w:rPr>
        <w:t>具备接收药师处方审核结果的功能；</w:t>
      </w:r>
    </w:p>
    <w:p w14:paraId="0B85F60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具备医生修改或填写用药理由后坚持使用处方的功能；</w:t>
      </w:r>
    </w:p>
    <w:p w14:paraId="2D3B06C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具备医生选择双签通过，处方自动通过二次审核的功能。</w:t>
      </w:r>
    </w:p>
    <w:p w14:paraId="4C7F397C">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前置审方个性化方案设定</w:t>
      </w:r>
    </w:p>
    <w:p w14:paraId="47CD314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可对审方方案、审方科室、用户权限、模板配置等进行自定义设置，形成个性化的医疗机构审方方案。</w:t>
      </w:r>
    </w:p>
    <w:p w14:paraId="25E915F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个性化审方方案设定</w:t>
      </w:r>
    </w:p>
    <w:p w14:paraId="79FD5B8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门诊审方方案设定</w:t>
      </w:r>
    </w:p>
    <w:p w14:paraId="07AD5B5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具备对门诊审方设置启用/停用的功能；</w:t>
      </w:r>
    </w:p>
    <w:p w14:paraId="2095872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具备对门诊处方超时自动通过的设置，可设定超时的具体时长的功能；</w:t>
      </w:r>
    </w:p>
    <w:p w14:paraId="236E8A4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具备对门诊处方超时的设置，可设定超时的具体时长的功能；</w:t>
      </w:r>
    </w:p>
    <w:p w14:paraId="62BBBEF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具备将门诊、急诊处方分开进行审核设置的功能；</w:t>
      </w:r>
    </w:p>
    <w:p w14:paraId="5799657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住院审方方案设定</w:t>
      </w:r>
    </w:p>
    <w:p w14:paraId="32D6635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具备对住院医嘱审方设置启用/停用的功能；</w:t>
      </w:r>
    </w:p>
    <w:p w14:paraId="65AEDE8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具备对住院医嘱超时自动通过的设置，可设定超时的具体时长的功能；</w:t>
      </w:r>
    </w:p>
    <w:p w14:paraId="009B783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具备对住院医嘱超时的设置，可设定超时的具体时长的功能；</w:t>
      </w:r>
    </w:p>
    <w:p w14:paraId="675EF4D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全处方审核设定</w:t>
      </w:r>
    </w:p>
    <w:p w14:paraId="40E4FFA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具备通过开启全处方审核对所有处方进行人工审核的功能；</w:t>
      </w:r>
    </w:p>
    <w:p w14:paraId="2C2FA90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具备通过关闭全处方审核对较高问题级别的处方进行人工审核的功能。</w:t>
      </w:r>
    </w:p>
    <w:p w14:paraId="3B73DD0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审方科室范围设定</w:t>
      </w:r>
    </w:p>
    <w:p w14:paraId="66F29EC5">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具备设置哪些科室的处方/医嘱进入审方中心进行审核的功能；</w:t>
      </w:r>
    </w:p>
    <w:p w14:paraId="04C1CDE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具备在设置审方科室范围的情况下默认处方都进入审方中心的功能；</w:t>
      </w:r>
    </w:p>
    <w:p w14:paraId="1A03C9D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具备对门诊和急诊分别进行审方科室范围设置的功能。</w:t>
      </w:r>
    </w:p>
    <w:p w14:paraId="1E63112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审方权限设定</w:t>
      </w:r>
    </w:p>
    <w:p w14:paraId="5996BD8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按科室审方权限设定</w:t>
      </w:r>
    </w:p>
    <w:p w14:paraId="06F2614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具备对不同的审方药师分配审方科室的权限的功能。</w:t>
      </w:r>
    </w:p>
    <w:p w14:paraId="1B8B9EB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按药房审方权限设定</w:t>
      </w:r>
    </w:p>
    <w:p w14:paraId="5654A0DB">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具备对不同的审方药师分配审方药房的权限的功能。</w:t>
      </w:r>
    </w:p>
    <w:p w14:paraId="07ABCB4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审方自动回复模板设定</w:t>
      </w:r>
    </w:p>
    <w:p w14:paraId="64A119F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审方药师在回复医生用药建议时，可通过选择设定的审方回复模板，实现高效快捷的医师与药师的线上沟通，具体如下：</w:t>
      </w:r>
    </w:p>
    <w:p w14:paraId="136EBA2E">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具备新增/修改/删除审方回复模板的内容的功能。</w:t>
      </w:r>
    </w:p>
    <w:p w14:paraId="19E9443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问题处方等级定义和设置</w:t>
      </w:r>
    </w:p>
    <w:p w14:paraId="24E9B83C">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具备修改系统审核的处方问题类型的功能；</w:t>
      </w:r>
    </w:p>
    <w:p w14:paraId="354DA49F">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具备按照问题大类对问题级别调整并指定院区和科室的功能；</w:t>
      </w:r>
    </w:p>
    <w:p w14:paraId="7EB144E5">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具备在修改处方问题级别时进行权限管理的功能；</w:t>
      </w:r>
    </w:p>
    <w:p w14:paraId="71ACFCED">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具备对审方进行二次打回设置的功能。</w:t>
      </w:r>
    </w:p>
    <w:p w14:paraId="146FF42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问题处方历史记录</w:t>
      </w:r>
    </w:p>
    <w:p w14:paraId="25F55C59">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按问题等级查询问题处方</w:t>
      </w:r>
    </w:p>
    <w:p w14:paraId="50E48B5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具备根据问题级别、药品类别和审核状态等条件查询审方记录的功能；</w:t>
      </w:r>
    </w:p>
    <w:p w14:paraId="6AC152C1">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具备查询历史问题处方的具体明细信息的功能；</w:t>
      </w:r>
    </w:p>
    <w:p w14:paraId="1590960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具备对调整和修改过处方问题的处方进行查询的功能；</w:t>
      </w:r>
    </w:p>
    <w:p w14:paraId="66D82AD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具备设置与应用科室或专科进行关联的功能；</w:t>
      </w:r>
    </w:p>
    <w:p w14:paraId="0DF0389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具备查看调整和修改处方问题的具体操作明细的功能。</w:t>
      </w:r>
    </w:p>
    <w:p w14:paraId="53B80BCA">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审方历史导出</w:t>
      </w:r>
    </w:p>
    <w:p w14:paraId="56A925CA">
      <w:pPr>
        <w:pStyle w:val="7"/>
        <w:keepNext w:val="0"/>
        <w:keepLines w:val="0"/>
        <w:widowControl/>
        <w:numPr>
          <w:ilvl w:val="5"/>
          <w:numId w:val="1"/>
        </w:numPr>
        <w:tabs>
          <w:tab w:val="clear" w:pos="4149"/>
        </w:tabs>
        <w:spacing w:before="0" w:beforeAutospacing="0" w:after="0" w:afterAutospacing="0" w:line="360" w:lineRule="auto"/>
        <w:ind w:left="839"/>
        <w:jc w:val="left"/>
        <w:outlineLvl w:val="1"/>
        <w:rPr>
          <w:rFonts w:hint="eastAsia" w:ascii="宋体" w:hAnsi="宋体" w:cs="宋体"/>
          <w:b w:val="0"/>
          <w:bCs w:val="0"/>
          <w:szCs w:val="22"/>
        </w:rPr>
      </w:pPr>
      <w:r>
        <w:rPr>
          <w:rFonts w:hint="eastAsia" w:ascii="宋体" w:hAnsi="宋体" w:cs="宋体"/>
          <w:b w:val="0"/>
          <w:bCs w:val="0"/>
          <w:szCs w:val="22"/>
        </w:rPr>
        <w:t>具备导出历史审方记录的功能；</w:t>
      </w:r>
    </w:p>
    <w:p w14:paraId="321B955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具备按药品明细设置导出格式的功能；</w:t>
      </w:r>
    </w:p>
    <w:p w14:paraId="673C239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具备设置导出模板的表格字段设置的功能。</w:t>
      </w:r>
    </w:p>
    <w:p w14:paraId="092DFF32">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药师端前置审方工作站</w:t>
      </w:r>
    </w:p>
    <w:p w14:paraId="44A3E28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门急诊审方干预</w:t>
      </w:r>
    </w:p>
    <w:p w14:paraId="5E353153">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待审处方预审</w:t>
      </w:r>
    </w:p>
    <w:p w14:paraId="39B21B6A">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具备开启/关闭人工干预模式的功能；</w:t>
      </w:r>
    </w:p>
    <w:p w14:paraId="00D2785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具备将系统预审为较高问题级别的处方推送至药师端前置审方工作站的功能；</w:t>
      </w:r>
    </w:p>
    <w:p w14:paraId="255E87D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具备对需要药师进行人工审核干预的处方进行提示的功能；</w:t>
      </w:r>
    </w:p>
    <w:p w14:paraId="368E9A8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具备药师在审方时查看待审核处方明细，以及批量列出待审方处方的功能；</w:t>
      </w:r>
    </w:p>
    <w:p w14:paraId="17CAF45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具备查看系统智能预审的参考信息和处方问题等级的功能；</w:t>
      </w:r>
    </w:p>
    <w:p w14:paraId="600C6DB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具备对待审核处方进行批量审方处理的功能；</w:t>
      </w:r>
    </w:p>
    <w:p w14:paraId="57DAFE7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具备在审方过程中，通过其他医院信息化系统的交互查看患者相关信息的功能；</w:t>
      </w:r>
    </w:p>
    <w:p w14:paraId="07602EE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具备对问题处方类型、用户权限调整的功能；</w:t>
      </w:r>
    </w:p>
    <w:p w14:paraId="0FF37B4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szCs w:val="22"/>
        </w:rPr>
      </w:pPr>
      <w:r>
        <w:rPr>
          <w:rFonts w:hint="eastAsia" w:ascii="宋体" w:hAnsi="宋体" w:cs="宋体"/>
          <w:b w:val="0"/>
          <w:bCs w:val="0"/>
          <w:szCs w:val="22"/>
        </w:rPr>
        <w:t>具备对重点审方的处方独立审核的功能。</w:t>
      </w:r>
    </w:p>
    <w:p w14:paraId="0ACD3135">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药师人工审方干预</w:t>
      </w:r>
    </w:p>
    <w:p w14:paraId="7CE56CA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具备调用【智慧药学知识库智能分析服务】对处方合法合规进行自动审方，并具备药师对通过系统预审后的问题处方进行人工干预的功能；</w:t>
      </w:r>
    </w:p>
    <w:p w14:paraId="08856D6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具备调用【智慧药学知识库智能分析服务】对处方用药适宜性进行自动审方，并具备药师对通过系统预审后的问题处方进行人工干预的功能；</w:t>
      </w:r>
    </w:p>
    <w:p w14:paraId="01C2C74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具备在药师进行人工干预处方时执行“通过”或“打回”，“填写理由”等操作的功能；</w:t>
      </w:r>
    </w:p>
    <w:p w14:paraId="2863FE35">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具备对重要处方进行“锁定”以阻拦处方超时通过的功能；</w:t>
      </w:r>
    </w:p>
    <w:p w14:paraId="1F1C040F">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具备按处方信息、问题级别、审核等级，自动生成审方干预推荐意见的功能；</w:t>
      </w:r>
    </w:p>
    <w:p w14:paraId="10D484E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具备在结合检验指标与用药适宜性分析时，查看患者相关检验指标的功能；</w:t>
      </w:r>
    </w:p>
    <w:p w14:paraId="43FB300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具备通过同意审方干预推荐意见、按自定义模板选择审方干预意见、手工调整审方干预推荐意见等对处方进行“打回”操作的功能；</w:t>
      </w:r>
    </w:p>
    <w:p w14:paraId="166ECA3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具备医生提交至药师处的中药处方智能检索近似经典方剂供药师参考。</w:t>
      </w:r>
    </w:p>
    <w:p w14:paraId="3350B756">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处方二次干预</w:t>
      </w:r>
    </w:p>
    <w:p w14:paraId="3A9634C9">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具备结合医疗机构自身特点开启处方二次干预的功能。</w:t>
      </w:r>
    </w:p>
    <w:p w14:paraId="2F73D4FE">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审方点评归类</w:t>
      </w:r>
    </w:p>
    <w:p w14:paraId="09BEE32D">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具备对所有处方按三大类28小项进行审方事后的自动点评和归类的功能；</w:t>
      </w:r>
    </w:p>
    <w:p w14:paraId="7B1DF316">
      <w:pPr>
        <w:pStyle w:val="7"/>
        <w:keepNext w:val="0"/>
        <w:keepLines w:val="0"/>
        <w:widowControl/>
        <w:numPr>
          <w:ilvl w:val="5"/>
          <w:numId w:val="1"/>
        </w:numPr>
        <w:tabs>
          <w:tab w:val="clear" w:pos="4149"/>
        </w:tabs>
        <w:spacing w:before="0" w:beforeAutospacing="0" w:after="0" w:afterAutospacing="0" w:line="360" w:lineRule="auto"/>
        <w:ind w:left="839"/>
        <w:jc w:val="left"/>
        <w:outlineLvl w:val="2"/>
        <w:rPr>
          <w:rFonts w:hint="eastAsia" w:ascii="宋体" w:hAnsi="宋体" w:cs="宋体"/>
          <w:b w:val="0"/>
          <w:bCs w:val="0"/>
          <w:szCs w:val="22"/>
        </w:rPr>
      </w:pPr>
      <w:r>
        <w:rPr>
          <w:rFonts w:hint="eastAsia" w:ascii="宋体" w:hAnsi="宋体" w:cs="宋体"/>
          <w:b w:val="0"/>
          <w:bCs w:val="0"/>
          <w:szCs w:val="22"/>
        </w:rPr>
        <w:t>具备对审方事后的自动点评和归类进行人工点评的功能；</w:t>
      </w:r>
    </w:p>
    <w:p w14:paraId="4703869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具备结合审方事中自动审核和归类的内容和处方问题等级，对处方进行人工干预的功能。</w:t>
      </w:r>
    </w:p>
    <w:p w14:paraId="6D4FCCA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住院审方干预</w:t>
      </w:r>
    </w:p>
    <w:p w14:paraId="296A6B5F">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待审医嘱预审</w:t>
      </w:r>
    </w:p>
    <w:p w14:paraId="72A5F38D">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具备开启/关闭人工干预模式的功能；</w:t>
      </w:r>
    </w:p>
    <w:p w14:paraId="637D527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具备将系统预审为较高问题级别的医嘱推送至药师端前置审方工作站的功能；</w:t>
      </w:r>
    </w:p>
    <w:p w14:paraId="59D1B55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具备对需要药师进行人工干预的医嘱进行提示的功能；</w:t>
      </w:r>
    </w:p>
    <w:p w14:paraId="5D25913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具备药师在审方时查看待审核医嘱明细，以及批量列出待审核医嘱的功能；</w:t>
      </w:r>
    </w:p>
    <w:p w14:paraId="0541761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具备查看系统智能预审的参考信息和医嘱问题等级的功能；</w:t>
      </w:r>
    </w:p>
    <w:p w14:paraId="3B5C8BF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具备对待审核医嘱进行批量审方处理的功能；</w:t>
      </w:r>
    </w:p>
    <w:p w14:paraId="6872C91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具备在审方过程中，通过其他医院信息化系统的交互查看患者相关信息的功能；</w:t>
      </w:r>
    </w:p>
    <w:p w14:paraId="1698637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具备对问题医嘱的类型、用户权限调整的功能；</w:t>
      </w:r>
    </w:p>
    <w:p w14:paraId="6F2BF72F">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具备对重点审方的医嘱独立审核的功能。</w:t>
      </w:r>
    </w:p>
    <w:p w14:paraId="04B6C010">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药师人工审方干预</w:t>
      </w:r>
    </w:p>
    <w:p w14:paraId="71F2CE3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具备调用【智慧药学知识库智能分析服务】对医嘱合法合规进行自动审方，并具备药师对通过系统预审后的问题医嘱进行人工干预的功能；</w:t>
      </w:r>
    </w:p>
    <w:p w14:paraId="0ADD50B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具备调用【智慧药学知识库智能分析服务】对医嘱用药适宜性进行自动审方，并具备药师对通过系统预审后的问题医嘱进行人工干预的功能；</w:t>
      </w:r>
    </w:p>
    <w:p w14:paraId="676D924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具备在药师进行人工干预医嘱时执行“通过”或“打回”，“填写理由”等操作的功能；</w:t>
      </w:r>
    </w:p>
    <w:p w14:paraId="7192ABC6">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具备对重要医嘱进行“锁定”以阻拦该医嘱超时通过的功能；</w:t>
      </w:r>
    </w:p>
    <w:p w14:paraId="22D4CB4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具备按医嘱信息、问题级别、审核等级，自动生成审方干预推荐意见的功能；</w:t>
      </w:r>
    </w:p>
    <w:p w14:paraId="588768D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具备在结合检验指标与用药适宜性分析时，查看患者相关检验指标的功能；</w:t>
      </w:r>
    </w:p>
    <w:p w14:paraId="5DCDD83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具备通过同意审方干预推荐意见、按自定义模板选择审方干预意见、手工调整审方干预推荐意见等对医嘱进行“打回”操作的功能；</w:t>
      </w:r>
    </w:p>
    <w:p w14:paraId="3CECCD90">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医嘱二次干预</w:t>
      </w:r>
    </w:p>
    <w:p w14:paraId="6396D265">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具备结合医疗机构自身特点开启医嘱审方二次干预的功能。</w:t>
      </w:r>
    </w:p>
    <w:p w14:paraId="2C1258AA">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审方点评归类</w:t>
      </w:r>
    </w:p>
    <w:p w14:paraId="56E041C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具备对所有医嘱按三大类28小项进行审方事后的自动点评和归类的功能；</w:t>
      </w:r>
    </w:p>
    <w:p w14:paraId="74486F31">
      <w:pPr>
        <w:pStyle w:val="7"/>
        <w:keepNext w:val="0"/>
        <w:keepLines w:val="0"/>
        <w:widowControl/>
        <w:numPr>
          <w:ilvl w:val="5"/>
          <w:numId w:val="1"/>
        </w:numPr>
        <w:tabs>
          <w:tab w:val="clear" w:pos="4149"/>
        </w:tabs>
        <w:spacing w:before="0" w:beforeAutospacing="0" w:after="0" w:afterAutospacing="0" w:line="360" w:lineRule="auto"/>
        <w:ind w:left="839"/>
        <w:jc w:val="left"/>
        <w:outlineLvl w:val="1"/>
        <w:rPr>
          <w:rFonts w:hint="eastAsia" w:ascii="宋体" w:hAnsi="宋体" w:cs="宋体"/>
          <w:b w:val="0"/>
          <w:bCs w:val="0"/>
          <w:szCs w:val="22"/>
        </w:rPr>
      </w:pPr>
      <w:r>
        <w:rPr>
          <w:rFonts w:hint="eastAsia" w:ascii="宋体" w:hAnsi="宋体" w:cs="宋体"/>
          <w:b w:val="0"/>
          <w:bCs w:val="0"/>
          <w:szCs w:val="22"/>
        </w:rPr>
        <w:t>具备对事后的自动点评和归类进行人工点评的功能；</w:t>
      </w:r>
    </w:p>
    <w:p w14:paraId="19DEAD5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具备结合审方事中自动审核和归类的内容和医嘱问题等级，对处方进行人工干预的功能。</w:t>
      </w:r>
    </w:p>
    <w:p w14:paraId="0EAC332E">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处方/医嘱质量管控</w:t>
      </w:r>
    </w:p>
    <w:p w14:paraId="7F34200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全处方/医嘱管理</w:t>
      </w:r>
    </w:p>
    <w:p w14:paraId="0DBCE4B1">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具备对已打回、已通过和超时通过的处方/医嘱进行记录的功能；</w:t>
      </w:r>
    </w:p>
    <w:p w14:paraId="229E0670">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具备对审方过程和处方/医嘱修改过程进行记录的功能。</w:t>
      </w:r>
    </w:p>
    <w:p w14:paraId="2369A9A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审方工作量统计</w:t>
      </w:r>
    </w:p>
    <w:p w14:paraId="279DBFD6">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具备对药师的审方工作量进行统计的功能；</w:t>
      </w:r>
    </w:p>
    <w:p w14:paraId="69D5449D">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具备根据全院、医生、科室等条件，对审方工作量进行统计分析的功能；</w:t>
      </w:r>
    </w:p>
    <w:p w14:paraId="35B62D01">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具备以图形、表格的形式对审方工作量进行展示的功能。</w:t>
      </w:r>
    </w:p>
    <w:p w14:paraId="28E93D6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问题处方/医嘱拦截历史</w:t>
      </w:r>
    </w:p>
    <w:p w14:paraId="16E5818C">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具备查看系统自动拦截的历史问题处方/医嘱明细和问题等级的功能；</w:t>
      </w:r>
    </w:p>
    <w:p w14:paraId="7DA78543">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具备对系统自动拦截的历史问题处方/医嘱明细进行批量导出的功能。</w:t>
      </w:r>
    </w:p>
    <w:p w14:paraId="1EB05E6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问题处方/医嘱历史管理</w:t>
      </w:r>
    </w:p>
    <w:p w14:paraId="6F21F053">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具备查看所有问题处方/医嘱的信息和人工审方历史回溯的功能；</w:t>
      </w:r>
    </w:p>
    <w:p w14:paraId="040DA3B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具备通过科室、医生、药品、审方药师、病历号、患者姓名等对历史问题处方/医嘱明细进行筛选的功能；</w:t>
      </w:r>
    </w:p>
    <w:p w14:paraId="1A4EEEEA">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具备对历史问题处方/医嘱明细进行统计、导出的功能。</w:t>
      </w:r>
    </w:p>
    <w:p w14:paraId="6130406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历史问题处方/医嘱报表</w:t>
      </w:r>
    </w:p>
    <w:p w14:paraId="13238E8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具备对处方/医嘱问题类型和药品名称等自动生成历史问题处方/医嘱报表的功能；</w:t>
      </w:r>
    </w:p>
    <w:p w14:paraId="561EB198">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具备对问题处方/医嘱类型和药品名称进行定期回溯的功能。</w:t>
      </w:r>
    </w:p>
    <w:p w14:paraId="7290000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打回处方/医嘱记录</w:t>
      </w:r>
    </w:p>
    <w:p w14:paraId="195E6816">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具备对人工干预打回处方/医嘱的医生操作处理进行记录和查看的功能；</w:t>
      </w:r>
    </w:p>
    <w:p w14:paraId="55CBCF8F">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具备对二次操作的处方/医嘱进行详情记录的功能；</w:t>
      </w:r>
    </w:p>
    <w:p w14:paraId="06E68A4D">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具备对在规定时间内没有医生处理的打回处方自动标记的功能。</w:t>
      </w:r>
    </w:p>
    <w:p w14:paraId="55546E49">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药房端前置审方状态提醒</w:t>
      </w:r>
    </w:p>
    <w:p w14:paraId="2317B6D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门急诊发药端用药风险提示</w:t>
      </w:r>
    </w:p>
    <w:p w14:paraId="5FCE4B84">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具备在门诊发药端查看处方前置审方结果的功能。</w:t>
      </w:r>
    </w:p>
    <w:p w14:paraId="0833F8F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具备在门诊发药端对较高问题等级和审方超时自动通过的处方进行提示功能。</w:t>
      </w:r>
    </w:p>
    <w:p w14:paraId="4CE413A5">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具备对接门诊药房发药系统功能。</w:t>
      </w:r>
    </w:p>
    <w:p w14:paraId="64D285F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住院发药端用药风险提示</w:t>
      </w:r>
    </w:p>
    <w:p w14:paraId="7B69690E">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具备在住院发药端查看医嘱前置审方结果的功能。</w:t>
      </w:r>
    </w:p>
    <w:p w14:paraId="15F03D9E">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具备在住院发药端对较高问题等级和审方超时自动通过的医嘱进行提示功能。</w:t>
      </w:r>
    </w:p>
    <w:p w14:paraId="3C788FDE">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具备对接住院发药系统或住院护士站系统功能。</w:t>
      </w:r>
    </w:p>
    <w:p w14:paraId="78341DB3">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bCs/>
          <w:sz w:val="24"/>
          <w:szCs w:val="24"/>
        </w:rPr>
      </w:pPr>
      <w:bookmarkStart w:id="21" w:name="_Toc174632278"/>
      <w:bookmarkStart w:id="22" w:name="_Toc603590140"/>
      <w:r>
        <w:rPr>
          <w:rFonts w:hint="eastAsia" w:ascii="宋体" w:hAnsi="宋体" w:cs="宋体"/>
          <w:b/>
          <w:bCs/>
          <w:sz w:val="24"/>
          <w:szCs w:val="24"/>
        </w:rPr>
        <w:t>处方点评</w:t>
      </w:r>
      <w:bookmarkEnd w:id="21"/>
      <w:bookmarkEnd w:id="22"/>
    </w:p>
    <w:p w14:paraId="0264450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整体要求</w:t>
      </w:r>
    </w:p>
    <w:p w14:paraId="5BB7FD45">
      <w:pPr>
        <w:spacing w:line="360" w:lineRule="auto"/>
        <w:ind w:firstLine="480" w:firstLineChars="200"/>
        <w:rPr>
          <w:rFonts w:hint="eastAsia" w:ascii="宋体" w:hAnsi="宋体"/>
          <w:sz w:val="24"/>
        </w:rPr>
      </w:pPr>
      <w:r>
        <w:rPr>
          <w:rFonts w:hint="eastAsia" w:ascii="宋体" w:hAnsi="宋体"/>
          <w:sz w:val="24"/>
        </w:rPr>
        <w:t>处方点评系统是一种综合性的医疗信息管理系统，旨在通过对区域内多个医疗机构的处方数据进行集中收集、分析和点评，以提升临床用药的合理性和安全性，此次建设过程中根据机构实际开展的业务按需部署覆盖。</w:t>
      </w:r>
    </w:p>
    <w:p w14:paraId="3C7C2BF7">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门急诊处方点评</w:t>
      </w:r>
    </w:p>
    <w:p w14:paraId="02AF82C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门急诊处方点评任务管理</w:t>
      </w:r>
    </w:p>
    <w:p w14:paraId="223953F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通过设置处方抽取条件创建门急诊处方点评计划，并通过设定点评计划的应用范围等条件抽取处方生成门急诊点评任务，具体要求如下：</w:t>
      </w:r>
    </w:p>
    <w:p w14:paraId="1300D24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具备新增/删除/修改/启用/停用/复制门急诊处方点评计划的功能；</w:t>
      </w:r>
    </w:p>
    <w:p w14:paraId="21900BD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具备设置不同应用范围、抽取方式和点评范围等常用抽取条件的功能；</w:t>
      </w:r>
    </w:p>
    <w:p w14:paraId="2E222DD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具备设置患者相关信息、处方医师信息、药品相关信息等更多抽取条件的功能；</w:t>
      </w:r>
    </w:p>
    <w:p w14:paraId="70454D92">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具备只对指定药品进行自动点评和人工点评的功能；</w:t>
      </w:r>
    </w:p>
    <w:p w14:paraId="2DBDCA4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具备设置门急诊处方点评单次抽取计划和定期抽取计划的功能；</w:t>
      </w:r>
    </w:p>
    <w:p w14:paraId="650609E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具备按药品临床使用排名抽取处方的功能；</w:t>
      </w:r>
    </w:p>
    <w:p w14:paraId="33B6529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具备对每个点评计划分别设定点评任务表/工作表显示设置的功能；</w:t>
      </w:r>
    </w:p>
    <w:p w14:paraId="748B076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具备实时统计满足设定抽取条件的处方总数的功能。</w:t>
      </w:r>
    </w:p>
    <w:p w14:paraId="06B48C1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具备按设定的门急诊点评计划实时或定期抽取处方的功能；</w:t>
      </w:r>
    </w:p>
    <w:p w14:paraId="576E5D3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具备对抽取的门急诊处方进行系统自动点评的功能；</w:t>
      </w:r>
    </w:p>
    <w:p w14:paraId="3FFAD62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具备查看抽取的门急诊处方明细的功能；</w:t>
      </w:r>
    </w:p>
    <w:p w14:paraId="14F77C5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具备删除不符合点评任务要求的门急诊处方的功能；</w:t>
      </w:r>
    </w:p>
    <w:p w14:paraId="75695F4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具备删除不符合点评任务要求的抽取结果的功能。</w:t>
      </w:r>
    </w:p>
    <w:p w14:paraId="52A2E1E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具备指定和不指定点评人的分配处方点评任务的功能；</w:t>
      </w:r>
    </w:p>
    <w:p w14:paraId="4DC0F27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具备在指定点评人时，可随机平均分配点评任务的功能；</w:t>
      </w:r>
    </w:p>
    <w:p w14:paraId="7E21DA9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具备在指定点评人时，可按科室分配点评任务的功能；</w:t>
      </w:r>
    </w:p>
    <w:p w14:paraId="73CC21F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具备在各点评阶段删除点评任务的功能。</w:t>
      </w:r>
    </w:p>
    <w:p w14:paraId="1681E59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具备指定和不指定审核人的分配处方审核任务的功能；</w:t>
      </w:r>
    </w:p>
    <w:p w14:paraId="1051D85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具备在指定审核人时，可随机平均分配审核任务的功能；</w:t>
      </w:r>
    </w:p>
    <w:p w14:paraId="2EE5D04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具备在指定审核人时，可按科室分配审核任务的功能；</w:t>
      </w:r>
    </w:p>
    <w:p w14:paraId="41734C7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具备向点评人关联的审核人指派审核任务的功能。</w:t>
      </w:r>
    </w:p>
    <w:p w14:paraId="7F495EE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门急诊处方自动点评</w:t>
      </w:r>
    </w:p>
    <w:p w14:paraId="3CCB80F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通过调用智能分析服务对抽取的门急诊处方进行自动点评，具体要求如下：</w:t>
      </w:r>
    </w:p>
    <w:p w14:paraId="3719A88E">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具备开启/关闭门急诊处方自动分析点评模块的功能；</w:t>
      </w:r>
    </w:p>
    <w:p w14:paraId="6E64311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具备对待点评的处方进行自动分析并自动生成点评结果的功能；</w:t>
      </w:r>
    </w:p>
    <w:p w14:paraId="14BB3F1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具备对不合理处方按三大类28小项进行系统自动点评的功能。</w:t>
      </w:r>
    </w:p>
    <w:p w14:paraId="4FBE276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具备对处方再次进行自动点评并替换原自动点评结果的功能；</w:t>
      </w:r>
    </w:p>
    <w:p w14:paraId="4CFACB7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具备对单张或多张处方进行重新自动点评的功能；</w:t>
      </w:r>
    </w:p>
    <w:p w14:paraId="4C5CC31D">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具备屏蔽合理用药规则后重新自动点评的功能。</w:t>
      </w:r>
    </w:p>
    <w:p w14:paraId="1DB6076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门急诊处方药师点评</w:t>
      </w:r>
    </w:p>
    <w:p w14:paraId="6B47BCE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通过查看处方明细和自动点评结果，对处方进行人工复评，具体要求如下：</w:t>
      </w:r>
    </w:p>
    <w:p w14:paraId="066E4548">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具备对自动点评结果的合理性、存在问题进行修改的功能；</w:t>
      </w:r>
    </w:p>
    <w:p w14:paraId="4F64965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具备对存在问题的名称、问题代码和问题详情等进行编辑的功能；</w:t>
      </w:r>
    </w:p>
    <w:p w14:paraId="60E8C13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具备对门急诊处方添加非药品问题的功能。</w:t>
      </w:r>
    </w:p>
    <w:p w14:paraId="6DCCD9A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具备逐条对处方自动点评结果进行复评的功能；</w:t>
      </w:r>
    </w:p>
    <w:p w14:paraId="66C695F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具备批量对处方自动点评结果进行复评的功能。</w:t>
      </w:r>
    </w:p>
    <w:p w14:paraId="5811A5B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具备在点评任务的不同阶段对点评结果进行修改的功能。</w:t>
      </w:r>
    </w:p>
    <w:p w14:paraId="380F45B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门急诊处方点评结果查看</w:t>
      </w:r>
    </w:p>
    <w:p w14:paraId="3CF1FDA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门急诊处方点评结果查看</w:t>
      </w:r>
    </w:p>
    <w:p w14:paraId="2A9BF14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具备分别查看药师点评和系统自动点评结果的功能；</w:t>
      </w:r>
    </w:p>
    <w:p w14:paraId="3B83872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具备分别查看药师点评和系统自动点评结果明细的功能；</w:t>
      </w:r>
    </w:p>
    <w:p w14:paraId="3FE3FD7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具备导出药师点评和系统自动点评结果明细的功能。</w:t>
      </w:r>
    </w:p>
    <w:p w14:paraId="288091F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门急诊处方点评历史查看</w:t>
      </w:r>
    </w:p>
    <w:p w14:paraId="676C2CE8">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具备记录处方在不同点评阶段的用户操作明细的功能；</w:t>
      </w:r>
    </w:p>
    <w:p w14:paraId="3C03B65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具备对临床医师推送部分点评内容的功能。</w:t>
      </w:r>
    </w:p>
    <w:p w14:paraId="7578182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门急诊患者信息查看</w:t>
      </w:r>
    </w:p>
    <w:p w14:paraId="1B4462F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处方笺查看</w:t>
      </w:r>
    </w:p>
    <w:p w14:paraId="299692CD">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具备在点评过程中查看处方笺明细的功能；</w:t>
      </w:r>
    </w:p>
    <w:p w14:paraId="108A84DD">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具备按处方类型显示不同处方笺的功能；</w:t>
      </w:r>
    </w:p>
    <w:p w14:paraId="2D17C33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具备翻页查看不同患者处方笺的功能；</w:t>
      </w:r>
    </w:p>
    <w:p w14:paraId="03A8DFE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具备查看不合理问题关联处方的功能。</w:t>
      </w:r>
    </w:p>
    <w:p w14:paraId="00A2B9B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患者相关信息查看</w:t>
      </w:r>
    </w:p>
    <w:p w14:paraId="7DBAC983">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具备对接医疗机构的医院管理系统，并进行数据交互的功能；</w:t>
      </w:r>
    </w:p>
    <w:p w14:paraId="01D19D5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具备调阅患者相关诊断、检验检查和电子病历的功能。</w:t>
      </w:r>
    </w:p>
    <w:p w14:paraId="618E675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门急诊点评审核</w:t>
      </w:r>
    </w:p>
    <w:p w14:paraId="2F1ECEF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门急诊点评结果审核</w:t>
      </w:r>
    </w:p>
    <w:p w14:paraId="4BF7D01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具备逐条或批量对处方点评结果进行审核的功能；</w:t>
      </w:r>
    </w:p>
    <w:p w14:paraId="7CF62EA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具备记录审核不通过理由的功能；</w:t>
      </w:r>
    </w:p>
    <w:p w14:paraId="0B68E75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具备在点评结果通过审核后生成点评工作表的功能。</w:t>
      </w:r>
    </w:p>
    <w:p w14:paraId="52805F8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门急诊点评结果</w:t>
      </w:r>
    </w:p>
    <w:p w14:paraId="21DCC2B7">
      <w:pPr>
        <w:spacing w:line="360" w:lineRule="auto"/>
        <w:ind w:firstLine="480" w:firstLineChars="200"/>
        <w:rPr>
          <w:rFonts w:hint="eastAsia" w:ascii="宋体" w:hAnsi="宋体"/>
          <w:sz w:val="24"/>
        </w:rPr>
      </w:pPr>
      <w:r>
        <w:rPr>
          <w:rFonts w:hint="eastAsia" w:ascii="宋体" w:hAnsi="宋体"/>
          <w:sz w:val="24"/>
        </w:rPr>
        <w:t>具备将审核不通过的处方点评结果重新点评的功能；</w:t>
      </w:r>
    </w:p>
    <w:p w14:paraId="2D269AB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门急诊审核不通过重评</w:t>
      </w:r>
    </w:p>
    <w:p w14:paraId="3D09DC62">
      <w:pPr>
        <w:pStyle w:val="7"/>
        <w:keepNext w:val="0"/>
        <w:keepLines w:val="0"/>
        <w:widowControl/>
        <w:numPr>
          <w:ilvl w:val="5"/>
          <w:numId w:val="1"/>
        </w:numPr>
        <w:tabs>
          <w:tab w:val="clear" w:pos="4149"/>
        </w:tabs>
        <w:spacing w:before="0" w:beforeAutospacing="0" w:after="0" w:afterAutospacing="0" w:line="360" w:lineRule="auto"/>
        <w:ind w:left="839"/>
        <w:jc w:val="left"/>
        <w:outlineLvl w:val="2"/>
        <w:rPr>
          <w:rFonts w:hint="eastAsia" w:ascii="宋体" w:hAnsi="宋体" w:cs="宋体"/>
          <w:b w:val="0"/>
          <w:bCs w:val="0"/>
          <w:szCs w:val="22"/>
        </w:rPr>
      </w:pPr>
      <w:r>
        <w:rPr>
          <w:rFonts w:hint="eastAsia" w:ascii="宋体" w:hAnsi="宋体" w:cs="宋体"/>
          <w:b w:val="0"/>
          <w:bCs w:val="0"/>
          <w:szCs w:val="22"/>
        </w:rPr>
        <w:t>具备对审核不通过的处方坚持原点评结果的功能；</w:t>
      </w:r>
    </w:p>
    <w:p w14:paraId="3E58722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具备对审核不通过的处方进行点评结果修改的功能；</w:t>
      </w:r>
    </w:p>
    <w:p w14:paraId="621FC76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具备再次提交点评结果进行审核的功能。</w:t>
      </w:r>
    </w:p>
    <w:p w14:paraId="7831FC67">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住院医嘱点评</w:t>
      </w:r>
    </w:p>
    <w:p w14:paraId="30AD05E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住院医嘱点评任务管理</w:t>
      </w:r>
    </w:p>
    <w:p w14:paraId="78C7A2B6">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通过设置住院病历抽取条件创建住院医嘱点评计划，并通过设定点评计划的应用范围等条件抽取住院病历并生成住院医嘱点评任务，具体要求如下：</w:t>
      </w:r>
    </w:p>
    <w:p w14:paraId="0A0649A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具备新增/删除/修改/启用/停用/复制住院医嘱点评计划的功能；</w:t>
      </w:r>
    </w:p>
    <w:p w14:paraId="2E43B5CD">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具备设置住院医嘱点评单次抽取计划和定期抽取计划的功能；</w:t>
      </w:r>
    </w:p>
    <w:p w14:paraId="76A24D2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具备设置不同应用范围、抽取方式和点评范围等常用抽取条件的功能；</w:t>
      </w:r>
    </w:p>
    <w:p w14:paraId="4B77405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具备设置患者相关信息、开嘱医师、药品、手术相关信息等更多抽取条件的功能；</w:t>
      </w:r>
    </w:p>
    <w:p w14:paraId="38EC1BA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具备只对指定药品进行自动点评和人工点评的功能；</w:t>
      </w:r>
    </w:p>
    <w:p w14:paraId="54EDAB8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具备按药品临床使用排名抽取处方的功能；</w:t>
      </w:r>
    </w:p>
    <w:p w14:paraId="3CDA86C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具备对每个点评计划分别设定点评任务表/工作表显示设置的功能；</w:t>
      </w:r>
    </w:p>
    <w:p w14:paraId="267067B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具备实时统计满足设定抽取条件的病历总数的功能。</w:t>
      </w:r>
    </w:p>
    <w:p w14:paraId="19F14F4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具备按设定的住院医嘱点评计划实时或定期抽取病历的功能；</w:t>
      </w:r>
    </w:p>
    <w:p w14:paraId="597B0E5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具备对抽取的住院医嘱进行系统自动点评的功能；</w:t>
      </w:r>
    </w:p>
    <w:p w14:paraId="60E103C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具备查看抽取的住院病历明细的功能；</w:t>
      </w:r>
    </w:p>
    <w:p w14:paraId="3359E42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具备删除不符合点评任务要求的住院病历的功能；</w:t>
      </w:r>
    </w:p>
    <w:p w14:paraId="1A9241E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具备删除不符合点评任务要求的抽取结果的功能。</w:t>
      </w:r>
    </w:p>
    <w:p w14:paraId="55473FD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具备指定和不指定点评人的分配处方点评任务的功能；</w:t>
      </w:r>
    </w:p>
    <w:p w14:paraId="2968A15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具备在指定点评人时，可随机平均分配点评任务的功能；</w:t>
      </w:r>
    </w:p>
    <w:p w14:paraId="2E01C9E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具备在指定点评人时，可按科室分配点评任务的功能。</w:t>
      </w:r>
    </w:p>
    <w:p w14:paraId="15ABEAE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具备在各点评阶段删除点评任务的功能。</w:t>
      </w:r>
    </w:p>
    <w:p w14:paraId="0BA6C67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具备指定和不指定审核人的分配处方审核任务的功能；</w:t>
      </w:r>
    </w:p>
    <w:p w14:paraId="1818C58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具备在指定审核人时，可随机平均分配审核任务的功能；</w:t>
      </w:r>
    </w:p>
    <w:p w14:paraId="095EC76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具备在指定审核人时，可按科室分配审核任务的功能；</w:t>
      </w:r>
    </w:p>
    <w:p w14:paraId="141386F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具备向点评人关联的审核人指派审核任务的功能。</w:t>
      </w:r>
    </w:p>
    <w:p w14:paraId="4C2D8A7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住院医嘱自动点评</w:t>
      </w:r>
    </w:p>
    <w:p w14:paraId="0A2513A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通过调用智能分析服务对抽取的住院病历进行自动点评，并生成点评任务，具体要求如下：</w:t>
      </w:r>
    </w:p>
    <w:p w14:paraId="17F8526A">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具备开启/关闭住院医嘱自动分析点评模块的功能；</w:t>
      </w:r>
    </w:p>
    <w:p w14:paraId="2C7E605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具备对待点评的住院病历进行自动分析并自动生成点评结果的功能；</w:t>
      </w:r>
    </w:p>
    <w:p w14:paraId="0743779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具备对不合理医嘱按三大类28小项进行系统自动点评的功能。</w:t>
      </w:r>
    </w:p>
    <w:p w14:paraId="6CD38C8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具备对处方再次进行自动点评并替换原自动点评结果的功能；</w:t>
      </w:r>
    </w:p>
    <w:p w14:paraId="0AC3444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具备对单张或多张处方进行重新自动点评的功能；</w:t>
      </w:r>
    </w:p>
    <w:p w14:paraId="001F2FD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具备屏蔽合理用药规则后重新自动点评的功能。</w:t>
      </w:r>
    </w:p>
    <w:p w14:paraId="477AE8A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住院医嘱药师点评</w:t>
      </w:r>
    </w:p>
    <w:p w14:paraId="513B31B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通过查看处方明细和自动点评结果，对住院医嘱进行人工复评，具体要求如下：</w:t>
      </w:r>
    </w:p>
    <w:p w14:paraId="5F17B84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具备对住院病历自动点评结果的合理性、存在问题进行修改的功能；</w:t>
      </w:r>
    </w:p>
    <w:p w14:paraId="2C05053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具备对医嘱存在问题的名称、问题代码和问题详情等进行编辑的功能；</w:t>
      </w:r>
    </w:p>
    <w:p w14:paraId="57A6A44A">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具备对住院病历添加非药品问题的功能。</w:t>
      </w:r>
    </w:p>
    <w:p w14:paraId="36D84E3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具备逐条对病历和医嘱自动点评结果进行复评的功能；</w:t>
      </w:r>
    </w:p>
    <w:p w14:paraId="233CB30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具备批量对病历和医嘱自动点评结果进行复评的功能。</w:t>
      </w:r>
    </w:p>
    <w:p w14:paraId="011C9F5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具备在点评任务的不同阶段对点评结果进行修改的功能。</w:t>
      </w:r>
    </w:p>
    <w:p w14:paraId="4219673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住院医嘱点评结果查看</w:t>
      </w:r>
    </w:p>
    <w:p w14:paraId="6399223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住院医嘱点评结果查看</w:t>
      </w:r>
    </w:p>
    <w:p w14:paraId="04C3562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具备分别查看药师点评和系统自动点评结果的功能；</w:t>
      </w:r>
    </w:p>
    <w:p w14:paraId="54CBECE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具备分别查看药师点评和系统自动点评结果明细的功能；</w:t>
      </w:r>
    </w:p>
    <w:p w14:paraId="2E4C4D9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具备导出药师点评和系统自动点评结果明细的功能。</w:t>
      </w:r>
    </w:p>
    <w:p w14:paraId="404A1E8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住院医嘱点评历史查看</w:t>
      </w:r>
    </w:p>
    <w:p w14:paraId="76821E78">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具备记录病历在不同点评阶段的用户操作明细的功能；</w:t>
      </w:r>
    </w:p>
    <w:p w14:paraId="78D7E45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具备对临床医师推送部分点评内容的功能。</w:t>
      </w:r>
    </w:p>
    <w:p w14:paraId="0D5FDC7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住院患者信息查看</w:t>
      </w:r>
    </w:p>
    <w:p w14:paraId="31996246">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病历及医嘱查看</w:t>
      </w:r>
    </w:p>
    <w:p w14:paraId="645BF53D">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具备在点评过程中查看患者信息和医嘱明细的功能；</w:t>
      </w:r>
    </w:p>
    <w:p w14:paraId="36DC0EE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具备对医嘱进行排序和筛选的功能。</w:t>
      </w:r>
    </w:p>
    <w:p w14:paraId="3333D94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患者相关信息查看</w:t>
      </w:r>
    </w:p>
    <w:p w14:paraId="672274B1">
      <w:pPr>
        <w:pStyle w:val="7"/>
        <w:keepNext w:val="0"/>
        <w:keepLines w:val="0"/>
        <w:widowControl/>
        <w:numPr>
          <w:ilvl w:val="5"/>
          <w:numId w:val="1"/>
        </w:numPr>
        <w:tabs>
          <w:tab w:val="clear" w:pos="4149"/>
        </w:tabs>
        <w:spacing w:before="0" w:beforeAutospacing="0" w:after="0" w:afterAutospacing="0" w:line="360" w:lineRule="auto"/>
        <w:ind w:left="839"/>
        <w:jc w:val="left"/>
        <w:outlineLvl w:val="3"/>
        <w:rPr>
          <w:rFonts w:hint="eastAsia" w:ascii="宋体" w:hAnsi="宋体" w:cs="宋体"/>
          <w:b w:val="0"/>
          <w:bCs w:val="0"/>
          <w:szCs w:val="22"/>
        </w:rPr>
      </w:pPr>
      <w:r>
        <w:rPr>
          <w:rFonts w:hint="eastAsia" w:ascii="宋体" w:hAnsi="宋体" w:cs="宋体"/>
          <w:b w:val="0"/>
          <w:bCs w:val="0"/>
          <w:szCs w:val="22"/>
        </w:rPr>
        <w:t>具备对接医疗机构的医院管理系统，并进行数据交互的功能；</w:t>
      </w:r>
    </w:p>
    <w:p w14:paraId="2FE3A19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具备通过病历调阅患者相关诊断、检验检查和电子病历的功能。</w:t>
      </w:r>
    </w:p>
    <w:p w14:paraId="4ABAD7E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住院医嘱点评审核</w:t>
      </w:r>
    </w:p>
    <w:p w14:paraId="7CFA702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住院医嘱点评结果审核</w:t>
      </w:r>
    </w:p>
    <w:p w14:paraId="2EAE0FF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具备逐条或批量对病历点评结果进行审核的功能；</w:t>
      </w:r>
    </w:p>
    <w:p w14:paraId="66A84C2D">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具备记录审核不通过理由的功能；</w:t>
      </w:r>
    </w:p>
    <w:p w14:paraId="617F506F">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具备在点评结果通过审核后生成点评工作表的功能。</w:t>
      </w:r>
    </w:p>
    <w:p w14:paraId="6C3D965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住院医嘱点评结果</w:t>
      </w:r>
    </w:p>
    <w:p w14:paraId="11BDE758">
      <w:pPr>
        <w:spacing w:line="360" w:lineRule="auto"/>
        <w:ind w:firstLine="480" w:firstLineChars="200"/>
        <w:rPr>
          <w:rFonts w:hint="eastAsia" w:ascii="宋体" w:hAnsi="宋体"/>
          <w:sz w:val="24"/>
        </w:rPr>
      </w:pPr>
      <w:r>
        <w:rPr>
          <w:rFonts w:hint="eastAsia" w:ascii="宋体" w:hAnsi="宋体"/>
          <w:sz w:val="24"/>
        </w:rPr>
        <w:t>具备将审核不通过的病历点评结果重新点评的功能；</w:t>
      </w:r>
    </w:p>
    <w:p w14:paraId="3D60DD2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住院医嘱审核不通过重评</w:t>
      </w:r>
    </w:p>
    <w:p w14:paraId="481023BD">
      <w:pPr>
        <w:pStyle w:val="7"/>
        <w:keepNext w:val="0"/>
        <w:keepLines w:val="0"/>
        <w:widowControl/>
        <w:numPr>
          <w:ilvl w:val="5"/>
          <w:numId w:val="1"/>
        </w:numPr>
        <w:tabs>
          <w:tab w:val="clear" w:pos="4149"/>
        </w:tabs>
        <w:spacing w:before="0" w:beforeAutospacing="0" w:after="0" w:afterAutospacing="0" w:line="360" w:lineRule="auto"/>
        <w:ind w:left="839"/>
        <w:jc w:val="left"/>
        <w:outlineLvl w:val="2"/>
        <w:rPr>
          <w:rFonts w:hint="eastAsia" w:ascii="宋体" w:hAnsi="宋体" w:cs="宋体"/>
          <w:b w:val="0"/>
          <w:bCs w:val="0"/>
          <w:szCs w:val="22"/>
        </w:rPr>
      </w:pPr>
      <w:r>
        <w:rPr>
          <w:rFonts w:hint="eastAsia" w:ascii="宋体" w:hAnsi="宋体" w:cs="宋体"/>
          <w:b w:val="0"/>
          <w:bCs w:val="0"/>
          <w:szCs w:val="22"/>
        </w:rPr>
        <w:t>具备对审核不通过的病历坚持原点评结果的功能；</w:t>
      </w:r>
    </w:p>
    <w:p w14:paraId="2E37E0F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具备对审核不通过的病历进行点评结果修改的功能；</w:t>
      </w:r>
    </w:p>
    <w:p w14:paraId="30BDBB9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具备再次提交点评结果进行审核的功能。</w:t>
      </w:r>
    </w:p>
    <w:p w14:paraId="79D19C17">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门（急）诊处方专项点评</w:t>
      </w:r>
    </w:p>
    <w:p w14:paraId="795E063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门急诊处方专项点评是在具备普通门急诊处方点评所有功能的基础上，采用专项点评方案模板模式开展不同类型专项点评的功能模块，具体要求如下：</w:t>
      </w:r>
    </w:p>
    <w:p w14:paraId="2720EFCE">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专项点评任务管理</w:t>
      </w:r>
    </w:p>
    <w:p w14:paraId="359C6F8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具备在同一点评计划模块中完成不同类型专项点评计划管理的功能；</w:t>
      </w:r>
    </w:p>
    <w:p w14:paraId="4D6E6E25">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具备为不同专项点评计划选择不同点评方案模板的功能；</w:t>
      </w:r>
    </w:p>
    <w:p w14:paraId="208469D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具备查看不同点评方案模板明细的功能；</w:t>
      </w:r>
    </w:p>
    <w:p w14:paraId="12DC51B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具备选择不同专项点评类型自动切换专用抽取条件的功能。</w:t>
      </w:r>
    </w:p>
    <w:p w14:paraId="29389F32">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门急诊处方药师点评</w:t>
      </w:r>
    </w:p>
    <w:p w14:paraId="7C400B57">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具备按专项点评方案模板设定的评价项目进行人工点评的功能；</w:t>
      </w:r>
    </w:p>
    <w:p w14:paraId="4000021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具备对不合理常规评价项目和特殊评价项目进行门急诊处方点评的功能；</w:t>
      </w:r>
    </w:p>
    <w:p w14:paraId="5B5C0A95">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具备按专项点评方案模板设定的合理处方标准判定处方合理性的功能。</w:t>
      </w:r>
    </w:p>
    <w:p w14:paraId="750EF01C">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点评结果查看</w:t>
      </w:r>
    </w:p>
    <w:p w14:paraId="591E5749">
      <w:pPr>
        <w:pStyle w:val="7"/>
        <w:keepNext w:val="0"/>
        <w:keepLines w:val="0"/>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具备显示门急诊处方点评合理性的功能；</w:t>
      </w:r>
    </w:p>
    <w:p w14:paraId="7C0761C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具备显示门急诊处方点评常规评价/特殊评价、重大缺陷及合理处方标准的功能。</w:t>
      </w:r>
    </w:p>
    <w:p w14:paraId="423E524D">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系统对接</w:t>
      </w:r>
    </w:p>
    <w:p w14:paraId="6BE8338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ascii="宋体" w:hAnsi="宋体" w:cs="宋体"/>
          <w:b w:val="0"/>
          <w:bCs w:val="0"/>
          <w:szCs w:val="22"/>
        </w:rPr>
        <w:t>合理用药及前置审方：</w:t>
      </w:r>
      <w:r>
        <w:rPr>
          <w:rFonts w:hint="eastAsia" w:ascii="宋体" w:hAnsi="宋体" w:cs="宋体"/>
          <w:b w:val="0"/>
          <w:bCs w:val="0"/>
          <w:szCs w:val="22"/>
        </w:rPr>
        <w:t>完成</w:t>
      </w:r>
      <w:r>
        <w:rPr>
          <w:rFonts w:ascii="宋体" w:hAnsi="宋体" w:cs="宋体"/>
          <w:b w:val="0"/>
          <w:bCs w:val="0"/>
          <w:szCs w:val="22"/>
        </w:rPr>
        <w:t>与</w:t>
      </w:r>
      <w:r>
        <w:rPr>
          <w:rFonts w:hint="eastAsia" w:ascii="宋体" w:hAnsi="宋体" w:cs="宋体"/>
          <w:b w:val="0"/>
          <w:bCs w:val="0"/>
          <w:szCs w:val="22"/>
        </w:rPr>
        <w:t>医共体内</w:t>
      </w:r>
      <w:r>
        <w:rPr>
          <w:rFonts w:ascii="宋体" w:hAnsi="宋体" w:cs="宋体"/>
          <w:b w:val="0"/>
          <w:bCs w:val="0"/>
          <w:szCs w:val="22"/>
        </w:rPr>
        <w:t>牵头医院</w:t>
      </w:r>
      <w:r>
        <w:rPr>
          <w:rFonts w:hint="eastAsia" w:ascii="宋体" w:hAnsi="宋体" w:cs="宋体"/>
          <w:b w:val="0"/>
          <w:bCs w:val="0"/>
          <w:szCs w:val="22"/>
        </w:rPr>
        <w:t>及社区卫生服务中心/乡镇卫生院</w:t>
      </w:r>
      <w:r>
        <w:rPr>
          <w:rFonts w:ascii="宋体" w:hAnsi="宋体" w:cs="宋体"/>
          <w:b w:val="0"/>
          <w:bCs w:val="0"/>
          <w:szCs w:val="22"/>
        </w:rPr>
        <w:t>医生站系统及</w:t>
      </w:r>
      <w:r>
        <w:rPr>
          <w:rFonts w:hint="eastAsia" w:ascii="宋体" w:hAnsi="宋体" w:cs="宋体"/>
          <w:b w:val="0"/>
          <w:bCs w:val="0"/>
          <w:szCs w:val="22"/>
        </w:rPr>
        <w:t>HIS</w:t>
      </w:r>
      <w:r>
        <w:rPr>
          <w:rFonts w:ascii="宋体" w:hAnsi="宋体" w:cs="宋体"/>
          <w:b w:val="0"/>
          <w:bCs w:val="0"/>
          <w:szCs w:val="22"/>
        </w:rPr>
        <w:t>系统通过标准接口协议进行对接，实现实时通讯。</w:t>
      </w:r>
    </w:p>
    <w:p w14:paraId="460CCC68">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ascii="宋体" w:hAnsi="宋体" w:cs="宋体"/>
          <w:b w:val="0"/>
          <w:bCs w:val="0"/>
          <w:szCs w:val="22"/>
        </w:rPr>
        <w:t>处方点评</w:t>
      </w:r>
      <w:r>
        <w:rPr>
          <w:rFonts w:hint="eastAsia" w:ascii="宋体" w:hAnsi="宋体" w:cs="宋体"/>
          <w:b w:val="0"/>
          <w:bCs w:val="0"/>
          <w:szCs w:val="22"/>
        </w:rPr>
        <w:t>：通过</w:t>
      </w:r>
      <w:r>
        <w:rPr>
          <w:rFonts w:ascii="宋体" w:hAnsi="宋体" w:cs="宋体"/>
          <w:b w:val="0"/>
          <w:bCs w:val="0"/>
          <w:szCs w:val="22"/>
        </w:rPr>
        <w:t>建立中间库或与医共体数据平台进行对接，</w:t>
      </w:r>
      <w:r>
        <w:rPr>
          <w:rFonts w:hint="eastAsia" w:ascii="宋体" w:hAnsi="宋体" w:cs="宋体"/>
          <w:b w:val="0"/>
          <w:bCs w:val="0"/>
          <w:szCs w:val="22"/>
        </w:rPr>
        <w:t>完成与医院HIS</w:t>
      </w:r>
      <w:r>
        <w:rPr>
          <w:rFonts w:ascii="宋体" w:hAnsi="宋体" w:cs="宋体"/>
          <w:b w:val="0"/>
          <w:bCs w:val="0"/>
          <w:szCs w:val="22"/>
        </w:rPr>
        <w:t>、</w:t>
      </w:r>
      <w:r>
        <w:rPr>
          <w:rFonts w:hint="eastAsia" w:ascii="宋体" w:hAnsi="宋体" w:cs="宋体"/>
          <w:b w:val="0"/>
          <w:bCs w:val="0"/>
          <w:szCs w:val="22"/>
        </w:rPr>
        <w:t>CIS</w:t>
      </w:r>
      <w:r>
        <w:rPr>
          <w:rFonts w:ascii="宋体" w:hAnsi="宋体" w:cs="宋体"/>
          <w:b w:val="0"/>
          <w:bCs w:val="0"/>
          <w:szCs w:val="22"/>
        </w:rPr>
        <w:t>、检查检验及手术系统</w:t>
      </w:r>
      <w:r>
        <w:rPr>
          <w:rFonts w:hint="eastAsia" w:ascii="宋体" w:hAnsi="宋体" w:cs="宋体"/>
          <w:b w:val="0"/>
          <w:bCs w:val="0"/>
          <w:szCs w:val="22"/>
        </w:rPr>
        <w:t>的</w:t>
      </w:r>
      <w:r>
        <w:rPr>
          <w:rFonts w:ascii="宋体" w:hAnsi="宋体" w:cs="宋体"/>
          <w:b w:val="0"/>
          <w:bCs w:val="0"/>
          <w:szCs w:val="22"/>
        </w:rPr>
        <w:t>对接。</w:t>
      </w:r>
    </w:p>
    <w:p w14:paraId="740A8506">
      <w:pPr>
        <w:pStyle w:val="2"/>
        <w:numPr>
          <w:ilvl w:val="0"/>
          <w:numId w:val="4"/>
        </w:numPr>
        <w:spacing w:before="0" w:after="0" w:line="360" w:lineRule="auto"/>
        <w:jc w:val="left"/>
        <w:outlineLvl w:val="1"/>
        <w:rPr>
          <w:rFonts w:hint="eastAsia" w:ascii="宋体" w:hAnsi="宋体"/>
          <w:b/>
          <w:bCs/>
          <w:sz w:val="28"/>
          <w:szCs w:val="28"/>
        </w:rPr>
      </w:pPr>
      <w:bookmarkStart w:id="23" w:name="_Toc1974218199"/>
      <w:r>
        <w:rPr>
          <w:rFonts w:hint="eastAsia" w:ascii="宋体" w:hAnsi="宋体"/>
          <w:b/>
          <w:bCs/>
          <w:sz w:val="28"/>
          <w:szCs w:val="28"/>
        </w:rPr>
        <w:t>AI人工辅助应用</w:t>
      </w:r>
      <w:bookmarkEnd w:id="23"/>
    </w:p>
    <w:p w14:paraId="1C0D6ED7">
      <w:pPr>
        <w:pStyle w:val="27"/>
        <w:widowControl/>
        <w:numPr>
          <w:ilvl w:val="0"/>
          <w:numId w:val="5"/>
        </w:numPr>
        <w:tabs>
          <w:tab w:val="left" w:pos="720"/>
        </w:tabs>
        <w:spacing w:line="360" w:lineRule="auto"/>
        <w:ind w:left="1063" w:firstLine="0"/>
        <w:jc w:val="left"/>
        <w:outlineLvl w:val="1"/>
        <w:rPr>
          <w:rFonts w:hint="eastAsia" w:ascii="宋体" w:hAnsi="宋体" w:cs="宋体"/>
          <w:b/>
          <w:bCs/>
          <w:vanish/>
          <w:sz w:val="24"/>
        </w:rPr>
      </w:pPr>
      <w:bookmarkStart w:id="24" w:name="_Toc2062924443"/>
    </w:p>
    <w:p w14:paraId="529E2FD0">
      <w:pPr>
        <w:pStyle w:val="25"/>
        <w:numPr>
          <w:ilvl w:val="1"/>
          <w:numId w:val="5"/>
        </w:numPr>
        <w:spacing w:before="0" w:beforeLines="0" w:after="0" w:afterLines="0" w:line="360" w:lineRule="auto"/>
        <w:ind w:left="0" w:firstLine="0"/>
        <w:outlineLvl w:val="2"/>
        <w:rPr>
          <w:rFonts w:hint="eastAsia"/>
          <w:b/>
          <w:bCs/>
          <w:sz w:val="24"/>
          <w:szCs w:val="24"/>
        </w:rPr>
      </w:pPr>
      <w:r>
        <w:rPr>
          <w:rFonts w:hint="eastAsia"/>
          <w:b/>
          <w:bCs/>
          <w:sz w:val="24"/>
          <w:szCs w:val="24"/>
        </w:rPr>
        <w:t>疾病风险预警系统</w:t>
      </w:r>
      <w:bookmarkEnd w:id="24"/>
    </w:p>
    <w:p w14:paraId="199D297D">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整体要求</w:t>
      </w:r>
    </w:p>
    <w:p w14:paraId="3D4D5B9B">
      <w:pPr>
        <w:spacing w:line="360" w:lineRule="auto"/>
        <w:ind w:firstLine="480" w:firstLineChars="200"/>
        <w:rPr>
          <w:rFonts w:hint="eastAsia" w:ascii="宋体" w:hAnsi="宋体"/>
          <w:sz w:val="24"/>
        </w:rPr>
      </w:pPr>
      <w:r>
        <w:rPr>
          <w:rFonts w:hint="eastAsia" w:ascii="宋体" w:hAnsi="宋体"/>
          <w:sz w:val="24"/>
        </w:rPr>
        <w:t>围绕传染病和慢性病风险监测、预警、决策等方向，充分利用先进技术手段，通过建立多点触发、多渠道预警的机制，实现对新发突发传染病及不明原因疾病的全面监测防控，提升区域对新发未知及再发传染病早发现、早处置能力。</w:t>
      </w:r>
    </w:p>
    <w:p w14:paraId="5BC00FD1">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标准制定</w:t>
      </w:r>
    </w:p>
    <w:p w14:paraId="722B9BD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系统需针对疾病风险监测标准提供可视化展示。</w:t>
      </w:r>
    </w:p>
    <w:p w14:paraId="0E067BE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监测疾病包括不限于如高血压、糖尿病、布病、乙肝、丙肝等。</w:t>
      </w:r>
    </w:p>
    <w:p w14:paraId="29CCC71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监测指标包括人群、疾病、区域。</w:t>
      </w:r>
    </w:p>
    <w:p w14:paraId="2FFF1D6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标签信息包含人群、疾病、区域。</w:t>
      </w:r>
    </w:p>
    <w:p w14:paraId="69176336">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模型管理</w:t>
      </w:r>
    </w:p>
    <w:p w14:paraId="4145FF4F">
      <w:pPr>
        <w:spacing w:line="360" w:lineRule="auto"/>
        <w:ind w:firstLine="480" w:firstLineChars="200"/>
        <w:rPr>
          <w:rFonts w:hint="eastAsia" w:ascii="宋体" w:hAnsi="宋体"/>
          <w:sz w:val="24"/>
        </w:rPr>
      </w:pPr>
      <w:r>
        <w:rPr>
          <w:rFonts w:hint="eastAsia" w:ascii="宋体" w:hAnsi="宋体"/>
          <w:sz w:val="24"/>
        </w:rPr>
        <w:t>系统需支持对监测预警模型的使用说明与原理介绍，如定义并说明疾病预警模型、应用场景、实现效果等。</w:t>
      </w:r>
    </w:p>
    <w:p w14:paraId="35605ABB">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监测设置</w:t>
      </w:r>
    </w:p>
    <w:p w14:paraId="4C859A6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系统需支持对疾病风险监测信息进行维护管理，内容包括监测管理、通知设置、关注设置、简报设置及大屏设置。</w:t>
      </w:r>
    </w:p>
    <w:p w14:paraId="3C80BBB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color w:val="auto"/>
          <w:sz w:val="24"/>
          <w:szCs w:val="22"/>
        </w:rPr>
      </w:pPr>
      <w:r>
        <w:rPr>
          <w:rFonts w:hint="eastAsia" w:ascii="宋体" w:hAnsi="宋体" w:cs="宋体"/>
          <w:b w:val="0"/>
          <w:bCs w:val="0"/>
          <w:color w:val="auto"/>
          <w:sz w:val="24"/>
          <w:szCs w:val="22"/>
        </w:rPr>
        <w:t>监测管理：需支持对疾病监测规则进行设置维护，如监测场景、监测对象、监测指标等</w:t>
      </w:r>
      <w:r>
        <w:rPr>
          <w:rFonts w:hint="eastAsia" w:ascii="宋体" w:hAnsi="宋体" w:cs="宋体"/>
          <w:b w:val="0"/>
          <w:bCs w:val="0"/>
          <w:color w:val="auto"/>
          <w:sz w:val="24"/>
          <w:szCs w:val="22"/>
          <w:lang w:eastAsia="zh-CN"/>
        </w:rPr>
        <w:t>。</w:t>
      </w:r>
    </w:p>
    <w:p w14:paraId="31AEC0C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通知设置：需支持对疾病风险预警通知人员进行设置维护，如有预警信息，相关人员可接收到对应信息。</w:t>
      </w:r>
    </w:p>
    <w:p w14:paraId="1825CBC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关注设置：需支持用户设置关注疾病，如可选择疾病进行关注。</w:t>
      </w:r>
    </w:p>
    <w:p w14:paraId="7D07BAC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简报设置：需支持用户设置简报模板，用户可结合实际监测或关注疾病信息，设置对应的简报模板。</w:t>
      </w:r>
    </w:p>
    <w:p w14:paraId="2C955F8D">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数据挖掘与分析</w:t>
      </w:r>
    </w:p>
    <w:p w14:paraId="797F766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系统需针对多源数据进行挖掘与分析，为疾病风险预警提供数据支撑，内容包括预警概况、趋势分析、高发疾病分析、区域疾病风险分析。</w:t>
      </w:r>
    </w:p>
    <w:p w14:paraId="29EECAA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▲预警概况：需支持展示预警信号列表，可查看特定预警信号概况，如预警指标，指标详情等，</w:t>
      </w:r>
      <w:r>
        <w:rPr>
          <w:rFonts w:hint="eastAsia" w:ascii="宋体" w:hAnsi="宋体" w:cs="宋体"/>
          <w:b/>
          <w:bCs/>
          <w:sz w:val="24"/>
          <w:szCs w:val="22"/>
        </w:rPr>
        <w:t>需要提供系统功能界面截图证明</w:t>
      </w:r>
      <w:r>
        <w:rPr>
          <w:rFonts w:hint="eastAsia" w:ascii="宋体" w:hAnsi="宋体" w:cs="宋体"/>
          <w:b w:val="0"/>
          <w:bCs w:val="0"/>
          <w:sz w:val="24"/>
          <w:szCs w:val="22"/>
        </w:rPr>
        <w:t>。</w:t>
      </w:r>
    </w:p>
    <w:p w14:paraId="48E2269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趋势分析：需提供传染病趋势分析，如基于GIS聚集分析、扩散趋势分析、相关性分析等。</w:t>
      </w:r>
    </w:p>
    <w:p w14:paraId="26EF3D3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高发疾病分析：需支持基于多源数据，从患者维度、诊断维度等综合性汇集并分析，提供区域内高发疾病分析。</w:t>
      </w:r>
    </w:p>
    <w:p w14:paraId="430CDA1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区域疾病风险分析：需支持基于多源数据，汇总并分析区域潜在的疾病风险。</w:t>
      </w:r>
    </w:p>
    <w:p w14:paraId="5F18C15C">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疑似事件现场调查</w:t>
      </w:r>
    </w:p>
    <w:p w14:paraId="53BEC80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系统需支持对疑似事件进行查询及调查记录，内容包括疑似事件、现场调查登记。</w:t>
      </w:r>
    </w:p>
    <w:p w14:paraId="590D8E9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疑似事件列表及多条件查询：需支持显示疑似事件列表，能够通过事件地区、调查单位、事件病种等条件进行查询，也可以筛查调查状态、调查结论、调查时间等信息。</w:t>
      </w:r>
    </w:p>
    <w:p w14:paraId="7822FD1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现场调查表登记：需支持根据疑似事件，登记填写调查表，形成调查结论。</w:t>
      </w:r>
    </w:p>
    <w:p w14:paraId="7154E9F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预警信号分析处理</w:t>
      </w:r>
    </w:p>
    <w:p w14:paraId="61A1B8C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系统需支持提供预警信号核实与事件判定。</w:t>
      </w:r>
    </w:p>
    <w:p w14:paraId="143A556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预警信号核实与事件判定：需支持基于数据挖掘与分析结果的相关性分析，对预警信号进行核实，判定是否为疑似事件。</w:t>
      </w:r>
    </w:p>
    <w:p w14:paraId="1CEA2EBA">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监测报告</w:t>
      </w:r>
    </w:p>
    <w:p w14:paraId="5F0F49C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系统需提供疾病风险预警监测报告。</w:t>
      </w:r>
    </w:p>
    <w:p w14:paraId="688EE1B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监测报告：需支持基于设定的简报模板生成对应的简报信息，简报支持下载与浏览。</w:t>
      </w:r>
    </w:p>
    <w:p w14:paraId="4C76E634">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实时动态跟踪可视化</w:t>
      </w:r>
    </w:p>
    <w:p w14:paraId="086A2AD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系统需提供可视化监管大屏，为管理者提供决策辅助支撑。</w:t>
      </w:r>
    </w:p>
    <w:p w14:paraId="6BFB2F2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监测大屏：需提供疾病风险预警监测大屏，包括慢病可视化监管大屏、传染病可视化监管大屏。</w:t>
      </w:r>
    </w:p>
    <w:p w14:paraId="1E4E022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预警消息推送</w:t>
      </w:r>
    </w:p>
    <w:p w14:paraId="31B66BF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系统需支持通过多渠道发送预警信息。</w:t>
      </w:r>
    </w:p>
    <w:p w14:paraId="3E58A09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消息提醒：与主流消息平台对接后，可推送给设定好的相关责任人。</w:t>
      </w:r>
    </w:p>
    <w:p w14:paraId="6916CEF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数据统计</w:t>
      </w:r>
    </w:p>
    <w:p w14:paraId="2B0E1C4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系统需提供多维度多指标统计报表。</w:t>
      </w:r>
    </w:p>
    <w:p w14:paraId="57601ED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统计报表：需支持按照监管指标，形成丰富的统计报表。</w:t>
      </w:r>
    </w:p>
    <w:p w14:paraId="1D8B334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系统对接</w:t>
      </w:r>
    </w:p>
    <w:p w14:paraId="003A4412">
      <w:pPr>
        <w:spacing w:line="360" w:lineRule="auto"/>
        <w:ind w:firstLine="480" w:firstLineChars="200"/>
        <w:rPr>
          <w:rFonts w:hint="eastAsia" w:ascii="宋体" w:hAnsi="宋体"/>
          <w:sz w:val="24"/>
        </w:rPr>
      </w:pPr>
      <w:r>
        <w:rPr>
          <w:rFonts w:hint="eastAsia" w:ascii="宋体" w:hAnsi="宋体"/>
          <w:sz w:val="24"/>
        </w:rPr>
        <w:t>需完成与市医共体平台对接，获取全市综合、完整疾病风险数据，实现疾病风险分析及预警。</w:t>
      </w:r>
    </w:p>
    <w:p w14:paraId="565218E4">
      <w:pPr>
        <w:pStyle w:val="2"/>
        <w:numPr>
          <w:ilvl w:val="0"/>
          <w:numId w:val="4"/>
        </w:numPr>
        <w:spacing w:before="0" w:after="0" w:line="360" w:lineRule="auto"/>
        <w:jc w:val="left"/>
        <w:outlineLvl w:val="1"/>
        <w:rPr>
          <w:rFonts w:hint="eastAsia"/>
          <w:b/>
          <w:bCs/>
          <w:sz w:val="28"/>
          <w:szCs w:val="28"/>
        </w:rPr>
      </w:pPr>
      <w:bookmarkStart w:id="25" w:name="_Toc447632686"/>
      <w:r>
        <w:rPr>
          <w:rFonts w:hint="eastAsia"/>
          <w:b/>
          <w:bCs/>
          <w:sz w:val="28"/>
          <w:szCs w:val="28"/>
        </w:rPr>
        <w:t>区域医学检验中心</w:t>
      </w:r>
      <w:bookmarkEnd w:id="25"/>
    </w:p>
    <w:p w14:paraId="7E12E402">
      <w:pPr>
        <w:pStyle w:val="27"/>
        <w:widowControl/>
        <w:numPr>
          <w:ilvl w:val="0"/>
          <w:numId w:val="5"/>
        </w:numPr>
        <w:tabs>
          <w:tab w:val="left" w:pos="426"/>
          <w:tab w:val="left" w:pos="720"/>
        </w:tabs>
        <w:spacing w:line="360" w:lineRule="auto"/>
        <w:ind w:left="200" w:hanging="200"/>
        <w:jc w:val="left"/>
        <w:outlineLvl w:val="1"/>
        <w:rPr>
          <w:rFonts w:hint="eastAsia" w:ascii="Times New Roman" w:hAnsi="Times New Roman"/>
          <w:vanish/>
          <w:kern w:val="0"/>
          <w:sz w:val="24"/>
        </w:rPr>
      </w:pPr>
    </w:p>
    <w:p w14:paraId="2691BF11">
      <w:pPr>
        <w:pStyle w:val="25"/>
        <w:numPr>
          <w:ilvl w:val="1"/>
          <w:numId w:val="5"/>
        </w:numPr>
        <w:spacing w:before="0" w:beforeLines="0" w:after="0" w:afterLines="0" w:line="360" w:lineRule="auto"/>
        <w:outlineLvl w:val="2"/>
        <w:rPr>
          <w:rFonts w:hint="eastAsia"/>
          <w:b w:val="0"/>
          <w:bCs w:val="0"/>
          <w:sz w:val="24"/>
          <w:szCs w:val="24"/>
        </w:rPr>
      </w:pPr>
      <w:r>
        <w:rPr>
          <w:rFonts w:hint="eastAsia"/>
          <w:b w:val="0"/>
          <w:bCs w:val="0"/>
          <w:sz w:val="24"/>
          <w:szCs w:val="24"/>
        </w:rPr>
        <w:t>整体要求</w:t>
      </w:r>
    </w:p>
    <w:p w14:paraId="405BC80B">
      <w:pPr>
        <w:spacing w:line="360" w:lineRule="auto"/>
        <w:ind w:firstLine="480" w:firstLineChars="200"/>
        <w:rPr>
          <w:rFonts w:hint="eastAsia" w:ascii="宋体" w:hAnsi="宋体"/>
          <w:sz w:val="24"/>
        </w:rPr>
      </w:pPr>
      <w:r>
        <w:rPr>
          <w:rFonts w:hint="eastAsia" w:ascii="宋体" w:hAnsi="宋体"/>
          <w:sz w:val="24"/>
        </w:rPr>
        <w:t>区域医学检验系统是跨医疗机构、跨地域的检验业务联动模式和全程管理的协同服务模式的系统。</w:t>
      </w:r>
    </w:p>
    <w:p w14:paraId="1C1611CF">
      <w:pPr>
        <w:pStyle w:val="25"/>
        <w:numPr>
          <w:ilvl w:val="1"/>
          <w:numId w:val="5"/>
        </w:numPr>
        <w:spacing w:before="0" w:beforeLines="0" w:after="0" w:afterLines="0" w:line="360" w:lineRule="auto"/>
        <w:outlineLvl w:val="2"/>
        <w:rPr>
          <w:rFonts w:hint="eastAsia"/>
          <w:b w:val="0"/>
          <w:bCs w:val="0"/>
          <w:sz w:val="24"/>
          <w:szCs w:val="24"/>
        </w:rPr>
      </w:pPr>
      <w:bookmarkStart w:id="26" w:name="_Toc727338161"/>
      <w:r>
        <w:rPr>
          <w:rFonts w:hint="eastAsia"/>
          <w:b w:val="0"/>
          <w:bCs w:val="0"/>
          <w:sz w:val="24"/>
          <w:szCs w:val="24"/>
        </w:rPr>
        <w:t>检验数据采集与存储</w:t>
      </w:r>
      <w:bookmarkEnd w:id="26"/>
    </w:p>
    <w:p w14:paraId="15B5F470">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支持区域内集中部署区域检验系统，共享同一个服务器；</w:t>
      </w:r>
    </w:p>
    <w:p w14:paraId="006F360C">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支持通过前置机采集检验信息数据，完成区域检验数据采集与存储；</w:t>
      </w:r>
    </w:p>
    <w:p w14:paraId="4579172B">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支持通过检验确认服务获取到检验报告的数量，确认上传的检验报告数量是否与院内LIS系统中的检验数量保持一致；</w:t>
      </w:r>
    </w:p>
    <w:p w14:paraId="517A97ED">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支持当检验数据确认服务确认接收有缺失时，检验抽取服务主动从院内LIS系统中抽取检验数据；</w:t>
      </w:r>
    </w:p>
    <w:p w14:paraId="67233317">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支持当前置机与院内连接的网络发生异常抖动，从而影响检验数据或者报告的抽取时，可提供断点续传服务；</w:t>
      </w:r>
    </w:p>
    <w:p w14:paraId="4C6BEAF2">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支持当服务异常时，前置异常处理服务将监控异常信息并试着处理。</w:t>
      </w:r>
    </w:p>
    <w:p w14:paraId="63212DD6">
      <w:pPr>
        <w:pStyle w:val="25"/>
        <w:numPr>
          <w:ilvl w:val="1"/>
          <w:numId w:val="5"/>
        </w:numPr>
        <w:spacing w:before="0" w:beforeLines="0" w:after="0" w:afterLines="0" w:line="360" w:lineRule="auto"/>
        <w:outlineLvl w:val="2"/>
        <w:rPr>
          <w:rFonts w:hint="eastAsia"/>
          <w:b w:val="0"/>
          <w:bCs w:val="0"/>
          <w:sz w:val="24"/>
          <w:szCs w:val="24"/>
        </w:rPr>
      </w:pPr>
      <w:bookmarkStart w:id="27" w:name="_Toc895553203"/>
      <w:r>
        <w:rPr>
          <w:rFonts w:hint="eastAsia"/>
          <w:b w:val="0"/>
          <w:bCs w:val="0"/>
          <w:sz w:val="24"/>
          <w:szCs w:val="24"/>
        </w:rPr>
        <w:t>检验数据交换与共享</w:t>
      </w:r>
      <w:bookmarkEnd w:id="27"/>
    </w:p>
    <w:p w14:paraId="0AE8687A">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支持各社区端医院可通过由中心交互平台提供的WEB门户，来调阅和查看患者相关的检验报告；</w:t>
      </w:r>
    </w:p>
    <w:p w14:paraId="10FCBBDB">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支持为区域检验系统部署用于各医疗机构检验数据交换及共享的服务；</w:t>
      </w:r>
    </w:p>
    <w:p w14:paraId="4ABF887D">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支持保存各检验报告节点的访问信息和检验报告唯一索引的关联信息，并对所有检验存储管理节点的数据进行统一管理；</w:t>
      </w:r>
    </w:p>
    <w:p w14:paraId="30E40BA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支持对外展示的检验数据匿名化处理。</w:t>
      </w:r>
    </w:p>
    <w:p w14:paraId="379F3918">
      <w:pPr>
        <w:pStyle w:val="25"/>
        <w:numPr>
          <w:ilvl w:val="1"/>
          <w:numId w:val="5"/>
        </w:numPr>
        <w:spacing w:before="0" w:beforeLines="0" w:after="0" w:afterLines="0" w:line="360" w:lineRule="auto"/>
        <w:outlineLvl w:val="2"/>
        <w:rPr>
          <w:rFonts w:hint="eastAsia"/>
          <w:b w:val="0"/>
          <w:bCs w:val="0"/>
          <w:sz w:val="24"/>
          <w:szCs w:val="24"/>
        </w:rPr>
      </w:pPr>
      <w:bookmarkStart w:id="28" w:name="_Toc1997284645"/>
      <w:r>
        <w:rPr>
          <w:rFonts w:hint="eastAsia"/>
          <w:b w:val="0"/>
          <w:bCs w:val="0"/>
          <w:sz w:val="24"/>
          <w:szCs w:val="24"/>
        </w:rPr>
        <w:t>检验标本流转及报告回传</w:t>
      </w:r>
      <w:bookmarkEnd w:id="28"/>
    </w:p>
    <w:p w14:paraId="725E0F2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支持对日常标本量较少、试剂成本较高的项目，如生化、免疫等项目，由上级医疗机构进行集中检测；</w:t>
      </w:r>
    </w:p>
    <w:p w14:paraId="1D7754C9">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支持完成的检验报告通过区域检验中心平台回传至委托医疗机构；</w:t>
      </w:r>
    </w:p>
    <w:p w14:paraId="05FC56CD">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支持实验室样本流转全流程条码管理，通过条形码对检验标本自动识别，自动接收、分析、处理检验结果，包括医嘱下载，条码打印、手工条码支持、标本确认、标本签收和标本录入等。</w:t>
      </w:r>
    </w:p>
    <w:p w14:paraId="3C9A974B">
      <w:pPr>
        <w:pStyle w:val="25"/>
        <w:numPr>
          <w:ilvl w:val="1"/>
          <w:numId w:val="5"/>
        </w:numPr>
        <w:spacing w:before="0" w:beforeLines="0" w:after="0" w:afterLines="0" w:line="360" w:lineRule="auto"/>
        <w:outlineLvl w:val="2"/>
        <w:rPr>
          <w:rFonts w:hint="eastAsia"/>
          <w:b w:val="0"/>
          <w:bCs w:val="0"/>
          <w:sz w:val="24"/>
          <w:szCs w:val="24"/>
        </w:rPr>
      </w:pPr>
      <w:bookmarkStart w:id="29" w:name="_Toc1046142258"/>
      <w:r>
        <w:rPr>
          <w:rFonts w:hint="eastAsia"/>
          <w:b w:val="0"/>
          <w:bCs w:val="0"/>
          <w:sz w:val="24"/>
          <w:szCs w:val="24"/>
        </w:rPr>
        <w:t>检验BI分析</w:t>
      </w:r>
      <w:bookmarkEnd w:id="29"/>
    </w:p>
    <w:p w14:paraId="11AAE12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支持对区域内各医疗机构检验数据进行统一分类管理，并对这些数据进行智能分析统计、展示、排序；</w:t>
      </w:r>
    </w:p>
    <w:p w14:paraId="638C64E4">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支持根据时间、区域、医疗机构、标本类型等查询统计数据；</w:t>
      </w:r>
    </w:p>
    <w:p w14:paraId="1C0762DC">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支持以患者身份信息为主索引关联患者在不同时间段、不同机构进行的检验信息。</w:t>
      </w:r>
    </w:p>
    <w:p w14:paraId="62685834">
      <w:pPr>
        <w:pStyle w:val="25"/>
        <w:numPr>
          <w:ilvl w:val="1"/>
          <w:numId w:val="5"/>
        </w:numPr>
        <w:spacing w:before="0" w:beforeLines="0" w:after="0" w:afterLines="0" w:line="360" w:lineRule="auto"/>
        <w:outlineLvl w:val="2"/>
        <w:rPr>
          <w:rFonts w:hint="eastAsia"/>
          <w:b w:val="0"/>
          <w:bCs w:val="0"/>
          <w:sz w:val="24"/>
          <w:szCs w:val="24"/>
        </w:rPr>
      </w:pPr>
      <w:bookmarkStart w:id="30" w:name="_Toc1064312217"/>
      <w:r>
        <w:rPr>
          <w:rFonts w:hint="eastAsia"/>
          <w:b w:val="0"/>
          <w:bCs w:val="0"/>
          <w:sz w:val="24"/>
          <w:szCs w:val="24"/>
        </w:rPr>
        <w:t>基层检验应用</w:t>
      </w:r>
      <w:bookmarkEnd w:id="30"/>
    </w:p>
    <w:p w14:paraId="580CAB44">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常规设备联机</w:t>
      </w:r>
    </w:p>
    <w:p w14:paraId="79132A8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完成具备检验业务的社区服务中心/乡镇卫生院的常规设备联机，实现各类设备仪器与信息系统的信息通讯。要求如下：</w:t>
      </w:r>
    </w:p>
    <w:p w14:paraId="6F52E97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支持从检验仪器自动接收检验结果；</w:t>
      </w:r>
    </w:p>
    <w:p w14:paraId="5AD42AA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支持常规检验数据、急诊检验数据、质控数据接收；</w:t>
      </w:r>
    </w:p>
    <w:p w14:paraId="187595E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支持数据转换、偏移、计算处理；</w:t>
      </w:r>
    </w:p>
    <w:p w14:paraId="72045FB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支持常规检验数据转质控数据自动处理。</w:t>
      </w:r>
    </w:p>
    <w:p w14:paraId="2CD99E91">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检验结果处理模块</w:t>
      </w:r>
    </w:p>
    <w:p w14:paraId="33A4F07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支持检验结果确认/修改、批量确认/修改，支持多结果合并，支持外部数据导入，手工结果录入。</w:t>
      </w:r>
    </w:p>
    <w:p w14:paraId="59AA3CF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支持对需要分类的标本进行分类、自动产生实验室内部样本号，方便进行分批测试；</w:t>
      </w:r>
    </w:p>
    <w:p w14:paraId="72F1452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支持对已签收的条码统一入库，生化、自动免疫仪器标本提供便捷的批量入库功能；</w:t>
      </w:r>
    </w:p>
    <w:p w14:paraId="2CF7450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支持对数据进行增加、删除、修改、复制、标号修改操作，并对各种操作进行自动记录；</w:t>
      </w:r>
    </w:p>
    <w:p w14:paraId="251F352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支持报告批量输入相同信息和检验结果；</w:t>
      </w:r>
    </w:p>
    <w:p w14:paraId="39478B7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支持对报告的项目数据进行批量校正。通过仪器，项目，检验日期，样本范围等条件查询出项目，通过公式来校正数据结果；</w:t>
      </w:r>
    </w:p>
    <w:p w14:paraId="08BEFE3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支持显示病人的超限比较结果集。比较距执行日期最近一次的结果；并能通过显示的内容查询到该化验单，可以比较单个项目也可以比较组合项目；</w:t>
      </w:r>
    </w:p>
    <w:p w14:paraId="222B92F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支持检验数据自动分析：检验项目数量验证，结果超出临界值控制，自定义判定规则执行；</w:t>
      </w:r>
    </w:p>
    <w:p w14:paraId="7CB1174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复做标本管理：为病人增加复做标志，并将信息以消息方式发布到临床；修改检验项目结果值，保存每次的结果值。能够根据预先设定的审核规则对复做标本进行自动筛选；能够准确、完整记录每次复查情况和结果记录； 对复做病人结果进行统计和分析；</w:t>
      </w:r>
    </w:p>
    <w:p w14:paraId="30D6853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检验360视图功能：该视图可以在同一界面可视化的显示该病人的全部历史报告且展现每份报告的全流程信息，包括对应的医嘱列表、联系方式等；以及可按仪器或者检验分类等多种检索条件查看该患者的历史报告，同时可对每个分类的报告的结果进行对比查看；</w:t>
      </w:r>
    </w:p>
    <w:p w14:paraId="30C2409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支持报告详情功能，点击报告详情可以一目了然查看报告的详情信息，包括全流程明细、报告汇总、检验项目、修改记录－报告、修改记录－结果、危急值项目、危急值流程、标本全流程；</w:t>
      </w:r>
    </w:p>
    <w:p w14:paraId="27359D8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▲支持趋势分析功能，医生可以查看到该患者在医院做的这项指标的所有趋势，并可以进行下载保存，同时可以关联指标。快速查看与该指标相关联的指标，</w:t>
      </w:r>
      <w:r>
        <w:rPr>
          <w:rFonts w:hint="eastAsia" w:ascii="宋体" w:hAnsi="宋体" w:cs="宋体"/>
          <w:b/>
          <w:bCs/>
          <w:sz w:val="24"/>
          <w:szCs w:val="22"/>
        </w:rPr>
        <w:t>需要提供系统功能界面截图证明</w:t>
      </w:r>
      <w:r>
        <w:rPr>
          <w:rFonts w:hint="eastAsia" w:ascii="宋体" w:hAnsi="宋体" w:cs="宋体"/>
          <w:b w:val="0"/>
          <w:bCs w:val="0"/>
          <w:sz w:val="24"/>
          <w:szCs w:val="22"/>
        </w:rPr>
        <w:t>。</w:t>
      </w:r>
    </w:p>
    <w:p w14:paraId="4EE828D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标本登记及收费</w:t>
      </w:r>
    </w:p>
    <w:p w14:paraId="3B749FA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支持添加检验项目并计费，并记录签收人、签收时间、生成签收号；</w:t>
      </w:r>
    </w:p>
    <w:p w14:paraId="041E46D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支持检验费用核对；</w:t>
      </w:r>
    </w:p>
    <w:p w14:paraId="1890E9F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支持免费检验管理；</w:t>
      </w:r>
    </w:p>
    <w:p w14:paraId="0A6CA19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支持绿色通道管理；</w:t>
      </w:r>
    </w:p>
    <w:p w14:paraId="047FF72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支持条码标本登记、外来标本接收登记、手工单标本接收登记；</w:t>
      </w:r>
    </w:p>
    <w:p w14:paraId="3C3A1A3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支持不合格标本拒收记录，并记录不合格原因；</w:t>
      </w:r>
    </w:p>
    <w:p w14:paraId="1C0D8C6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支持实验室对标本进行集中、小组核收，对需要补充检验申请的添加检验申请并计费，记录签收人、签收时间、生成签收号；</w:t>
      </w:r>
    </w:p>
    <w:p w14:paraId="4ECFF0A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支持检验费用核对功能；</w:t>
      </w:r>
    </w:p>
    <w:p w14:paraId="1A50417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支持不合格标本（损毁、凝集、采集量少）拒收，记录不合格原因并通知护士进行处理；</w:t>
      </w:r>
    </w:p>
    <w:p w14:paraId="13EB287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 xml:space="preserve">支持对标本重复、漏检、送检超时、送检地错误等问题智能提醒。 </w:t>
      </w:r>
    </w:p>
    <w:p w14:paraId="3F7B978C">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查询、统计</w:t>
      </w:r>
    </w:p>
    <w:p w14:paraId="0371B28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支持提供查询功能；</w:t>
      </w:r>
    </w:p>
    <w:p w14:paraId="3BDB72C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支持提供基础常用报表；</w:t>
      </w:r>
    </w:p>
    <w:p w14:paraId="6CCF5F4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支持用户个性化定制。</w:t>
      </w:r>
    </w:p>
    <w:p w14:paraId="6A8669CD">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报告发布回收及临床调阅</w:t>
      </w:r>
    </w:p>
    <w:p w14:paraId="4195BD0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支持按不同分类进行报告的查询、浏览、打印和批量打印；</w:t>
      </w:r>
    </w:p>
    <w:p w14:paraId="2880BFE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报告发布支持 Web查询、医生站调阅、大屏通知、服务台打印。</w:t>
      </w:r>
    </w:p>
    <w:p w14:paraId="6E4EFA6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支持检验结果、报告单的浏览、阅读功能；</w:t>
      </w:r>
    </w:p>
    <w:p w14:paraId="66E81F9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支持与医院信息系统医嘱匹配（第三方医院信息系统需做接口）或按实验室完整报告方式调阅检验报告；</w:t>
      </w:r>
    </w:p>
    <w:p w14:paraId="7210170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 xml:space="preserve">支持历史报告调阅。 </w:t>
      </w:r>
    </w:p>
    <w:p w14:paraId="6E5146F4">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检验条码管理</w:t>
      </w:r>
    </w:p>
    <w:p w14:paraId="3F1BFAF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标本采集时，支持与HIS系统对接，完成检验申请的接收、条码与申请信息的绑定、申请信息执行确认、收费确认等操作。要求如下：</w:t>
      </w:r>
    </w:p>
    <w:p w14:paraId="2F76FCF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支持门急诊申请单接收：与HIS系统深度融合，接收医生站检验申请信息、病人信息并确认；</w:t>
      </w:r>
    </w:p>
    <w:p w14:paraId="02D27A0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支持费用信息确认：支持接收医生站检验申请项目收费信息确认；</w:t>
      </w:r>
    </w:p>
    <w:p w14:paraId="5FA0152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支持如试管、针头材料费自动计费功能；</w:t>
      </w:r>
    </w:p>
    <w:p w14:paraId="1B58D61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支持预缴金病人收费确认功能；支持增加收费项目条码标志、急诊标志功能；支持通过医嘱筛选匹配收费项目与各业务模块条码分组、报告发放规则功能；</w:t>
      </w:r>
    </w:p>
    <w:p w14:paraId="3A18DA3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支持已绑定条码的检验项目强制退费功能；</w:t>
      </w:r>
    </w:p>
    <w:p w14:paraId="66781E8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支持条码预印/打印及采集确认：支持门诊收费处、预检台等多种场景的条码生成打印及采集确认功能。条码生成打印模式支持条码预印模式、条码即时打印模式；</w:t>
      </w:r>
    </w:p>
    <w:p w14:paraId="293759B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支持检验标本采集管理：支持自动按照标本类型、采集要求、检验项目等条件拆分和合并成条码功能；</w:t>
      </w:r>
    </w:p>
    <w:p w14:paraId="4B7977F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支持标本重采、医嘱与条码取消绑定、条码复制、条码重打、条码补打、采集时间更新、条码备注、条码集中打印功能；</w:t>
      </w:r>
    </w:p>
    <w:p w14:paraId="0DFBA78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 xml:space="preserve">支持回执单管理：支持根据门诊报告发放规则分类进行回执单打印/补打功能，包括三种常用回执单模式，统一领取时间、依据采集时间的报告周期、报告日期+周末顺延+检测日程+抽血截止时间+截止延续天数+统一领取报告时间；  </w:t>
      </w:r>
    </w:p>
    <w:p w14:paraId="0A55CDD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bCs/>
          <w:color w:val="auto"/>
          <w:sz w:val="24"/>
          <w:szCs w:val="22"/>
        </w:rPr>
      </w:pPr>
      <w:r>
        <w:rPr>
          <w:rFonts w:hint="eastAsia" w:ascii="宋体" w:hAnsi="宋体" w:cs="宋体"/>
          <w:b w:val="0"/>
          <w:bCs w:val="0"/>
          <w:color w:val="auto"/>
          <w:sz w:val="24"/>
          <w:szCs w:val="22"/>
        </w:rPr>
        <w:t>支持标本跟踪查询：门诊采集护士直接点击条码号弹窗查看标本采集全过程，可查看已绑定条码标本采集记录及标本实时状态，可查看绑定信息，签收信息，入库信息，撤销、拒绝信息，实现对标本信息的一键追溯</w:t>
      </w:r>
      <w:r>
        <w:rPr>
          <w:rFonts w:hint="eastAsia" w:ascii="宋体" w:hAnsi="宋体" w:cs="宋体"/>
          <w:b w:val="0"/>
          <w:bCs w:val="0"/>
          <w:color w:val="auto"/>
          <w:sz w:val="24"/>
          <w:szCs w:val="22"/>
          <w:lang w:eastAsia="zh-CN"/>
        </w:rPr>
        <w:t>。</w:t>
      </w:r>
    </w:p>
    <w:p w14:paraId="18C7748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支持信息汇总及单据打印：按条码类别、收费项目、收费项目人次实时集中查询生成采样任务表、标本交接单电子单据并打印。</w:t>
      </w:r>
    </w:p>
    <w:p w14:paraId="36CD047A">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检验设备条码双工通讯</w:t>
      </w:r>
    </w:p>
    <w:p w14:paraId="72319C1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完成具备开展检验业务的社区服务中心/乡镇卫生院的检验系统与检测仪器连接，仪器将检测结果自动传入LIS系统。要求如下：</w:t>
      </w:r>
    </w:p>
    <w:p w14:paraId="743D8A5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支持自动接收仪器检验结果，向仪器发送检验项目，以便仪器按指定项目检验样本功能；</w:t>
      </w:r>
    </w:p>
    <w:p w14:paraId="77F1658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支持多种双向仪器与系统对接；</w:t>
      </w:r>
    </w:p>
    <w:p w14:paraId="02CFD25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支持条码双向通讯。</w:t>
      </w:r>
    </w:p>
    <w:p w14:paraId="79C62527">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标本外送管理</w:t>
      </w:r>
    </w:p>
    <w:p w14:paraId="418C548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支持护工对标本进行信息查询、签收确认及运送时间更新；</w:t>
      </w:r>
    </w:p>
    <w:p w14:paraId="3F93F6F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支持标本签收明细打印，标本交接异常情况登记；</w:t>
      </w:r>
    </w:p>
    <w:p w14:paraId="2A77455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支持标本流转过程、流向有效监控，支持集团医院多院区标本流转、区域标本流转，支持与自动化物流系统的集成。</w:t>
      </w:r>
    </w:p>
    <w:p w14:paraId="3CABF6F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危急值管理</w:t>
      </w:r>
    </w:p>
    <w:p w14:paraId="2C2F46B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支持智能判断危急值，并通过声音和颜色提示检验医师，检验医师确认为危急报告可将相关信息发布至临床，临床第一时间可获取患者危急报告；</w:t>
      </w:r>
    </w:p>
    <w:p w14:paraId="2CB7B4A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处理记录—危急值出现后，支持发布危急值通知到临床工作站的，支持记录通知人、被通知人、发生时间信息。</w:t>
      </w:r>
    </w:p>
    <w:p w14:paraId="1E9AB8B9">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检验质控管理</w:t>
      </w:r>
    </w:p>
    <w:p w14:paraId="30AD585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对仪器质控数据自动接收，自动绘制质控图；支持七种质控图绘制Z－分数图、L-J图、尤顿图、尿液质控图、血液质控图多种图、双区法质控图、滴度质控图，质控图绘制可按月按天描绘；支持不同月份的质控点绘制在同一图上进行对比；支持11大类常用的质控规则，标准差倍数规则、极差规则、趋势规则、平均数控制规则、比例控制规则、±半定量规则、数字半定量规则、定性控制规则、累积和控制规则、滴度半定量规则和经典多规则组合，如WESTGARD质控规则；支持生化临检免疫的定量质控；</w:t>
      </w:r>
    </w:p>
    <w:p w14:paraId="0521DD5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持即刻法质控，由仪器直接传输质控数据。重新测定当次的结果，累计满20个数据后 ，可使用常规的质控图；支持月、季、年的质控分析总结，质控阶段性改进等质控管理，开放质控规则定义支持失控自动报警、质控数据自动分析和失控处理意见记录；支持重传覆盖功能，解决仪器重传质控数据时质控曲线上显示多个点的问题；要求提供重传覆盖时间；支持双区法质控，解决免疫阴阳质控品适用Z分数图控制CV过大问题。</w:t>
      </w:r>
    </w:p>
    <w:p w14:paraId="7F360CA0">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系统对接</w:t>
      </w:r>
    </w:p>
    <w:p w14:paraId="578F6024">
      <w:pPr>
        <w:spacing w:line="360" w:lineRule="auto"/>
        <w:ind w:firstLine="480" w:firstLineChars="200"/>
        <w:rPr>
          <w:rFonts w:hint="eastAsia" w:ascii="宋体" w:hAnsi="宋体"/>
          <w:sz w:val="24"/>
        </w:rPr>
      </w:pPr>
      <w:r>
        <w:rPr>
          <w:rFonts w:hint="eastAsia" w:ascii="宋体" w:hAnsi="宋体"/>
          <w:sz w:val="24"/>
        </w:rPr>
        <w:t>完成与医共体建设范围内</w:t>
      </w:r>
      <w:r>
        <w:rPr>
          <w:rFonts w:ascii="宋体" w:hAnsi="宋体"/>
          <w:sz w:val="24"/>
        </w:rPr>
        <w:t>LIS系统对接，通过标准接口协议，实现区域检验系统与区域二级医院（检验委托受理机构）LIS系统对接。</w:t>
      </w:r>
    </w:p>
    <w:p w14:paraId="32683566">
      <w:pPr>
        <w:pStyle w:val="2"/>
        <w:numPr>
          <w:ilvl w:val="0"/>
          <w:numId w:val="4"/>
        </w:numPr>
        <w:spacing w:before="0" w:after="0" w:line="360" w:lineRule="auto"/>
        <w:jc w:val="left"/>
        <w:outlineLvl w:val="1"/>
        <w:rPr>
          <w:rFonts w:hint="eastAsia"/>
          <w:b/>
          <w:bCs/>
          <w:sz w:val="28"/>
          <w:szCs w:val="28"/>
        </w:rPr>
      </w:pPr>
      <w:bookmarkStart w:id="31" w:name="_Toc1504135256"/>
      <w:r>
        <w:rPr>
          <w:rFonts w:hint="eastAsia"/>
          <w:b/>
          <w:bCs/>
          <w:sz w:val="28"/>
          <w:szCs w:val="28"/>
        </w:rPr>
        <w:t>专慢病协同防治系统</w:t>
      </w:r>
      <w:bookmarkEnd w:id="31"/>
    </w:p>
    <w:p w14:paraId="0FDED76A">
      <w:pPr>
        <w:pStyle w:val="27"/>
        <w:widowControl/>
        <w:numPr>
          <w:ilvl w:val="0"/>
          <w:numId w:val="5"/>
        </w:numPr>
        <w:tabs>
          <w:tab w:val="left" w:pos="720"/>
        </w:tabs>
        <w:spacing w:line="360" w:lineRule="auto"/>
        <w:ind w:left="1063" w:firstLine="0"/>
        <w:jc w:val="left"/>
        <w:outlineLvl w:val="1"/>
        <w:rPr>
          <w:rFonts w:hint="eastAsia" w:ascii="宋体" w:hAnsi="宋体" w:cs="宋体"/>
          <w:vanish/>
          <w:sz w:val="24"/>
        </w:rPr>
      </w:pPr>
    </w:p>
    <w:p w14:paraId="62D5483E">
      <w:pPr>
        <w:pStyle w:val="25"/>
        <w:numPr>
          <w:ilvl w:val="1"/>
          <w:numId w:val="5"/>
        </w:numPr>
        <w:spacing w:before="0" w:beforeLines="0" w:after="0" w:afterLines="0" w:line="360" w:lineRule="auto"/>
        <w:ind w:left="0" w:firstLine="0"/>
        <w:outlineLvl w:val="2"/>
        <w:rPr>
          <w:rFonts w:hint="eastAsia"/>
          <w:b w:val="0"/>
          <w:bCs w:val="0"/>
          <w:sz w:val="24"/>
          <w:szCs w:val="24"/>
        </w:rPr>
      </w:pPr>
      <w:r>
        <w:rPr>
          <w:rFonts w:hint="eastAsia"/>
          <w:b w:val="0"/>
          <w:bCs w:val="0"/>
          <w:sz w:val="24"/>
          <w:szCs w:val="24"/>
        </w:rPr>
        <w:t>整体要求</w:t>
      </w:r>
    </w:p>
    <w:p w14:paraId="2B416996">
      <w:pPr>
        <w:spacing w:line="360" w:lineRule="auto"/>
        <w:ind w:firstLine="480" w:firstLineChars="200"/>
        <w:rPr>
          <w:rFonts w:hint="eastAsia" w:ascii="宋体" w:hAnsi="宋体"/>
          <w:sz w:val="24"/>
        </w:rPr>
      </w:pPr>
      <w:r>
        <w:rPr>
          <w:rFonts w:hint="eastAsia" w:ascii="宋体" w:hAnsi="宋体"/>
          <w:sz w:val="24"/>
        </w:rPr>
        <w:t>专慢病协同防治系统以常见高发专慢病（高血压、糖尿病、高血脂）为切入点，全域排查目标管理人群，以居民为主线，通过汇集到的医疗健康数据，为居民匹配人群属性标签，精准绘制居民健康画像，为其提供全周期闭环服务。协同医院、基层医疗卫生机构，实现高发专慢病的一体化融合管理，上下协同服务。此次建设过程中结合各旗县区情况，根据机构实际按需部署。</w:t>
      </w:r>
    </w:p>
    <w:p w14:paraId="077C6B06">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32" w:name="_Toc1971238755"/>
      <w:r>
        <w:rPr>
          <w:rFonts w:hint="eastAsia" w:ascii="宋体" w:hAnsi="宋体" w:cs="宋体"/>
          <w:b w:val="0"/>
          <w:bCs w:val="0"/>
          <w:sz w:val="24"/>
          <w:szCs w:val="24"/>
        </w:rPr>
        <w:t>统一管理中心</w:t>
      </w:r>
      <w:bookmarkEnd w:id="32"/>
    </w:p>
    <w:p w14:paraId="4B227C40">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统一管理中心</w:t>
      </w:r>
    </w:p>
    <w:p w14:paraId="05059080">
      <w:pPr>
        <w:spacing w:line="360" w:lineRule="auto"/>
        <w:ind w:firstLine="480" w:firstLineChars="200"/>
        <w:rPr>
          <w:rFonts w:hint="eastAsia" w:ascii="宋体" w:hAnsi="宋体"/>
          <w:sz w:val="24"/>
        </w:rPr>
      </w:pPr>
      <w:r>
        <w:rPr>
          <w:rFonts w:hint="eastAsia" w:ascii="宋体" w:hAnsi="宋体"/>
          <w:sz w:val="24"/>
        </w:rPr>
        <w:t>需提供统一管理中心，对机构、用户、角色、权限、菜单等进行维护管理。</w:t>
      </w:r>
    </w:p>
    <w:p w14:paraId="41852B88">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基础管理</w:t>
      </w:r>
    </w:p>
    <w:p w14:paraId="2CE3E09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提供健康管理信息系统基础应用设置与维护，包括且不限于知识库设置、服务设置、任务设置、团队维护、评估设置、业务设置。</w:t>
      </w:r>
    </w:p>
    <w:p w14:paraId="3D2CC99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知识库设置：需提供管理方案维护、健康宣教内容维护、中医辨证论治知识库内容维护、采集项目维护功能，并支持修改启用状态。</w:t>
      </w:r>
    </w:p>
    <w:p w14:paraId="7A3D940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服务设置：需支持对服务频次、服务项目、项目目录等进行维护并修改启用状态。</w:t>
      </w:r>
    </w:p>
    <w:p w14:paraId="2765581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任务设置：需提供任务规则的自定义设置及系统任务的维护功能。</w:t>
      </w:r>
    </w:p>
    <w:p w14:paraId="75F0579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团队维护：需支持对团队信息进行维护管理。</w:t>
      </w:r>
    </w:p>
    <w:p w14:paraId="205C5C4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评估设置：需支持对评估模板及对应的评估题目进行配置维护。</w:t>
      </w:r>
    </w:p>
    <w:p w14:paraId="124BBF6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业务设置：需支持对业务菜单、健康指数、药品信息、健康教育处方、标签管理进行维护配置。</w:t>
      </w:r>
    </w:p>
    <w:p w14:paraId="7EFB403D">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33" w:name="_Toc1379533016"/>
      <w:r>
        <w:rPr>
          <w:rFonts w:hint="eastAsia" w:ascii="宋体" w:hAnsi="宋体" w:cs="宋体"/>
          <w:b w:val="0"/>
          <w:bCs w:val="0"/>
          <w:sz w:val="24"/>
          <w:szCs w:val="24"/>
        </w:rPr>
        <w:t>慢病数据中心</w:t>
      </w:r>
      <w:bookmarkEnd w:id="33"/>
    </w:p>
    <w:p w14:paraId="07DC523C">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整体要求</w:t>
      </w:r>
    </w:p>
    <w:p w14:paraId="2A4B74D5">
      <w:pPr>
        <w:spacing w:line="360" w:lineRule="auto"/>
        <w:ind w:firstLine="480" w:firstLineChars="200"/>
        <w:rPr>
          <w:rFonts w:hint="eastAsia" w:ascii="宋体" w:hAnsi="宋体"/>
          <w:sz w:val="24"/>
        </w:rPr>
      </w:pPr>
      <w:r>
        <w:rPr>
          <w:rFonts w:hint="eastAsia" w:ascii="宋体" w:hAnsi="宋体"/>
          <w:sz w:val="24"/>
        </w:rPr>
        <w:t>基于医共体平台，归集各类医疗、卫生、管理数据，建立慢病数据中心。</w:t>
      </w:r>
    </w:p>
    <w:p w14:paraId="2BCDC93A">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慢病专病库</w:t>
      </w:r>
    </w:p>
    <w:p w14:paraId="10AD723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需通过慢病数据中心，汇聚区域内各慢病相关业务数据，形成慢病专病库，为慢病健康管理提供数据支撑服务，并实现慢病患者和高危人群信息在各服务机构之间的多方共享。</w:t>
      </w:r>
    </w:p>
    <w:p w14:paraId="6904628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需包括高血压专病库、糖尿病专病库、高血脂专病库。</w:t>
      </w:r>
    </w:p>
    <w:p w14:paraId="6844C31C">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慢病知识库</w:t>
      </w:r>
    </w:p>
    <w:p w14:paraId="30FE02D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需按照慢病防治指南，整合疾病知识、用药、检验、检查、健康教育等信息，形成专病防治知识库，为区域内医护人员管理慢病患者提供参考和指导。</w:t>
      </w:r>
    </w:p>
    <w:p w14:paraId="1BC064C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需提供慢病知识库管理和维护功能，包括病种的评估模板、来源、启用状态、结果设置等，实现健康服务项目的内容、频次、权限等内容的维护。</w:t>
      </w:r>
    </w:p>
    <w:p w14:paraId="3EE7CCC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需支持维护管理方案名称、防治种类、互斥套餐、服务项目等。</w:t>
      </w:r>
    </w:p>
    <w:p w14:paraId="5DA728D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需包括高血压、糖尿病、高血脂防治知识库。</w:t>
      </w:r>
    </w:p>
    <w:p w14:paraId="70D664F8">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慢病筛查模型</w:t>
      </w:r>
    </w:p>
    <w:p w14:paraId="6BEC660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参考国家高血压、糖尿病等慢病防治指南及相关管理规范，梳理高血压、糖尿病等疾病风险因素、确诊条件，结合地区实际情况，建立慢病筛查模型。基于慢病专病库数据全面排查区域内慢病人群，主动发现已患未管理、高危需管理慢病服务对象。</w:t>
      </w:r>
    </w:p>
    <w:p w14:paraId="6712A54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需包括高血压、糖尿病、高血脂筛查模型等。</w:t>
      </w:r>
    </w:p>
    <w:p w14:paraId="515AADEA">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慢病服务管理</w:t>
      </w:r>
    </w:p>
    <w:p w14:paraId="1ECEDB27">
      <w:pPr>
        <w:spacing w:line="360" w:lineRule="auto"/>
        <w:ind w:firstLine="480" w:firstLineChars="200"/>
        <w:rPr>
          <w:rFonts w:hint="eastAsia" w:ascii="宋体" w:hAnsi="宋体"/>
          <w:sz w:val="24"/>
        </w:rPr>
      </w:pPr>
      <w:r>
        <w:rPr>
          <w:rFonts w:hint="eastAsia" w:ascii="宋体" w:hAnsi="宋体"/>
          <w:sz w:val="24"/>
        </w:rPr>
        <w:t>需基于慢病专病库汇聚的慢病患者的体征、疾病、检验、检查等数据，形成对外数据共享服务，面向慢病业务提供数据订阅应用。需包括服务注册、服务订阅发布及服务监控。</w:t>
      </w:r>
    </w:p>
    <w:p w14:paraId="00BA254A">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34" w:name="_Toc1577946900"/>
      <w:r>
        <w:rPr>
          <w:rFonts w:hint="eastAsia" w:ascii="宋体" w:hAnsi="宋体" w:cs="宋体"/>
          <w:b w:val="0"/>
          <w:bCs w:val="0"/>
          <w:sz w:val="24"/>
          <w:szCs w:val="24"/>
        </w:rPr>
        <w:t>慢病服务中心</w:t>
      </w:r>
      <w:bookmarkEnd w:id="34"/>
    </w:p>
    <w:p w14:paraId="00352B41">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整体要求</w:t>
      </w:r>
    </w:p>
    <w:p w14:paraId="12C905E7">
      <w:pPr>
        <w:spacing w:line="360" w:lineRule="auto"/>
        <w:ind w:firstLine="480" w:firstLineChars="200"/>
        <w:rPr>
          <w:rFonts w:hint="eastAsia" w:ascii="宋体" w:hAnsi="宋体"/>
          <w:sz w:val="24"/>
        </w:rPr>
      </w:pPr>
      <w:r>
        <w:rPr>
          <w:rFonts w:hint="eastAsia" w:ascii="宋体" w:hAnsi="宋体"/>
          <w:sz w:val="24"/>
        </w:rPr>
        <w:t>需提供慢病精细化管理服务流程，通过接收医共体基础信息的慢病筛查数据，形成慢病管理队列，由慢病管理团队为慢病患者提供“健康评估→健康处方→健康方案→干预执行→效果评估”等全流程闭环服务。</w:t>
      </w:r>
    </w:p>
    <w:p w14:paraId="44F4311D">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医生首页</w:t>
      </w:r>
    </w:p>
    <w:p w14:paraId="670D10D5">
      <w:pPr>
        <w:spacing w:line="360" w:lineRule="auto"/>
        <w:ind w:firstLine="480" w:firstLineChars="200"/>
        <w:rPr>
          <w:rFonts w:hint="eastAsia" w:ascii="宋体" w:hAnsi="宋体"/>
          <w:sz w:val="24"/>
        </w:rPr>
      </w:pPr>
      <w:r>
        <w:rPr>
          <w:rFonts w:hint="eastAsia" w:ascii="宋体" w:hAnsi="宋体"/>
          <w:sz w:val="24"/>
        </w:rPr>
        <w:t>需提供健康管理医生首页，从管理情况、数据简报维度对健康管理业务数据进行统计展示，从工作提醒维度对医生提供任务提醒，并支持下钻处理相关任务。</w:t>
      </w:r>
    </w:p>
    <w:p w14:paraId="7B4B9969">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管理队列</w:t>
      </w:r>
    </w:p>
    <w:p w14:paraId="1E494FC7">
      <w:pPr>
        <w:spacing w:line="360" w:lineRule="auto"/>
        <w:ind w:firstLine="480" w:firstLineChars="200"/>
        <w:rPr>
          <w:rFonts w:hint="eastAsia" w:ascii="宋体" w:hAnsi="宋体"/>
          <w:sz w:val="24"/>
        </w:rPr>
      </w:pPr>
      <w:r>
        <w:rPr>
          <w:rFonts w:hint="eastAsia" w:ascii="宋体" w:hAnsi="宋体"/>
          <w:sz w:val="24"/>
        </w:rPr>
        <w:t>需根据慢病筛查结果，对慢病人群进行分类管理。支持按照已管理慢病人群，疑似待管理慢病人群，建立慢病管理队列。</w:t>
      </w:r>
    </w:p>
    <w:p w14:paraId="7D8637D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档案管理</w:t>
      </w:r>
    </w:p>
    <w:p w14:paraId="211A30CB">
      <w:pPr>
        <w:spacing w:line="360" w:lineRule="auto"/>
        <w:ind w:firstLine="480" w:firstLineChars="200"/>
        <w:rPr>
          <w:rFonts w:hint="eastAsia" w:ascii="宋体" w:hAnsi="宋体"/>
          <w:sz w:val="24"/>
        </w:rPr>
      </w:pPr>
      <w:r>
        <w:rPr>
          <w:rFonts w:hint="eastAsia" w:ascii="宋体" w:hAnsi="宋体"/>
          <w:sz w:val="24"/>
        </w:rPr>
        <w:t>需支持慢病健康管理对象健康档案信息的管理维护。提供档案列表功能，列表需根据居民姓名、身份证号、档案状态等进行查询；需支持以卡片形式展示医生所管对象，可查看居民档案完善状态、健康评估状态、所患疾病等。</w:t>
      </w:r>
    </w:p>
    <w:p w14:paraId="04CE9A04">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健康主页</w:t>
      </w:r>
    </w:p>
    <w:p w14:paraId="04F73CC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▲需以健康管理对象为核心，提供居民健康主页。包括且不限于健康画像、标签管理、管理方案、服务项目、综合随访、健教处方、体征趋势、健康评估，</w:t>
      </w:r>
      <w:r>
        <w:rPr>
          <w:rFonts w:hint="eastAsia" w:ascii="宋体" w:hAnsi="宋体" w:cs="宋体"/>
          <w:b/>
          <w:bCs/>
          <w:sz w:val="24"/>
          <w:szCs w:val="22"/>
        </w:rPr>
        <w:t>需要提供系统功能界面截图证明</w:t>
      </w:r>
      <w:r>
        <w:rPr>
          <w:rFonts w:hint="eastAsia" w:ascii="宋体" w:hAnsi="宋体" w:cs="宋体"/>
          <w:b w:val="0"/>
          <w:bCs w:val="0"/>
          <w:sz w:val="24"/>
          <w:szCs w:val="22"/>
        </w:rPr>
        <w:t>。</w:t>
      </w:r>
    </w:p>
    <w:p w14:paraId="6102ACE9">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健康画像：需展示居民健康画像，包括基本信息、健康指数、健康等级、疾病预测、危险因素、健康实施率、体征达标率、体征指标及体征趋势。</w:t>
      </w:r>
    </w:p>
    <w:p w14:paraId="0D080B4E">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标签管理：需展示居民个人标签，包括基础属性、健康属性、生活属性；标签需支持查看详情并个性化调整。</w:t>
      </w:r>
    </w:p>
    <w:p w14:paraId="7365C90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管理方案：需展示居民已制定的管理方案，并支持修改。</w:t>
      </w:r>
    </w:p>
    <w:p w14:paraId="1ADA200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服务项目：需展示居民已完成和未完成服务项目。</w:t>
      </w:r>
    </w:p>
    <w:p w14:paraId="138D592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综合随访：需提供综合随访功能，针对多慢病患者，可填写综合性随访表单。</w:t>
      </w:r>
    </w:p>
    <w:p w14:paraId="67719D6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健教处方：需提供健教处方，医生可选定模板个性化调整后，为居民宣教并支持打印给居民。</w:t>
      </w:r>
    </w:p>
    <w:p w14:paraId="407EB0B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体征趋势：需展示居民历次体征趋势。</w:t>
      </w:r>
    </w:p>
    <w:p w14:paraId="46E0E21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健康评估：需支持为居民提供健康评估，并生成健康指导。</w:t>
      </w:r>
    </w:p>
    <w:p w14:paraId="3C4F315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评估管理</w:t>
      </w:r>
    </w:p>
    <w:p w14:paraId="45241F3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需支持依托慢病知识库，为健康管理对象提供健康评估服务。</w:t>
      </w:r>
    </w:p>
    <w:p w14:paraId="43E7A04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评估列表：需提供健康评估列表，可按照评估状态、评估模板、评估年度等进行查询。</w:t>
      </w:r>
    </w:p>
    <w:p w14:paraId="1FE7D0A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慢病评估：需提供慢病健康评估，支持对居民既往史、疾病行为、体格检查、实验室检查等信息进行采集。</w:t>
      </w:r>
    </w:p>
    <w:p w14:paraId="7BE8380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▲健康指导：需支持根据评估数据，自动得出居民已患疾病、危险因素、健康指导。健康指导信息需根据健康教育知识库自动匹配，并支持医生针对性调整，</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155C4815">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历史评估记录：需支持查看居民个人历史评估记录。</w:t>
      </w:r>
    </w:p>
    <w:p w14:paraId="67B0E579">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评估模板切换：需支持切换评估模板。</w:t>
      </w:r>
    </w:p>
    <w:p w14:paraId="6D52B7E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效果评估：需支持为健康管理对象提供效果评估服务，从主要问题对比、生活方式情况对比、体征评估情况及目标设定对比、健康指导、评估结果及结论等健康主题分析，生成总体健康管理效果，如待改善、一般或良好等，</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19659061">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方案管理</w:t>
      </w:r>
    </w:p>
    <w:p w14:paraId="6860981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需提供健康管理方案生成、查询及跟进服务。</w:t>
      </w:r>
    </w:p>
    <w:p w14:paraId="1ADE02F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健康方案制定：需根据评估结果，自动推荐健康管理方案，医生可自主调整。</w:t>
      </w:r>
    </w:p>
    <w:p w14:paraId="39A4B130">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健康方案执行：需支持根据制定的健康管理方案执行对应任务。</w:t>
      </w:r>
    </w:p>
    <w:p w14:paraId="52FA8D9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color w:val="auto"/>
          <w:sz w:val="24"/>
          <w:szCs w:val="22"/>
        </w:rPr>
      </w:pPr>
      <w:r>
        <w:rPr>
          <w:rFonts w:hint="eastAsia" w:ascii="宋体" w:hAnsi="宋体" w:cs="宋体"/>
          <w:b w:val="0"/>
          <w:color w:val="auto"/>
          <w:sz w:val="24"/>
          <w:szCs w:val="22"/>
        </w:rPr>
        <w:t>健康方案干预：需支持以图表或表格模式查看健康方案干预进度</w:t>
      </w:r>
      <w:r>
        <w:rPr>
          <w:rFonts w:hint="eastAsia" w:ascii="宋体" w:hAnsi="宋体" w:cs="宋体"/>
          <w:b w:val="0"/>
          <w:color w:val="auto"/>
          <w:sz w:val="24"/>
          <w:szCs w:val="22"/>
          <w:lang w:eastAsia="zh-CN"/>
        </w:rPr>
        <w:t>。</w:t>
      </w:r>
    </w:p>
    <w:p w14:paraId="1547FCA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健康方案变更：需支持填写变更类型及原因，变更现有健康管理方案，并需支持查看其变更记录。</w:t>
      </w:r>
    </w:p>
    <w:p w14:paraId="793FE00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健康方案打印：需支持打印健康管理方案。</w:t>
      </w:r>
    </w:p>
    <w:p w14:paraId="22826E65">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报告管理</w:t>
      </w:r>
    </w:p>
    <w:p w14:paraId="33F0E1A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健康报告列表：需提供健康报告列表，列表支持按照居民信息、报告记录、管理年度等进行查询。</w:t>
      </w:r>
    </w:p>
    <w:p w14:paraId="41ECB94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健康报告生成：需支持自动汇总居民总体评价、健康概况、指标情况、风险评估、管理分析等信息，医生确认后生成健康报告。</w:t>
      </w:r>
    </w:p>
    <w:p w14:paraId="0D632D9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健康报告打印：需支持打印健康报告。</w:t>
      </w:r>
    </w:p>
    <w:p w14:paraId="30D9151C">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35" w:name="_Toc1277991497"/>
      <w:r>
        <w:rPr>
          <w:rFonts w:hint="eastAsia" w:ascii="宋体" w:hAnsi="宋体" w:cs="宋体"/>
          <w:b w:val="0"/>
          <w:bCs w:val="0"/>
          <w:sz w:val="24"/>
          <w:szCs w:val="24"/>
        </w:rPr>
        <w:t>慢病任务中心</w:t>
      </w:r>
      <w:bookmarkEnd w:id="35"/>
    </w:p>
    <w:p w14:paraId="130B9470">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整体要求</w:t>
      </w:r>
    </w:p>
    <w:p w14:paraId="3E4A482E">
      <w:pPr>
        <w:spacing w:line="360" w:lineRule="auto"/>
        <w:ind w:firstLine="480" w:firstLineChars="200"/>
        <w:rPr>
          <w:rFonts w:hint="eastAsia" w:ascii="宋体" w:hAnsi="宋体"/>
          <w:sz w:val="24"/>
        </w:rPr>
      </w:pPr>
      <w:r>
        <w:rPr>
          <w:rFonts w:hint="eastAsia" w:ascii="宋体" w:hAnsi="宋体"/>
          <w:sz w:val="24"/>
        </w:rPr>
        <w:t>需建立慢病任务中心，将慢病相关任务进行统筹管理，面向慢病服务团队及医生提供任务入口或消息提醒。包括且不限于任务首页、任务注册与更新、日程安排等功能。</w:t>
      </w:r>
    </w:p>
    <w:p w14:paraId="42BFEF1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任务首页</w:t>
      </w:r>
    </w:p>
    <w:p w14:paraId="58443226">
      <w:pPr>
        <w:spacing w:line="360" w:lineRule="auto"/>
        <w:ind w:firstLine="480" w:firstLineChars="200"/>
        <w:rPr>
          <w:rFonts w:hint="eastAsia" w:ascii="宋体" w:hAnsi="宋体"/>
          <w:sz w:val="24"/>
        </w:rPr>
      </w:pPr>
      <w:r>
        <w:rPr>
          <w:rFonts w:hint="eastAsia" w:ascii="宋体" w:hAnsi="宋体"/>
          <w:sz w:val="24"/>
        </w:rPr>
        <w:t>需提供任务首页，可查看医生未完成、已完成任务信息。</w:t>
      </w:r>
    </w:p>
    <w:p w14:paraId="4B44D21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任务注册与更新</w:t>
      </w:r>
    </w:p>
    <w:p w14:paraId="2A3D9B79">
      <w:pPr>
        <w:spacing w:line="360" w:lineRule="auto"/>
        <w:ind w:firstLine="480" w:firstLineChars="200"/>
        <w:rPr>
          <w:rFonts w:hint="eastAsia" w:ascii="宋体" w:hAnsi="宋体"/>
          <w:sz w:val="24"/>
        </w:rPr>
      </w:pPr>
      <w:r>
        <w:rPr>
          <w:rFonts w:hint="eastAsia" w:ascii="宋体" w:hAnsi="宋体"/>
          <w:sz w:val="24"/>
        </w:rPr>
        <w:t>需支持将慢病相关条线信息注册到任务中心进行统一管理。</w:t>
      </w:r>
    </w:p>
    <w:p w14:paraId="18822AE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日程安排</w:t>
      </w:r>
    </w:p>
    <w:p w14:paraId="54B3BCE0">
      <w:pPr>
        <w:spacing w:line="360" w:lineRule="auto"/>
        <w:ind w:firstLine="480" w:firstLineChars="200"/>
        <w:rPr>
          <w:rFonts w:hint="eastAsia" w:ascii="宋体" w:hAnsi="宋体"/>
          <w:sz w:val="24"/>
        </w:rPr>
      </w:pPr>
      <w:r>
        <w:rPr>
          <w:rFonts w:hint="eastAsia" w:ascii="宋体" w:hAnsi="宋体"/>
          <w:sz w:val="24"/>
        </w:rPr>
        <w:t>需支持医生按照日视图、周视图、月视图、年视图查看日程信息。</w:t>
      </w:r>
    </w:p>
    <w:p w14:paraId="0E61ADA0">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任务设置</w:t>
      </w:r>
    </w:p>
    <w:p w14:paraId="544E9B35">
      <w:pPr>
        <w:spacing w:line="360" w:lineRule="auto"/>
        <w:ind w:firstLine="480" w:firstLineChars="200"/>
        <w:rPr>
          <w:rFonts w:hint="eastAsia" w:ascii="宋体" w:hAnsi="宋体"/>
          <w:sz w:val="24"/>
        </w:rPr>
      </w:pPr>
      <w:r>
        <w:rPr>
          <w:rFonts w:hint="eastAsia" w:ascii="宋体" w:hAnsi="宋体"/>
          <w:sz w:val="24"/>
        </w:rPr>
        <w:t>需提供任务规则的自定义设置及系统任务的维护。</w:t>
      </w:r>
    </w:p>
    <w:p w14:paraId="66A5100D">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36" w:name="_Toc71652785"/>
      <w:r>
        <w:rPr>
          <w:rFonts w:hint="eastAsia" w:ascii="宋体" w:hAnsi="宋体" w:cs="宋体"/>
          <w:b w:val="0"/>
          <w:bCs w:val="0"/>
          <w:sz w:val="24"/>
          <w:szCs w:val="24"/>
        </w:rPr>
        <w:t>慢病监管中心</w:t>
      </w:r>
      <w:bookmarkEnd w:id="36"/>
    </w:p>
    <w:p w14:paraId="6565ADB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综合管理</w:t>
      </w:r>
    </w:p>
    <w:p w14:paraId="08C6545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面向管理者及基层医生，提供可视化统计分析及工作报表。</w:t>
      </w:r>
    </w:p>
    <w:p w14:paraId="716D88D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需对区域内慢病患者管理情况提供可视化呈现，关键指标包括且不限于慢病人群概览、慢病管理成效、健康风险预警、重点指标监控、慢病工作量统计等。</w:t>
      </w:r>
    </w:p>
    <w:p w14:paraId="18C17FE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提供机构、人员开展慢病健康管理服务各项业务的统计报表，辅助管理层对中心全民健康监管分析，提升管理层决策能力。</w:t>
      </w:r>
    </w:p>
    <w:p w14:paraId="525435A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监管大屏页面</w:t>
      </w:r>
    </w:p>
    <w:p w14:paraId="039C249D">
      <w:pPr>
        <w:spacing w:line="360" w:lineRule="auto"/>
        <w:ind w:firstLine="480" w:firstLineChars="200"/>
        <w:rPr>
          <w:rFonts w:hint="eastAsia" w:ascii="宋体" w:hAnsi="宋体"/>
          <w:sz w:val="24"/>
        </w:rPr>
      </w:pPr>
      <w:r>
        <w:rPr>
          <w:rFonts w:hint="eastAsia" w:ascii="宋体" w:hAnsi="宋体"/>
          <w:sz w:val="24"/>
        </w:rPr>
        <w:t>面向管理者提供健康管理业务监管大屏，从管理成效、服务情况等方面展示健康管理业务开展情况，为辅助决策提供数据支撑。</w:t>
      </w:r>
    </w:p>
    <w:p w14:paraId="18354AB1">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37" w:name="_Toc1677515175"/>
      <w:r>
        <w:rPr>
          <w:rFonts w:hint="eastAsia" w:ascii="宋体" w:hAnsi="宋体" w:cs="宋体"/>
          <w:b w:val="0"/>
          <w:bCs w:val="0"/>
          <w:sz w:val="24"/>
          <w:szCs w:val="24"/>
        </w:rPr>
        <w:t>系统对接</w:t>
      </w:r>
      <w:bookmarkEnd w:id="37"/>
    </w:p>
    <w:p w14:paraId="4F7F2FDB">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医共体平台对接：呼和浩特市医共体平台提供统一的标准接口服务，实现区域内慢病管理不同服务、不同应用、不同机构之间的互联互通。</w:t>
      </w:r>
    </w:p>
    <w:p w14:paraId="5D5BD04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完成基层医疗机构HIS系统数据获取：因医共体平台将统一与基层医疗机构HIS系统对接，因此本系统将通过与医共体平台对接，获取居民在基层医疗机构的就诊信息、用药信息。具体获取的基层医疗机构范围包括：新城区基层医疗信息系统、回民区基层医疗信息系统、玉泉区基层医疗信息系统、赛罕区基层医疗信息系统、土左旗基层医疗信息系统、和林县基层医疗信息系统、清水河县基层医疗信息系统、武川县基层医疗信息系统。</w:t>
      </w:r>
    </w:p>
    <w:p w14:paraId="265321D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完成医共体成员医院HIS系统数据获取：因医共体平台将统一与医共体内成员医院HIS系统对接，因此本系统将通过与医共体平台对接，获取居民在医共体成员医院的就诊信息、用药信息。具体获取的成员医院范围包括：新城区医院、回民区医院、玉泉区红十字医院、玉泉区中蒙医院、赛罕区第二人民医院、土左旗人民医院、土左旗中蒙医院、和林县人民医院、和林县中蒙医院、清水河县医院、清水河中蒙医院、武川县医院、武川县中蒙医院。</w:t>
      </w:r>
    </w:p>
    <w:p w14:paraId="5E4534D4">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完成基本公卫系统对接：需完成与市级统建基本公共卫生信息系统对接，实现慢病人群健康档案信息、慢病随访信息的共享，并支持将慢病随访数据同步至基本公卫系统中，避免数据重复录入，保障数据统一性、一致性。</w:t>
      </w:r>
    </w:p>
    <w:p w14:paraId="2008840E">
      <w:pPr>
        <w:pStyle w:val="2"/>
        <w:numPr>
          <w:ilvl w:val="0"/>
          <w:numId w:val="4"/>
        </w:numPr>
        <w:spacing w:before="0" w:after="0" w:line="360" w:lineRule="auto"/>
        <w:jc w:val="left"/>
        <w:outlineLvl w:val="1"/>
        <w:rPr>
          <w:rFonts w:hint="eastAsia"/>
          <w:b/>
          <w:bCs/>
          <w:sz w:val="28"/>
          <w:szCs w:val="28"/>
        </w:rPr>
      </w:pPr>
      <w:bookmarkStart w:id="38" w:name="_Toc1832228409"/>
      <w:r>
        <w:rPr>
          <w:rFonts w:hint="eastAsia"/>
          <w:b/>
          <w:bCs/>
          <w:sz w:val="28"/>
          <w:szCs w:val="28"/>
        </w:rPr>
        <w:t>云体检（区域体检）</w:t>
      </w:r>
      <w:bookmarkEnd w:id="38"/>
    </w:p>
    <w:p w14:paraId="6E24CAED">
      <w:pPr>
        <w:pStyle w:val="27"/>
        <w:widowControl/>
        <w:numPr>
          <w:ilvl w:val="0"/>
          <w:numId w:val="5"/>
        </w:numPr>
        <w:tabs>
          <w:tab w:val="left" w:pos="720"/>
        </w:tabs>
        <w:spacing w:line="360" w:lineRule="auto"/>
        <w:ind w:left="1063" w:firstLine="0"/>
        <w:jc w:val="left"/>
        <w:outlineLvl w:val="1"/>
        <w:rPr>
          <w:rFonts w:hint="eastAsia" w:ascii="宋体" w:hAnsi="宋体" w:cs="宋体"/>
          <w:vanish/>
          <w:sz w:val="24"/>
        </w:rPr>
      </w:pPr>
    </w:p>
    <w:p w14:paraId="01BEDB2A">
      <w:pPr>
        <w:pStyle w:val="25"/>
        <w:numPr>
          <w:ilvl w:val="1"/>
          <w:numId w:val="5"/>
        </w:numPr>
        <w:spacing w:before="0" w:beforeLines="0" w:after="0" w:afterLines="0" w:line="360" w:lineRule="auto"/>
        <w:ind w:left="0" w:firstLine="0"/>
        <w:outlineLvl w:val="2"/>
        <w:rPr>
          <w:rFonts w:hint="eastAsia"/>
          <w:b w:val="0"/>
          <w:bCs w:val="0"/>
          <w:sz w:val="24"/>
          <w:szCs w:val="24"/>
        </w:rPr>
      </w:pPr>
      <w:r>
        <w:rPr>
          <w:rFonts w:hint="eastAsia" w:ascii="宋体" w:hAnsi="宋体"/>
          <w:sz w:val="24"/>
        </w:rPr>
        <w:t>▲</w:t>
      </w:r>
      <w:r>
        <w:rPr>
          <w:rFonts w:hint="eastAsia"/>
          <w:b w:val="0"/>
          <w:bCs w:val="0"/>
          <w:sz w:val="24"/>
          <w:szCs w:val="24"/>
        </w:rPr>
        <w:t>整体要求</w:t>
      </w:r>
    </w:p>
    <w:p w14:paraId="11EA9814">
      <w:pPr>
        <w:spacing w:line="360" w:lineRule="auto"/>
        <w:ind w:firstLine="480" w:firstLineChars="200"/>
        <w:rPr>
          <w:rFonts w:hint="eastAsia" w:ascii="宋体" w:hAnsi="宋体"/>
          <w:sz w:val="24"/>
        </w:rPr>
      </w:pPr>
      <w:r>
        <w:rPr>
          <w:rFonts w:hint="eastAsia" w:ascii="宋体" w:hAnsi="宋体"/>
          <w:sz w:val="24"/>
        </w:rPr>
        <w:t>系统主要是基层用于开展公卫重点人群体检时，对体检业务进行过程化管理，提供信息化支撑的系统。协助基层医生高效高质量完成体检业务开展的同时，能够与基本公卫系统进行深度融合，实现体检报告的一键回传，有效减轻基层医生工作负担，避免数据的重复录入。</w:t>
      </w:r>
      <w:r>
        <w:rPr>
          <w:rFonts w:hint="eastAsia" w:ascii="宋体" w:hAnsi="宋体"/>
          <w:b/>
          <w:bCs/>
          <w:sz w:val="24"/>
        </w:rPr>
        <w:t>提供该产品的国产服务器、国产数据库、国产客户端的信创通过测试报告复印件并加盖投标人公章</w:t>
      </w:r>
      <w:r>
        <w:rPr>
          <w:rFonts w:hint="eastAsia" w:ascii="宋体" w:hAnsi="宋体"/>
          <w:sz w:val="24"/>
        </w:rPr>
        <w:t>。</w:t>
      </w:r>
    </w:p>
    <w:p w14:paraId="6FD8E51F">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39" w:name="_Toc92267331"/>
      <w:bookmarkStart w:id="40" w:name="_Toc1494855730"/>
      <w:bookmarkStart w:id="41" w:name="_Toc167355471"/>
      <w:r>
        <w:rPr>
          <w:rFonts w:hint="eastAsia" w:ascii="宋体" w:hAnsi="宋体" w:cs="宋体"/>
          <w:b w:val="0"/>
          <w:bCs w:val="0"/>
          <w:sz w:val="24"/>
          <w:szCs w:val="24"/>
        </w:rPr>
        <w:t>基础管理</w:t>
      </w:r>
      <w:bookmarkEnd w:id="39"/>
      <w:bookmarkEnd w:id="40"/>
      <w:bookmarkEnd w:id="41"/>
    </w:p>
    <w:p w14:paraId="6EDACD65">
      <w:pPr>
        <w:spacing w:line="360" w:lineRule="auto"/>
        <w:ind w:firstLine="480" w:firstLineChars="200"/>
        <w:rPr>
          <w:rFonts w:hint="eastAsia" w:ascii="宋体" w:hAnsi="宋体"/>
          <w:sz w:val="24"/>
        </w:rPr>
      </w:pPr>
      <w:r>
        <w:rPr>
          <w:rFonts w:hint="eastAsia" w:ascii="宋体" w:hAnsi="宋体"/>
          <w:sz w:val="24"/>
        </w:rPr>
        <w:t>支持对机构信息、体检科室、体检项目、组合项目、诊断建议、体检结果、套餐管理、总检建议知识库、体检匹配指标管理、体检排班、体检合同等基础数据进行维护。体检项目需能够支持设置体检项目展示顺序。</w:t>
      </w:r>
    </w:p>
    <w:p w14:paraId="5B0694B3">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42" w:name="_Toc629067857"/>
      <w:bookmarkStart w:id="43" w:name="_Toc167355472"/>
      <w:bookmarkStart w:id="44" w:name="_Toc92267332"/>
      <w:r>
        <w:rPr>
          <w:rFonts w:hint="eastAsia" w:ascii="宋体" w:hAnsi="宋体" w:cs="宋体"/>
          <w:b w:val="0"/>
          <w:bCs w:val="0"/>
          <w:sz w:val="24"/>
          <w:szCs w:val="24"/>
        </w:rPr>
        <w:t>PC管理端</w:t>
      </w:r>
      <w:bookmarkEnd w:id="42"/>
      <w:bookmarkEnd w:id="43"/>
      <w:bookmarkEnd w:id="44"/>
    </w:p>
    <w:p w14:paraId="26837E5B">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bookmarkStart w:id="45" w:name="_Toc92267333"/>
      <w:r>
        <w:rPr>
          <w:rFonts w:hint="eastAsia" w:ascii="宋体" w:hAnsi="宋体" w:cs="宋体"/>
          <w:b w:val="0"/>
          <w:bCs w:val="0"/>
          <w:sz w:val="24"/>
          <w:szCs w:val="24"/>
        </w:rPr>
        <w:t>首页</w:t>
      </w:r>
      <w:bookmarkEnd w:id="45"/>
    </w:p>
    <w:p w14:paraId="1D932F0B">
      <w:pPr>
        <w:spacing w:line="360" w:lineRule="auto"/>
        <w:ind w:firstLine="480" w:firstLineChars="200"/>
        <w:rPr>
          <w:rFonts w:hint="eastAsia" w:ascii="宋体" w:hAnsi="宋体"/>
          <w:sz w:val="24"/>
        </w:rPr>
      </w:pPr>
      <w:r>
        <w:rPr>
          <w:rFonts w:hint="eastAsia" w:ascii="宋体" w:hAnsi="宋体"/>
          <w:sz w:val="24"/>
        </w:rPr>
        <w:t>首页能够集中展示体检工作相关的数据统计分析、体检结果出现危急值时首页能够及时预警提醒以及部分业务开展的快捷入口。</w:t>
      </w:r>
    </w:p>
    <w:p w14:paraId="32808580">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bookmarkStart w:id="46" w:name="_Toc92267334"/>
      <w:r>
        <w:rPr>
          <w:rFonts w:hint="eastAsia" w:ascii="宋体" w:hAnsi="宋体" w:cs="宋体"/>
          <w:b w:val="0"/>
          <w:bCs w:val="0"/>
          <w:sz w:val="24"/>
          <w:szCs w:val="24"/>
        </w:rPr>
        <w:t>体检登记</w:t>
      </w:r>
      <w:bookmarkEnd w:id="46"/>
    </w:p>
    <w:p w14:paraId="078E447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个人体检登记</w:t>
      </w:r>
    </w:p>
    <w:p w14:paraId="77E4345B">
      <w:pPr>
        <w:spacing w:line="360" w:lineRule="auto"/>
        <w:ind w:firstLine="480" w:firstLineChars="200"/>
        <w:rPr>
          <w:rFonts w:hint="eastAsia" w:ascii="宋体" w:hAnsi="宋体"/>
          <w:sz w:val="24"/>
        </w:rPr>
      </w:pPr>
      <w:r>
        <w:rPr>
          <w:rFonts w:hint="eastAsia" w:ascii="宋体" w:hAnsi="宋体"/>
          <w:sz w:val="24"/>
        </w:rPr>
        <w:t>支持完成个人体检登记，需提供手动录入、读取身份证等多种方式。</w:t>
      </w:r>
    </w:p>
    <w:p w14:paraId="08B985B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团队体检登记</w:t>
      </w:r>
    </w:p>
    <w:p w14:paraId="504A89E0">
      <w:pPr>
        <w:spacing w:line="360" w:lineRule="auto"/>
        <w:ind w:firstLine="480" w:firstLineChars="200"/>
        <w:rPr>
          <w:rFonts w:hint="eastAsia" w:ascii="宋体" w:hAnsi="宋体"/>
          <w:sz w:val="24"/>
        </w:rPr>
      </w:pPr>
      <w:r>
        <w:rPr>
          <w:rFonts w:hint="eastAsia" w:ascii="宋体" w:hAnsi="宋体"/>
          <w:sz w:val="24"/>
        </w:rPr>
        <w:t>支持团检信息登记、团检套餐维护、导入人员名单功能，以及支持同基层医疗信息系统对接，在门诊窗口完成体检费用缴纳。</w:t>
      </w:r>
    </w:p>
    <w:p w14:paraId="5698478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体检签到</w:t>
      </w:r>
    </w:p>
    <w:p w14:paraId="2AFC776F">
      <w:pPr>
        <w:spacing w:line="360" w:lineRule="auto"/>
        <w:ind w:firstLine="480" w:firstLineChars="200"/>
        <w:rPr>
          <w:rFonts w:hint="eastAsia" w:ascii="宋体" w:hAnsi="宋体"/>
          <w:sz w:val="24"/>
        </w:rPr>
      </w:pPr>
      <w:r>
        <w:rPr>
          <w:rFonts w:hint="eastAsia" w:ascii="宋体" w:hAnsi="宋体"/>
          <w:sz w:val="24"/>
        </w:rPr>
        <w:t>支持个人签到、批量签到等多种签到方式，能够进行信息条码和体检导检单的打印，同时支持在读取身份证时要能更新EXCEL导入名单中的住址信息。</w:t>
      </w:r>
    </w:p>
    <w:p w14:paraId="327EA70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bookmarkStart w:id="47" w:name="_Toc92267335"/>
      <w:r>
        <w:rPr>
          <w:rFonts w:hint="eastAsia" w:ascii="宋体" w:hAnsi="宋体" w:cs="宋体"/>
          <w:b w:val="0"/>
          <w:bCs w:val="0"/>
          <w:sz w:val="24"/>
          <w:szCs w:val="24"/>
        </w:rPr>
        <w:t>体检预约</w:t>
      </w:r>
      <w:bookmarkEnd w:id="47"/>
    </w:p>
    <w:p w14:paraId="3FDB93BC">
      <w:pPr>
        <w:spacing w:line="360" w:lineRule="auto"/>
        <w:ind w:firstLine="480" w:firstLineChars="200"/>
        <w:rPr>
          <w:rFonts w:hint="eastAsia" w:ascii="宋体" w:hAnsi="宋体"/>
          <w:sz w:val="24"/>
        </w:rPr>
      </w:pPr>
      <w:r>
        <w:rPr>
          <w:rFonts w:hint="eastAsia" w:ascii="宋体" w:hAnsi="宋体"/>
          <w:sz w:val="24"/>
        </w:rPr>
        <w:t>系统支持提供预约登记入口，支持通过系统为居民预约非当日体检，居民可根据预约的时间前往医院进行体检。</w:t>
      </w:r>
    </w:p>
    <w:p w14:paraId="65BF705B">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分科录入</w:t>
      </w:r>
    </w:p>
    <w:p w14:paraId="7C4643D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支持依据业务老师科室权限不同实现单科室或者多科室项目结果录入，需能够依据检查结果自动生成科室小结。支持体检项目评估量表录入，包含老年人生活能力自理评估、智力评估、抑郁评估等。</w:t>
      </w:r>
    </w:p>
    <w:p w14:paraId="2EA4DDA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color w:val="auto"/>
          <w:sz w:val="24"/>
          <w:szCs w:val="22"/>
        </w:rPr>
      </w:pPr>
      <w:r>
        <w:rPr>
          <w:rFonts w:hint="eastAsia" w:ascii="宋体" w:hAnsi="宋体" w:cs="宋体"/>
          <w:b w:val="0"/>
          <w:bCs w:val="0"/>
          <w:color w:val="auto"/>
          <w:sz w:val="24"/>
          <w:szCs w:val="22"/>
        </w:rPr>
        <w:t>需支持对分科检查过程中录入的数据进行质控，包括必填性、规范性质控，保障数据质量</w:t>
      </w:r>
      <w:r>
        <w:rPr>
          <w:rFonts w:hint="eastAsia" w:ascii="宋体" w:hAnsi="宋体" w:cs="宋体"/>
          <w:b w:val="0"/>
          <w:bCs w:val="0"/>
          <w:color w:val="auto"/>
          <w:sz w:val="24"/>
          <w:szCs w:val="22"/>
          <w:lang w:eastAsia="zh-CN"/>
        </w:rPr>
        <w:t>。</w:t>
      </w:r>
    </w:p>
    <w:p w14:paraId="05D82E0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color w:val="auto"/>
          <w:sz w:val="24"/>
          <w:szCs w:val="22"/>
        </w:rPr>
      </w:pPr>
      <w:r>
        <w:rPr>
          <w:rFonts w:hint="eastAsia" w:ascii="宋体" w:hAnsi="宋体" w:cs="宋体"/>
          <w:b w:val="0"/>
          <w:bCs w:val="0"/>
          <w:color w:val="auto"/>
          <w:sz w:val="24"/>
          <w:szCs w:val="22"/>
        </w:rPr>
        <w:t>保存时需支持对未检项目进行提示，支持快速弃检操作</w:t>
      </w:r>
      <w:r>
        <w:rPr>
          <w:rFonts w:hint="eastAsia" w:ascii="宋体" w:hAnsi="宋体" w:cs="宋体"/>
          <w:b w:val="0"/>
          <w:bCs w:val="0"/>
          <w:color w:val="auto"/>
          <w:sz w:val="24"/>
          <w:szCs w:val="22"/>
          <w:lang w:eastAsia="zh-CN"/>
        </w:rPr>
        <w:t>。</w:t>
      </w:r>
    </w:p>
    <w:p w14:paraId="5169AA2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bookmarkStart w:id="48" w:name="_Toc92267337"/>
      <w:r>
        <w:rPr>
          <w:rFonts w:hint="eastAsia" w:ascii="宋体" w:hAnsi="宋体" w:cs="宋体"/>
          <w:b w:val="0"/>
          <w:bCs w:val="0"/>
          <w:sz w:val="24"/>
          <w:szCs w:val="24"/>
        </w:rPr>
        <w:t>检完签到</w:t>
      </w:r>
      <w:bookmarkEnd w:id="48"/>
    </w:p>
    <w:p w14:paraId="5DB0EF62">
      <w:pPr>
        <w:spacing w:line="360" w:lineRule="auto"/>
        <w:ind w:firstLine="480" w:firstLineChars="200"/>
        <w:rPr>
          <w:rFonts w:hint="eastAsia" w:ascii="宋体" w:hAnsi="宋体"/>
          <w:sz w:val="24"/>
        </w:rPr>
      </w:pPr>
      <w:r>
        <w:rPr>
          <w:rFonts w:hint="eastAsia" w:ascii="宋体" w:hAnsi="宋体"/>
          <w:sz w:val="24"/>
        </w:rPr>
        <w:t>居民体检结束后，系统需支持提供签到功能，针对未检项目可以进行弃检操作。</w:t>
      </w:r>
    </w:p>
    <w:p w14:paraId="67DC674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bookmarkStart w:id="49" w:name="_Toc92267338"/>
      <w:r>
        <w:rPr>
          <w:rFonts w:hint="eastAsia" w:ascii="宋体" w:hAnsi="宋体" w:cs="宋体"/>
          <w:b w:val="0"/>
          <w:bCs w:val="0"/>
          <w:sz w:val="24"/>
          <w:szCs w:val="24"/>
        </w:rPr>
        <w:t>总检工作站</w:t>
      </w:r>
      <w:bookmarkEnd w:id="49"/>
    </w:p>
    <w:p w14:paraId="0D73F9F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总检评估</w:t>
      </w:r>
    </w:p>
    <w:p w14:paraId="354988BE">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支持总检建议登记、发布体检报告、查看用户体检明细功能。</w:t>
      </w:r>
    </w:p>
    <w:p w14:paraId="610FBF3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▲需支持根据科室小结词条匹配对应的总检建议，已匹配和还未匹配的词条基于不同颜色展示，</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34273A7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体检报告管理</w:t>
      </w:r>
    </w:p>
    <w:p w14:paraId="24E9B5AE">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支持对总检报告进行审核，针对不合格的报告能够进行驳回操作，并支持备注不通过原因。</w:t>
      </w:r>
    </w:p>
    <w:p w14:paraId="4C87682D">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支持多种查询方式查询已经完成体检的个人或团体体检报告信息，并支持个人体检报告打印、团体体检报告批量打印。</w:t>
      </w:r>
    </w:p>
    <w:p w14:paraId="01B460CA">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体检模式</w:t>
      </w:r>
    </w:p>
    <w:p w14:paraId="7FF1E212">
      <w:pPr>
        <w:spacing w:line="360" w:lineRule="auto"/>
        <w:ind w:firstLine="480" w:firstLineChars="200"/>
        <w:rPr>
          <w:rFonts w:hint="eastAsia" w:ascii="宋体" w:hAnsi="宋体"/>
          <w:sz w:val="24"/>
        </w:rPr>
      </w:pPr>
      <w:r>
        <w:rPr>
          <w:rFonts w:hint="eastAsia" w:ascii="宋体" w:hAnsi="宋体"/>
          <w:sz w:val="24"/>
        </w:rPr>
        <w:t>需支持居民健康体检、老年人健康体检、基本公卫慢病人群健康体检等常规体检业务开展。</w:t>
      </w:r>
    </w:p>
    <w:p w14:paraId="7D7AD1B0">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bookmarkStart w:id="50" w:name="_Toc92267340"/>
      <w:r>
        <w:rPr>
          <w:rFonts w:hint="eastAsia" w:ascii="宋体" w:hAnsi="宋体" w:cs="宋体"/>
          <w:b w:val="0"/>
          <w:bCs w:val="0"/>
          <w:sz w:val="24"/>
          <w:szCs w:val="24"/>
        </w:rPr>
        <w:t>统计查询</w:t>
      </w:r>
      <w:bookmarkEnd w:id="50"/>
    </w:p>
    <w:p w14:paraId="6BCB352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支持对院内基本业务数据及工作量统计，提供相应统计报表：</w:t>
      </w:r>
    </w:p>
    <w:p w14:paraId="6DC3593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受检人体检情况统计</w:t>
      </w:r>
    </w:p>
    <w:p w14:paraId="7A42351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医生工作量统计</w:t>
      </w:r>
    </w:p>
    <w:p w14:paraId="58FAE64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综述疾病诊断汇总</w:t>
      </w:r>
    </w:p>
    <w:p w14:paraId="2C60290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收费项目统计</w:t>
      </w:r>
    </w:p>
    <w:p w14:paraId="00139E9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体检人员状态查询</w:t>
      </w:r>
    </w:p>
    <w:p w14:paraId="0BB873B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未体检项目汇总</w:t>
      </w:r>
    </w:p>
    <w:p w14:paraId="3E3BA09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未检项目人员名单</w:t>
      </w:r>
    </w:p>
    <w:p w14:paraId="108CFDC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体检结论统计</w:t>
      </w:r>
    </w:p>
    <w:p w14:paraId="0BF03D52">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51" w:name="_Toc681478418"/>
      <w:r>
        <w:rPr>
          <w:rFonts w:hint="eastAsia" w:ascii="宋体" w:hAnsi="宋体" w:cs="宋体"/>
          <w:b w:val="0"/>
          <w:bCs w:val="0"/>
          <w:sz w:val="24"/>
          <w:szCs w:val="24"/>
        </w:rPr>
        <w:t>系统对接</w:t>
      </w:r>
      <w:bookmarkEnd w:id="51"/>
    </w:p>
    <w:p w14:paraId="1A6D2299">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完成与基层HIS系统对接，实现体检费用的推送，由HIS完成体检费用的收取，并回传收费状态。具体对接基层医疗机构系统包括：新城区基层医疗信息系统、回民区基层医疗信息系统、玉泉区基层医疗信息系统、赛罕区基层医疗信息系统、土左旗基层医疗信息系统、托克托县基层医疗信息系统、和林县基层医疗信息系统、清水河县基层医疗信息系统、武川县基层医疗信息系统。</w:t>
      </w:r>
    </w:p>
    <w:p w14:paraId="67D4F6B6">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完成与基层LIS系统对接，LIS系统扫描体检条码获取申请信息，体检系统获取LIS发布的结果。具体对接的LIS系统包括：新城区LIS系统、赛罕区LIS系统、土左旗LIS系统、托克托县LIS系统、和林县LIS系统、清水河县LIS系统。</w:t>
      </w:r>
    </w:p>
    <w:p w14:paraId="7009879F">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完成与基层PACS系统对接，PACS系统扫描体检条码获取申请信息，体检系统获取PACS发布的结果。具体对接的PACS系统包括：新城区PACS系统、赛罕区PACS系统、土左旗PACS系统、托克托县PACS系统、和林县PACS系统、清水河县PACS系统。</w:t>
      </w:r>
    </w:p>
    <w:p w14:paraId="38A4C0F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需完成与市级统建基本公共卫生信息系统对接，实现重点人群体检报告的回传，避免数据重复录入。</w:t>
      </w:r>
    </w:p>
    <w:p w14:paraId="238CAF36">
      <w:pPr>
        <w:pStyle w:val="2"/>
        <w:numPr>
          <w:ilvl w:val="0"/>
          <w:numId w:val="4"/>
        </w:numPr>
        <w:spacing w:before="0" w:after="0" w:line="360" w:lineRule="auto"/>
        <w:jc w:val="left"/>
        <w:outlineLvl w:val="1"/>
        <w:rPr>
          <w:rFonts w:hint="eastAsia"/>
          <w:b/>
          <w:bCs/>
          <w:sz w:val="28"/>
          <w:szCs w:val="28"/>
        </w:rPr>
      </w:pPr>
      <w:bookmarkStart w:id="52" w:name="_Toc1077481875"/>
      <w:r>
        <w:rPr>
          <w:rFonts w:hint="eastAsia"/>
          <w:b/>
          <w:bCs/>
          <w:sz w:val="28"/>
          <w:szCs w:val="28"/>
        </w:rPr>
        <w:t>区域卫生决策支持</w:t>
      </w:r>
      <w:bookmarkEnd w:id="52"/>
    </w:p>
    <w:p w14:paraId="101B85E6">
      <w:pPr>
        <w:pStyle w:val="27"/>
        <w:widowControl/>
        <w:numPr>
          <w:ilvl w:val="0"/>
          <w:numId w:val="5"/>
        </w:numPr>
        <w:tabs>
          <w:tab w:val="left" w:pos="720"/>
        </w:tabs>
        <w:spacing w:line="360" w:lineRule="auto"/>
        <w:ind w:left="1063" w:firstLine="0"/>
        <w:jc w:val="left"/>
        <w:outlineLvl w:val="1"/>
        <w:rPr>
          <w:rFonts w:hint="eastAsia" w:ascii="宋体" w:hAnsi="宋体" w:cs="宋体"/>
          <w:vanish/>
          <w:sz w:val="24"/>
        </w:rPr>
      </w:pPr>
    </w:p>
    <w:p w14:paraId="672A6369">
      <w:pPr>
        <w:pStyle w:val="25"/>
        <w:numPr>
          <w:ilvl w:val="1"/>
          <w:numId w:val="5"/>
        </w:numPr>
        <w:spacing w:before="0" w:beforeLines="0" w:after="0" w:afterLines="0" w:line="360" w:lineRule="auto"/>
        <w:ind w:left="0" w:firstLine="0"/>
        <w:outlineLvl w:val="2"/>
        <w:rPr>
          <w:rFonts w:hint="eastAsia"/>
          <w:b w:val="0"/>
          <w:bCs w:val="0"/>
          <w:sz w:val="24"/>
          <w:szCs w:val="24"/>
        </w:rPr>
      </w:pPr>
      <w:r>
        <w:rPr>
          <w:rFonts w:hint="eastAsia"/>
          <w:b w:val="0"/>
          <w:bCs w:val="0"/>
          <w:sz w:val="24"/>
          <w:szCs w:val="24"/>
        </w:rPr>
        <w:t>整体要求</w:t>
      </w:r>
    </w:p>
    <w:p w14:paraId="6034A735">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共体决策支持系统通过监管大屏及业务报表，实时监控和分析医疗资源、医疗费用、就医人群和医共体监测数据系统。核心功能包括：医疗服务分析、公共卫生分析、医疗资源分析、医疗费用分析、就医人群分析、质量评价分析、医共体人财物分析等内容。</w:t>
      </w:r>
    </w:p>
    <w:p w14:paraId="5EFF83F4">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需支持自定义统计分析维度，支持多维分析展示、支持多类型图表展示、支持预警阈值提醒。</w:t>
      </w:r>
    </w:p>
    <w:p w14:paraId="0B76107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需支持与医共体数据集成系统进行对接，获取来自各医疗机构的实时数据，并对这些数据进行分析和挖掘，为医共体的管理者和决策者提供更加准确和及时的数据支持。</w:t>
      </w:r>
    </w:p>
    <w:p w14:paraId="4B62837D">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w:t>
      </w:r>
      <w:r>
        <w:rPr>
          <w:rFonts w:hint="eastAsia" w:ascii="宋体" w:hAnsi="宋体" w:cs="宋体"/>
          <w:b/>
          <w:bCs/>
          <w:sz w:val="24"/>
          <w:szCs w:val="24"/>
        </w:rPr>
        <w:t>提供该产品的国产服务器、国产数据库、国产客户端的信创通过测试报告复印件并加盖投标人公章</w:t>
      </w:r>
      <w:r>
        <w:rPr>
          <w:rFonts w:hint="eastAsia" w:ascii="宋体" w:hAnsi="宋体" w:cs="宋体"/>
          <w:b w:val="0"/>
          <w:bCs w:val="0"/>
          <w:sz w:val="24"/>
          <w:szCs w:val="24"/>
        </w:rPr>
        <w:t>。</w:t>
      </w:r>
    </w:p>
    <w:p w14:paraId="1D5B3F95">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53" w:name="_Toc1655761621"/>
      <w:r>
        <w:rPr>
          <w:rFonts w:hint="eastAsia" w:ascii="宋体" w:hAnsi="宋体" w:cs="宋体"/>
          <w:b w:val="0"/>
          <w:bCs w:val="0"/>
          <w:sz w:val="24"/>
          <w:szCs w:val="24"/>
        </w:rPr>
        <w:t>医共体运营决策支持（电脑端）</w:t>
      </w:r>
      <w:bookmarkEnd w:id="53"/>
    </w:p>
    <w:p w14:paraId="77443CDC">
      <w:pPr>
        <w:spacing w:line="480" w:lineRule="exact"/>
        <w:ind w:firstLine="480"/>
        <w:rPr>
          <w:rFonts w:hint="eastAsia"/>
        </w:rPr>
      </w:pPr>
      <w:r>
        <w:rPr>
          <w:rFonts w:hint="eastAsia" w:asciiTheme="minorEastAsia" w:hAnsiTheme="minorEastAsia" w:cstheme="minorEastAsia"/>
          <w:sz w:val="24"/>
        </w:rPr>
        <w:t>医共体运营决策支持系统需要在电脑端进行展示，对区域医共体整体及各医疗机构的运营情况进行详细分析展示，需支持机构、时间维度筛选；需支持各类图表的可视化展示；需支持指标下钻，可以对汇聚指标进行明细查询。</w:t>
      </w:r>
    </w:p>
    <w:p w14:paraId="18CC42EB">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BI分析组件</w:t>
      </w:r>
    </w:p>
    <w:p w14:paraId="6F2FED2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系统设置</w:t>
      </w:r>
    </w:p>
    <w:p w14:paraId="1CAA3C2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需支持数据源进行配置，支持设置数据库类型、数据库名称、链接地址及账号、密码。</w:t>
      </w:r>
    </w:p>
    <w:p w14:paraId="49D25A3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需支持设置平台各账户角色可访问的监管分析主题，支持分别设置PC端及移动端。</w:t>
      </w:r>
    </w:p>
    <w:p w14:paraId="25DAE23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需支持对系统基础功能进行配置，包括：系统标题设置、用户信息选项、机构名称等信息，卡片数据格式、智慧图表、列表数据格式等功能的开启/停用等。</w:t>
      </w:r>
    </w:p>
    <w:p w14:paraId="59253EB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▲报表管理</w:t>
      </w:r>
      <w:r>
        <w:rPr>
          <w:rFonts w:hint="eastAsia" w:ascii="宋体" w:hAnsi="宋体" w:cs="宋体"/>
          <w:b w:val="0"/>
          <w:bCs w:val="0"/>
          <w:sz w:val="24"/>
          <w:szCs w:val="22"/>
          <w:lang w:eastAsia="zh-CN"/>
        </w:rPr>
        <w:t>（</w:t>
      </w:r>
      <w:r>
        <w:rPr>
          <w:rFonts w:hint="eastAsia" w:ascii="宋体" w:hAnsi="宋体" w:cs="宋体"/>
          <w:b/>
          <w:bCs/>
          <w:sz w:val="24"/>
          <w:szCs w:val="22"/>
          <w:lang w:val="en-US" w:eastAsia="zh-CN"/>
        </w:rPr>
        <w:t>以下报表管理内容需要逐一提供系统功能界面截图证明</w:t>
      </w:r>
      <w:r>
        <w:rPr>
          <w:rFonts w:hint="eastAsia" w:ascii="宋体" w:hAnsi="宋体" w:cs="宋体"/>
          <w:b w:val="0"/>
          <w:bCs w:val="0"/>
          <w:sz w:val="24"/>
          <w:szCs w:val="22"/>
          <w:lang w:eastAsia="zh-CN"/>
        </w:rPr>
        <w:t>）</w:t>
      </w:r>
    </w:p>
    <w:p w14:paraId="04E380B9">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需支持多种可视化图表展示形式，如折线、柱形、饼图、雷达图、卡片、组合图、仪表盘、地图、流向图、堆积图、表格等不少于37种图表。</w:t>
      </w:r>
    </w:p>
    <w:p w14:paraId="26CDD9F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需支持智慧图表功能，能够进行指标分析，为可视化图表提供文字总结。</w:t>
      </w:r>
    </w:p>
    <w:p w14:paraId="422F279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需支持指标异常预警功能，能够为核心指标设置预警阈值，当指标数值超出阈值后，提供预警提醒，支持下钻查看预警指标详情，支持对预警指标进行分析，提供文字总结。</w:t>
      </w:r>
    </w:p>
    <w:p w14:paraId="260E2C9D">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需支持多层级下钻功能，支持从区域下钻至机构、个人。</w:t>
      </w:r>
    </w:p>
    <w:p w14:paraId="08D24055">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需支持图表数据下载，如excel、PDF等。</w:t>
      </w:r>
    </w:p>
    <w:p w14:paraId="04FAA05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需支持监管主题、大屏（驾驶舱）的可视化配置，系统内置多套模板，支持通过拖、拽等方式对布局进行配置，支持已配置主题、大屏（驾驶舱）的预览。</w:t>
      </w:r>
    </w:p>
    <w:p w14:paraId="1DE5406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指标管理</w:t>
      </w:r>
    </w:p>
    <w:p w14:paraId="7EE4AEB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需支持指标管理、维护功能，支持指标的新增、修改、删除，支持对指标的代码、名称、性质、分类、计算公式等元素进行配置。</w:t>
      </w:r>
    </w:p>
    <w:p w14:paraId="260FB9FD">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需支持指标树状分类查看，支持指标列表展示，可展示指标代码、指标名称、指标性质等信息，支持通过指标名进行检索。</w:t>
      </w:r>
    </w:p>
    <w:p w14:paraId="445EDD2D">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需支持指标算法维护，支持设置指标数据来源、脚本。</w:t>
      </w:r>
    </w:p>
    <w:p w14:paraId="0657DF0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需支持指标导出，支持导出为JSON、xml、CSV、txt、xls等格式的文件。</w:t>
      </w:r>
    </w:p>
    <w:p w14:paraId="741363DB">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人财物监管</w:t>
      </w:r>
    </w:p>
    <w:p w14:paraId="26EACCB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需支持从卫生机构、人力资源、卫生财务、床位资源四个方面，对医共体卫生资源的配置和使用情况进行统计分析。</w:t>
      </w:r>
    </w:p>
    <w:p w14:paraId="18BD0BA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bookmarkStart w:id="54" w:name="_Hlk151022720"/>
      <w:r>
        <w:rPr>
          <w:rFonts w:hint="eastAsia" w:ascii="宋体" w:hAnsi="宋体" w:cs="宋体"/>
          <w:b w:val="0"/>
          <w:bCs w:val="0"/>
          <w:sz w:val="24"/>
          <w:szCs w:val="22"/>
        </w:rPr>
        <w:t>卫生机构监管</w:t>
      </w:r>
      <w:bookmarkEnd w:id="54"/>
      <w:r>
        <w:rPr>
          <w:rFonts w:hint="eastAsia" w:ascii="宋体" w:hAnsi="宋体" w:cs="宋体"/>
          <w:b w:val="0"/>
          <w:bCs w:val="0"/>
          <w:sz w:val="24"/>
          <w:szCs w:val="22"/>
        </w:rPr>
        <w:t>：医疗卫生机构总数、二、三级医院数、基层医疗卫生机构数、专业公共卫生机构数、社区卫生服务中心数、乡镇卫生院数、社区卫生服务站数、村卫生室数、卫生监督机构数、妇幼保健机构数、急救中心数、血站数。</w:t>
      </w:r>
    </w:p>
    <w:p w14:paraId="2775113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人力资源监管：卫生人员总数、编制人员数量、编外人员数量、退休人员数、医共体人员的岗位类别、职务类别、学历构成、性别构成、年龄构成。</w:t>
      </w:r>
    </w:p>
    <w:p w14:paraId="51211A2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卫生财务监管：医疗机构总收入、总支出、医疗收入、医疗支出、收入类型（包含财政补贴收入、医疗收入等）占比、支出类型占比、医疗收入类型占比（包含挂号收入、诊察收入、检查收入、化验收入、治疗收入、手术收入、卫材收入、药品收入等）、各医疗机构收入占比、收入支出趋势、各医疗机构收入支出总额、各类收入支出金额。</w:t>
      </w:r>
    </w:p>
    <w:p w14:paraId="7DF5417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床位资源监管：实有床位数、核定床位数、医生床位比、护士床位比。</w:t>
      </w:r>
    </w:p>
    <w:p w14:paraId="44DCDF93">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医疗服务</w:t>
      </w:r>
    </w:p>
    <w:p w14:paraId="6879DB8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需支持对各级医疗卫生机构的运营数据和费用收支进行分析，从门急诊、住院、手术、检查检验、医疗收入等维度进行统计分析。</w:t>
      </w:r>
    </w:p>
    <w:p w14:paraId="25E87F3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门急诊业务：门急诊人次、门诊人次、急诊人次、门急诊总处方数、门诊处方总数、门诊患者次均费用、门急诊患者次均费用等指标。</w:t>
      </w:r>
    </w:p>
    <w:p w14:paraId="63648C3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住院业务：出院人次、入院人次、每名执业医师日均住院工作负担、出院患者实际占用床日、平均住院日、出院患者次均费用等指标。</w:t>
      </w:r>
    </w:p>
    <w:p w14:paraId="2364C94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手术：出院患者手术台次数、出院患者一级手术台次数、出院患者二级手术台次数、出院患者三级手术台次数、出院患者四级手术台次数、出院患者手术占比、出院患者四级手术占比、出院患者三级手术占比、出院患者三四级手术占比等指标。</w:t>
      </w:r>
    </w:p>
    <w:p w14:paraId="6C8B008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检查检验：检查人次、检验人次等指标。</w:t>
      </w:r>
    </w:p>
    <w:p w14:paraId="2B9F794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疗收入：医疗收入、医疗服务收入、医疗服务收入（不含药品、耗材、检查检验收入）占医疗收入比例、门诊收入占医疗收入比例、门急诊检查检验收入、住院检查检验收入、门急诊检查检验收入占比、住院检查检验收入占比、检查检验收入、检查检验收入占比、门急诊药占比、住院药占比、药占比等指标。</w:t>
      </w:r>
    </w:p>
    <w:p w14:paraId="1FFBA08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门诊收入：门诊收入、挂号费、药品收入、卫生材料收入、检查收入、化验收入、诊察收入、治疗收入、手术收入、中药饮片收入等指标。</w:t>
      </w:r>
    </w:p>
    <w:p w14:paraId="134A6D2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住院收入：住院收入、床位收入、诊察收入、检查收入、化验收入、治疗收入、手术收入、护理收入、卫生材料收入、药品收入、药品收入（不含中药饮片）、中药饮片收入等指标。</w:t>
      </w:r>
    </w:p>
    <w:p w14:paraId="294A52A7">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公共卫生</w:t>
      </w:r>
    </w:p>
    <w:p w14:paraId="2351903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需支持以《国家基本公共卫生服务规范（第三版）》为依据，结合各地实际情况，建立基本公共卫生监管体系，对区域内基本公共卫生服务开展情况、服务内容、工作指标进行统计分析。</w:t>
      </w:r>
    </w:p>
    <w:p w14:paraId="0B161C4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居民健康档案管理：辖区常住人口数、电子健康档案建档数、健康档案动态更新数、电子健康档案建档率、健康档案使用率等指标。</w:t>
      </w:r>
    </w:p>
    <w:p w14:paraId="6A48375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预防接种管理：建证率、辖区内已建立预防接种证人数、辖区内应建立预防接种证人数等指标。</w:t>
      </w:r>
    </w:p>
    <w:p w14:paraId="6F7F28F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0～6岁儿童健康管理：新生儿访视率、辖区内按照规范要求接受1次及以上访视的新生儿人数、辖区内活产数、0～6岁儿童健康管理率、辖区内接受1次及以上随访的0～6岁儿童数等指标。</w:t>
      </w:r>
    </w:p>
    <w:p w14:paraId="7C53864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孕产妇健康管理：早孕建册率、辖区内孕13周之前建册并进行第一次产前检查的产妇人数、孕产妇活产数、产后访视率、辖区内产妇出院后28天内接受过产后访视的产妇人数等指标。</w:t>
      </w:r>
    </w:p>
    <w:p w14:paraId="2B548B3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老年人健康管理：老年人健康管理率、年内接受健康管理人数、年内辖区内65岁及以上常住居民数等指标。</w:t>
      </w:r>
    </w:p>
    <w:p w14:paraId="656CD8C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高血压患者管理：年内已管理的高血压患者人数、按照规范要求进行高血压患者健康管理的人数、高血压患者规范管理率、管理人群血压控制率、高血压患者随访人次、年内最近一次随访血压达标人数等指标。</w:t>
      </w:r>
    </w:p>
    <w:p w14:paraId="1BC60FE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2型糖尿病患者健康管理：2型糖尿病患者规范管理率、按照规范要求进行2型糖尿病患者健康管理的人数、年内已管理的2型糖尿病患者人数、管理人群血糖控制率、高血压患者随访人次、年内最近一次随访空腹血糖达标人数等指标。</w:t>
      </w:r>
    </w:p>
    <w:p w14:paraId="185E070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严重精神障碍患者管理：严重精神障碍患者规范管理率、按照规范要求进行管理的严重精神障碍患者人数等指标。</w:t>
      </w:r>
    </w:p>
    <w:p w14:paraId="6A40BB7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肺结核患者健康管理：肺结核患者管理率、已管理的肺结核患者人数等指标。</w:t>
      </w:r>
    </w:p>
    <w:p w14:paraId="50656E5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中医药健康管理：老年人中医药健康管理率、年内接受中医药健康管理服务的65岁及以上居民数、年内辖区内65岁及以上常住居民数、0～36个月儿童中医药健康管理服务率、辖区内按照月龄接受中医药健康管理服务的0～36月儿童数、年度辖区内应管理的0～36个月儿童数等指标。</w:t>
      </w:r>
    </w:p>
    <w:p w14:paraId="5E4802A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传染病及突发公共卫生事件管理：传染病疫情报告率、传染病疫情报告及时率、报告及时的病例数、报告传染病病例数、突发公共卫生事件相关信息报告率等指标。</w:t>
      </w:r>
    </w:p>
    <w:p w14:paraId="0B9BDB0E">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双向转诊</w:t>
      </w:r>
    </w:p>
    <w:p w14:paraId="752F55A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需支持对双向转诊业务开展情况进行监管。</w:t>
      </w:r>
    </w:p>
    <w:p w14:paraId="33F55F3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监管指标包括：上转率、下转率、上转总人次、下转总人次、基层机构就诊率、基层医疗卫生机构门急诊人次数、全区门急诊总人次数、基层机构住院率、基层医疗卫生机构出院人次、全区出院总人次、医保支付患者人次数、自费支付患者人次数、基层机构医疗收入与二三级医院医疗收入比。</w:t>
      </w:r>
    </w:p>
    <w:p w14:paraId="675213A6">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家医签约</w:t>
      </w:r>
    </w:p>
    <w:p w14:paraId="52C8A54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需支持从签约情况、重点人群签约、家医团队等方面对家医签约服务开展情况统计分析。</w:t>
      </w:r>
    </w:p>
    <w:p w14:paraId="7678F2F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家医签约情况：签约数、签约率、续约数、续约率、履约数、履约率、签约金额、签约服务费人均金额、签约项目数、基本服务包签约数、个性化服务包签约数等指标。</w:t>
      </w:r>
    </w:p>
    <w:p w14:paraId="190F23E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家医团队：家庭医生人数（人）、家庭医生团队中全科医生人数（人）、区域家庭医生团队数等指标。</w:t>
      </w:r>
    </w:p>
    <w:p w14:paraId="74E1847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重点人群签约：重点人群签约率、辖区内0-6岁儿童签约率、辖区内0-6岁儿童签约续约率、辖区内65岁及以上常住居民签约率、辖区内65岁及以上常住居民签约续约率、辖区内孕13周之前建册并进行第一次产前检查的产妇签约率、辖区内孕13周之前建册并进行第一次产前检查的产妇签约续约率、年内辖区内已管理的高血压患者签约率、年内辖区内已管理的高血压患者签约续约率、年内辖区内已管理的2型糖尿病患者签约率、年内辖区内已管理的2型糖尿病患者签约续约率、已管理的肺结核患者签约率等指标。</w:t>
      </w:r>
    </w:p>
    <w:p w14:paraId="0AA40634">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55" w:name="_Toc1292466321"/>
      <w:r>
        <w:rPr>
          <w:rFonts w:hint="eastAsia" w:ascii="宋体" w:hAnsi="宋体" w:cs="宋体"/>
          <w:b w:val="0"/>
          <w:bCs w:val="0"/>
          <w:sz w:val="24"/>
          <w:szCs w:val="24"/>
        </w:rPr>
        <w:t>医共体运营监管中心（大屏端）</w:t>
      </w:r>
      <w:bookmarkEnd w:id="55"/>
    </w:p>
    <w:p w14:paraId="518EB043">
      <w:pPr>
        <w:keepNext/>
        <w:keepLines/>
        <w:widowControl/>
        <w:spacing w:line="360" w:lineRule="auto"/>
        <w:ind w:firstLine="482"/>
        <w:rPr>
          <w:rFonts w:hint="eastAsia" w:ascii="宋体" w:hAnsi="宋体" w:cs="宋体"/>
          <w:sz w:val="24"/>
        </w:rPr>
      </w:pPr>
      <w:r>
        <w:rPr>
          <w:rFonts w:hint="eastAsia" w:ascii="宋体" w:hAnsi="宋体" w:cs="宋体"/>
          <w:sz w:val="24"/>
        </w:rPr>
        <w:t>医共体运营监管中心需要在大屏端进行展示，对区域医共体整体及各医疗机构的运营情况进行详细分析展示，需支持机构、时间维度筛选；需支持各类图表的可视化展示；需支持指标下钻，可以对汇聚指标进行明细查询。</w:t>
      </w:r>
    </w:p>
    <w:p w14:paraId="6A0CDD1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医共体财务监管</w:t>
      </w:r>
    </w:p>
    <w:p w14:paraId="0A8ACAFF">
      <w:pPr>
        <w:spacing w:line="360" w:lineRule="auto"/>
        <w:ind w:firstLine="480" w:firstLineChars="200"/>
        <w:rPr>
          <w:rFonts w:hint="eastAsia" w:ascii="宋体" w:hAnsi="宋体"/>
          <w:sz w:val="24"/>
        </w:rPr>
      </w:pPr>
      <w:r>
        <w:rPr>
          <w:rFonts w:hint="eastAsia" w:ascii="宋体" w:hAnsi="宋体"/>
          <w:sz w:val="24"/>
        </w:rPr>
        <w:t>财务管理用于医共体内医疗机构、科室针对医疗服务、公共卫生等相关的收支、负债等指标进行展示，提供财务数据的监管大屏决策支撑。</w:t>
      </w:r>
    </w:p>
    <w:p w14:paraId="099A53FC">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医共体人员监管</w:t>
      </w:r>
    </w:p>
    <w:p w14:paraId="009498A2">
      <w:pPr>
        <w:spacing w:line="360" w:lineRule="auto"/>
        <w:ind w:firstLine="480" w:firstLineChars="200"/>
        <w:rPr>
          <w:rFonts w:hint="eastAsia" w:ascii="宋体" w:hAnsi="宋体"/>
          <w:sz w:val="24"/>
        </w:rPr>
      </w:pPr>
      <w:r>
        <w:rPr>
          <w:rFonts w:hint="eastAsia" w:ascii="宋体" w:hAnsi="宋体"/>
          <w:sz w:val="24"/>
        </w:rPr>
        <w:t>医共体人员监管对医共体内人员构成和管理情况进行统一展示，统计医共体人员各维度分类数量，提供人员数据监管大屏决策支撑。</w:t>
      </w:r>
    </w:p>
    <w:p w14:paraId="5FB02729">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医疗服务监管</w:t>
      </w:r>
    </w:p>
    <w:p w14:paraId="03DB4576">
      <w:pPr>
        <w:spacing w:line="360" w:lineRule="auto"/>
        <w:ind w:firstLine="480" w:firstLineChars="200"/>
        <w:rPr>
          <w:rFonts w:hint="eastAsia" w:ascii="宋体" w:hAnsi="宋体"/>
          <w:sz w:val="24"/>
        </w:rPr>
      </w:pPr>
      <w:r>
        <w:rPr>
          <w:rFonts w:hint="eastAsia" w:ascii="宋体" w:hAnsi="宋体"/>
          <w:sz w:val="24"/>
        </w:rPr>
        <w:t>需支持从门诊和住院两大诊疗业务进行分析展示，支持从医疗服务的人次效率、费用构成、趋势变化、疾病分布等多个分析维度展示医疗服务概况，支持钻取到下属机构的医疗服务数据并进行联动分析。</w:t>
      </w:r>
    </w:p>
    <w:p w14:paraId="0E047E96">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公共卫生监管</w:t>
      </w:r>
    </w:p>
    <w:p w14:paraId="5D78F53E">
      <w:pPr>
        <w:spacing w:line="360" w:lineRule="auto"/>
        <w:ind w:firstLine="480" w:firstLineChars="200"/>
        <w:rPr>
          <w:rFonts w:hint="eastAsia" w:ascii="宋体" w:hAnsi="宋体"/>
          <w:sz w:val="24"/>
        </w:rPr>
      </w:pPr>
      <w:r>
        <w:rPr>
          <w:rFonts w:hint="eastAsia" w:ascii="宋体" w:hAnsi="宋体"/>
          <w:sz w:val="24"/>
        </w:rPr>
        <w:t>需支持对全区公共卫生业务开展情况的精确监管，支持查看区域整体的指标情况，支持钻取到钻到下级区划或机构的公共卫生服务数据并进行联动分析。</w:t>
      </w:r>
    </w:p>
    <w:p w14:paraId="0465209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双向转诊监管</w:t>
      </w:r>
    </w:p>
    <w:p w14:paraId="369F3ABC">
      <w:pPr>
        <w:spacing w:line="360" w:lineRule="auto"/>
        <w:ind w:firstLine="480" w:firstLineChars="200"/>
        <w:rPr>
          <w:rFonts w:hint="eastAsia" w:ascii="宋体" w:hAnsi="宋体"/>
          <w:sz w:val="24"/>
        </w:rPr>
      </w:pPr>
      <w:r>
        <w:rPr>
          <w:rFonts w:hint="eastAsia" w:ascii="宋体" w:hAnsi="宋体"/>
          <w:sz w:val="24"/>
        </w:rPr>
        <w:t>需支持对双向转诊业务开展情况进行监管。监管指标包括：上</w:t>
      </w:r>
      <w:bookmarkStart w:id="56" w:name="_Hlk151032563"/>
      <w:r>
        <w:rPr>
          <w:rFonts w:hint="eastAsia" w:ascii="宋体" w:hAnsi="宋体"/>
          <w:sz w:val="24"/>
        </w:rPr>
        <w:t>转率、下转率、上转总人次、下转总人次、基层机构就诊率、基层医疗卫生机构门急诊人次数、</w:t>
      </w:r>
      <w:bookmarkEnd w:id="56"/>
      <w:r>
        <w:rPr>
          <w:rFonts w:hint="eastAsia" w:ascii="宋体" w:hAnsi="宋体"/>
          <w:sz w:val="24"/>
        </w:rPr>
        <w:t>全区门急诊总人次数、基层机构住院率、基层医疗卫生机构出院人次、全区出院总人次、医保支付患者人次数、自费支付患者人次数、基层机构医疗收入与二三级医院医疗收入比。</w:t>
      </w:r>
    </w:p>
    <w:p w14:paraId="159D12E5">
      <w:pPr>
        <w:pStyle w:val="2"/>
        <w:numPr>
          <w:ilvl w:val="0"/>
          <w:numId w:val="4"/>
        </w:numPr>
        <w:spacing w:before="0" w:after="0" w:line="360" w:lineRule="auto"/>
        <w:jc w:val="left"/>
        <w:outlineLvl w:val="1"/>
        <w:rPr>
          <w:rFonts w:hint="eastAsia"/>
          <w:b/>
          <w:bCs/>
          <w:sz w:val="28"/>
          <w:szCs w:val="28"/>
        </w:rPr>
      </w:pPr>
      <w:bookmarkStart w:id="57" w:name="_Toc684367642"/>
      <w:r>
        <w:rPr>
          <w:rFonts w:hint="eastAsia"/>
          <w:b/>
          <w:bCs/>
          <w:sz w:val="28"/>
          <w:szCs w:val="28"/>
        </w:rPr>
        <w:t>医共体运营管理系统</w:t>
      </w:r>
      <w:bookmarkEnd w:id="57"/>
    </w:p>
    <w:p w14:paraId="084C9F24">
      <w:pPr>
        <w:pStyle w:val="27"/>
        <w:widowControl/>
        <w:numPr>
          <w:ilvl w:val="0"/>
          <w:numId w:val="5"/>
        </w:numPr>
        <w:tabs>
          <w:tab w:val="left" w:pos="720"/>
        </w:tabs>
        <w:spacing w:line="360" w:lineRule="auto"/>
        <w:ind w:left="1063" w:firstLine="0"/>
        <w:jc w:val="left"/>
        <w:outlineLvl w:val="1"/>
        <w:rPr>
          <w:rFonts w:hint="eastAsia" w:ascii="宋体" w:hAnsi="宋体" w:cs="宋体"/>
          <w:vanish/>
          <w:sz w:val="24"/>
        </w:rPr>
      </w:pPr>
    </w:p>
    <w:p w14:paraId="45EA9171">
      <w:pPr>
        <w:pStyle w:val="25"/>
        <w:numPr>
          <w:ilvl w:val="1"/>
          <w:numId w:val="5"/>
        </w:numPr>
        <w:spacing w:before="0" w:beforeLines="0" w:after="0" w:afterLines="0" w:line="360" w:lineRule="auto"/>
        <w:ind w:left="0" w:firstLine="0"/>
        <w:outlineLvl w:val="2"/>
        <w:rPr>
          <w:rFonts w:hint="eastAsia"/>
          <w:b w:val="0"/>
          <w:bCs w:val="0"/>
          <w:sz w:val="24"/>
          <w:szCs w:val="24"/>
        </w:rPr>
      </w:pPr>
      <w:r>
        <w:rPr>
          <w:rFonts w:hint="eastAsia"/>
          <w:b w:val="0"/>
          <w:bCs w:val="0"/>
          <w:sz w:val="24"/>
          <w:szCs w:val="24"/>
        </w:rPr>
        <w:t>整体要求</w:t>
      </w:r>
    </w:p>
    <w:p w14:paraId="52DA6302">
      <w:pPr>
        <w:spacing w:line="360" w:lineRule="auto"/>
        <w:ind w:firstLine="480" w:firstLineChars="200"/>
        <w:rPr>
          <w:rFonts w:hint="eastAsia" w:ascii="宋体" w:hAnsi="宋体"/>
          <w:sz w:val="24"/>
        </w:rPr>
      </w:pPr>
      <w:r>
        <w:rPr>
          <w:rFonts w:hint="eastAsia" w:ascii="宋体" w:hAnsi="宋体"/>
          <w:sz w:val="24"/>
        </w:rPr>
        <w:t>为实现对医共体信息化建设进行统一管理，提供医共体平台子系统、应用的统一访问入口，实现单点登录，同时为保证平台能够正常运行，对平台的用户、基本功能提供统一配置和管理功能，并对平台的运行状态生成日志，用于运维监督和管理。</w:t>
      </w:r>
    </w:p>
    <w:p w14:paraId="1F151E18">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58" w:name="_Toc244545762"/>
      <w:r>
        <w:rPr>
          <w:rFonts w:hint="eastAsia" w:ascii="宋体" w:hAnsi="宋体" w:cs="宋体"/>
          <w:b w:val="0"/>
          <w:bCs w:val="0"/>
          <w:sz w:val="24"/>
          <w:szCs w:val="24"/>
        </w:rPr>
        <w:t>集成门户</w:t>
      </w:r>
      <w:bookmarkEnd w:id="58"/>
    </w:p>
    <w:p w14:paraId="0830347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构建医共体平台统一访问门户，通过单点登录技术，为用户提供便捷、安全的访问各类应用、系统的快速访问通道。</w:t>
      </w:r>
    </w:p>
    <w:p w14:paraId="3C58B5F5">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门户首页</w:t>
      </w:r>
    </w:p>
    <w:p w14:paraId="324948DA">
      <w:pPr>
        <w:pStyle w:val="7"/>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需支持门户首页布局设置，内置多套首页布局模板供用户选择；</w:t>
      </w:r>
    </w:p>
    <w:p w14:paraId="407CACA9">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需支持区域地图动态效果展示，可按地理位置轮巡展示区域内各医疗机构相关信息，展示信息可自定义；</w:t>
      </w:r>
    </w:p>
    <w:p w14:paraId="09F8A497">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需支持个人权限申请，登录用户可为当前账号申请已注册应用/系统的访问权限；</w:t>
      </w:r>
    </w:p>
    <w:p w14:paraId="22CEFC7D">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接入管理：集成门户支持第三方系统接入配置、菜单配置、机构权限配置，机构角色权限配置功能；</w:t>
      </w:r>
    </w:p>
    <w:p w14:paraId="79B913C2">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门户展示：集成门户首页支持主题指标自定义配置及接入系统排序管理；</w:t>
      </w:r>
    </w:p>
    <w:p w14:paraId="4C37FD33">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门户界面：内置不少于5套界面配置模板，支持内置界面切换。</w:t>
      </w:r>
    </w:p>
    <w:p w14:paraId="1AF973F5">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单点登录</w:t>
      </w:r>
    </w:p>
    <w:p w14:paraId="6EE23D17">
      <w:pPr>
        <w:spacing w:line="360" w:lineRule="auto"/>
        <w:ind w:firstLine="480" w:firstLineChars="200"/>
        <w:rPr>
          <w:rFonts w:hint="eastAsia" w:ascii="宋体" w:hAnsi="宋体"/>
          <w:sz w:val="24"/>
        </w:rPr>
      </w:pPr>
      <w:r>
        <w:rPr>
          <w:rFonts w:hint="eastAsia" w:ascii="宋体" w:hAnsi="宋体"/>
          <w:sz w:val="24"/>
        </w:rPr>
        <w:t>需支持为注册至平台的各C/S和B/S架构应用提供单点登录，并在门户首页创建快速访问入口。</w:t>
      </w:r>
    </w:p>
    <w:p w14:paraId="784E994F">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接入管理</w:t>
      </w:r>
    </w:p>
    <w:p w14:paraId="7A5C5293">
      <w:pPr>
        <w:pStyle w:val="7"/>
        <w:widowControl/>
        <w:numPr>
          <w:ilvl w:val="5"/>
          <w:numId w:val="1"/>
        </w:numPr>
        <w:tabs>
          <w:tab w:val="clear" w:pos="4149"/>
        </w:tabs>
        <w:spacing w:before="0" w:beforeAutospacing="0" w:after="0" w:afterAutospacing="0" w:line="360" w:lineRule="auto"/>
        <w:ind w:left="839"/>
        <w:jc w:val="left"/>
        <w:outlineLvl w:val="4"/>
        <w:rPr>
          <w:rFonts w:hint="eastAsia" w:ascii="宋体" w:hAnsi="宋体" w:cs="宋体"/>
          <w:b w:val="0"/>
          <w:bCs w:val="0"/>
          <w:szCs w:val="22"/>
        </w:rPr>
      </w:pPr>
      <w:r>
        <w:rPr>
          <w:rFonts w:hint="eastAsia" w:ascii="宋体" w:hAnsi="宋体" w:cs="宋体"/>
          <w:b w:val="0"/>
          <w:bCs w:val="0"/>
          <w:szCs w:val="22"/>
        </w:rPr>
        <w:t>需支持为C/S、B/S架构应用提供注册服务。</w:t>
      </w:r>
    </w:p>
    <w:p w14:paraId="42D8BA61">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需支持注册应用的列表展示功能，列表展示信息包括应用类型、应用代码、应用名称、版本号、生产商、描述、访问地址、记录状态等；</w:t>
      </w:r>
    </w:p>
    <w:p w14:paraId="0F72E126">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需支持对已注册应用进行维护，包括删除应用、应用信息的添加/修改、应用数据权限的设置、停用/启用状态的设置、系统序列等操作；</w:t>
      </w:r>
    </w:p>
    <w:p w14:paraId="45343457">
      <w:pPr>
        <w:pStyle w:val="7"/>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需支持通过应用类型、应用名称、记录状态等条件对注册应用进行检索。</w:t>
      </w:r>
    </w:p>
    <w:p w14:paraId="7EC8B6A8">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统一认证</w:t>
      </w:r>
    </w:p>
    <w:p w14:paraId="75144F0D">
      <w:pPr>
        <w:spacing w:line="360" w:lineRule="auto"/>
        <w:ind w:firstLine="480" w:firstLineChars="200"/>
        <w:rPr>
          <w:rFonts w:hint="eastAsia" w:ascii="宋体" w:hAnsi="宋体"/>
          <w:sz w:val="24"/>
        </w:rPr>
      </w:pPr>
      <w:r>
        <w:rPr>
          <w:rFonts w:hint="eastAsia" w:ascii="宋体" w:hAnsi="宋体"/>
          <w:sz w:val="24"/>
        </w:rPr>
        <w:t>需支持基于CAS（中央认证服务）的统一认证技术。</w:t>
      </w:r>
    </w:p>
    <w:p w14:paraId="2729A806">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59" w:name="_Toc1944405223"/>
      <w:r>
        <w:rPr>
          <w:rFonts w:hint="eastAsia" w:ascii="宋体" w:hAnsi="宋体" w:cs="宋体"/>
          <w:b w:val="0"/>
          <w:bCs w:val="0"/>
          <w:sz w:val="24"/>
          <w:szCs w:val="24"/>
        </w:rPr>
        <w:t>基础管理</w:t>
      </w:r>
      <w:bookmarkEnd w:id="59"/>
    </w:p>
    <w:p w14:paraId="041FC33A">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为平台提供管理和运维管理功能，可对平台进行日常管理工作，如医共体用户、权限的统一管理，对平台各项功能的参数维护等，以及为平台的日常稳定运行进行监督管理及维护，如安全管理、日志查看等。</w:t>
      </w:r>
    </w:p>
    <w:p w14:paraId="519141C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系统管理</w:t>
      </w:r>
    </w:p>
    <w:p w14:paraId="4C94D0C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角色管理</w:t>
      </w:r>
    </w:p>
    <w:p w14:paraId="041AFEB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需支持为各级医疗卫生机构建立具有不同访问权限的角色，支持机构间的角色复制；</w:t>
      </w:r>
    </w:p>
    <w:p w14:paraId="1AAAC62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需支持树状列表展示已注册医疗机构、已注册应用菜单权限列表和应用数据权限列表，机构列表支持名称检索；</w:t>
      </w:r>
    </w:p>
    <w:p w14:paraId="248113A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需支持按机构分类展示角色列表，列表展示信息包括角色名称、角色描述等信息；</w:t>
      </w:r>
    </w:p>
    <w:p w14:paraId="06DA96D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需支持通过勾选方式为角色配置可访问的菜单权限及应用数据权限；</w:t>
      </w:r>
    </w:p>
    <w:p w14:paraId="0AD9E5B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需支持对已建立角色进行维护，包括删除角色以及对角色名称、描述信息、权限进行添加和修改。</w:t>
      </w:r>
    </w:p>
    <w:p w14:paraId="644F548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权限管理</w:t>
      </w:r>
    </w:p>
    <w:p w14:paraId="5269D8B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需支持为各级医疗卫生机构设置对已注册应用的访问权限；</w:t>
      </w:r>
    </w:p>
    <w:p w14:paraId="41AAD37F">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需支持树状列表展示已注册医疗机构、已注册应用菜单权限列表，机构列表支持名称检索；</w:t>
      </w:r>
    </w:p>
    <w:p w14:paraId="518076C4">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需支持通过勾选方式为机构配置可访问的菜单权限。</w:t>
      </w:r>
    </w:p>
    <w:p w14:paraId="48592FE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菜单管理</w:t>
      </w:r>
    </w:p>
    <w:p w14:paraId="209027BC">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需支持对已注册应用的菜单进行管理，可进行新增、删除及维护操作，支持对菜单信息、启用状态、菜单功能按键、菜单数据权限、菜单序列等信息进行配置；</w:t>
      </w:r>
    </w:p>
    <w:p w14:paraId="5551173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需支持系统菜单列表展示功能，菜单列表按应用进行分类，展示信息包括菜单名称、菜单编码、菜单状态等信息；</w:t>
      </w:r>
    </w:p>
    <w:p w14:paraId="22F44A2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需支持通过菜单名称、编码对系统菜单进行检索。</w:t>
      </w:r>
    </w:p>
    <w:p w14:paraId="10CCDA3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参数管理</w:t>
      </w:r>
    </w:p>
    <w:p w14:paraId="1DDB232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需支持系统参数及业务参数配置及管理；</w:t>
      </w:r>
    </w:p>
    <w:p w14:paraId="7ADF6B9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需支持对已注册应用的各功能模块的通用配置进行设置；</w:t>
      </w:r>
    </w:p>
    <w:p w14:paraId="682FB8C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需支持根据不同机构的业务应用场景对已注册应用的参数进行差异化配置。</w:t>
      </w:r>
    </w:p>
    <w:p w14:paraId="09D08F3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日志管理</w:t>
      </w:r>
    </w:p>
    <w:p w14:paraId="21134AE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需支持系统日志管理功能，包括变更日志和登录日志两类日志，变更日志可记录平台的配置变更信息，登录日志可记录用户账户登录信息；</w:t>
      </w:r>
    </w:p>
    <w:p w14:paraId="7C2C9D62">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变更日志列表展示功能，展示信息包括机构名称、各机构登录的各系统次数统计、登录频次明细等。登录频次明细与系统登录日志列表展示信息相同，通过统计方式、医疗机构、登录日期等条件对操作系统日志进行检索；</w:t>
      </w:r>
    </w:p>
    <w:p w14:paraId="569EBE4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登录日志列表展示功能，登录日志列表按机构进行分类，展示信息包括机构名称、用户名、IP地址、操作人姓名、用户类型、所属系统、登录时间、登录结果等，支持通过所属系统、登录结果、登录日期等条件对登录日志进行检索；</w:t>
      </w:r>
    </w:p>
    <w:p w14:paraId="22F65F1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消息管理</w:t>
      </w:r>
    </w:p>
    <w:p w14:paraId="60A9EEA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需支持对系统消息进行管理，包括消息模板管理、消息发送、消息监控；</w:t>
      </w:r>
    </w:p>
    <w:p w14:paraId="7234A66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消息模板管理</w:t>
      </w:r>
    </w:p>
    <w:p w14:paraId="68E17AD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需支持对消息模板进行创建和维护，包括发送群组、模板启用状态、发送方式、消息模板等内容；</w:t>
      </w:r>
    </w:p>
    <w:p w14:paraId="2D3167E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需支持单选、多选消息发送方式，可以支持与主流消息平台进行对接；</w:t>
      </w:r>
    </w:p>
    <w:p w14:paraId="5B6B3FA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需支持消息模板列表展示功能，展示信息包括模板编码、模板名称、所属系统、模板状态等；</w:t>
      </w:r>
    </w:p>
    <w:p w14:paraId="3C7537B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需支持通过所属系统、模板状态、模板编码/名称等条件进行检索。</w:t>
      </w:r>
    </w:p>
    <w:p w14:paraId="77E6553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消息发送</w:t>
      </w:r>
    </w:p>
    <w:p w14:paraId="5A602FF7">
      <w:pPr>
        <w:spacing w:line="360" w:lineRule="auto"/>
        <w:ind w:firstLine="480" w:firstLineChars="200"/>
        <w:rPr>
          <w:rFonts w:hint="eastAsia" w:ascii="宋体" w:hAnsi="宋体"/>
          <w:sz w:val="24"/>
        </w:rPr>
      </w:pPr>
      <w:r>
        <w:rPr>
          <w:rFonts w:hint="eastAsia" w:ascii="宋体" w:hAnsi="宋体"/>
          <w:sz w:val="24"/>
        </w:rPr>
        <w:t>需支持直接向已注册账号发送消息，需支持对发送主题、接收账号、消息内容进行编辑，支持同时向多个账号发送消息。</w:t>
      </w:r>
    </w:p>
    <w:p w14:paraId="371D02D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消息监控</w:t>
      </w:r>
    </w:p>
    <w:p w14:paraId="6F03432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需支持消息发送状态进行监控，支持发送消息详情列表展示功能，展示信息包括消息主题、消息内容、发送状态、消息类型、发送时间等，发送状态可展示发送总数和成功总数；</w:t>
      </w:r>
    </w:p>
    <w:p w14:paraId="6B3426D3">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需支持查看单条消息发送明细，可查看消息接收账号、消息内容、发送次数、失败原因等信息，可按发送状态、接收账号检索；</w:t>
      </w:r>
    </w:p>
    <w:p w14:paraId="4AC27000">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需支持通过消息类型、发送状态、消息主题、消息内容、发送时间等条件对消息发送详情进行检索。</w:t>
      </w:r>
    </w:p>
    <w:p w14:paraId="204F99E0">
      <w:pPr>
        <w:pStyle w:val="4"/>
        <w:framePr w:hSpace="0" w:wrap="auto" w:vAnchor="margin" w:hAnchor="text" w:xAlign="left" w:yAlign="inline"/>
        <w:numPr>
          <w:ilvl w:val="2"/>
          <w:numId w:val="1"/>
        </w:numPr>
        <w:tabs>
          <w:tab w:val="clear" w:pos="1647"/>
        </w:tabs>
        <w:spacing w:before="0" w:after="0" w:line="360" w:lineRule="auto"/>
        <w:jc w:val="left"/>
        <w:outlineLvl w:val="0"/>
        <w:rPr>
          <w:rFonts w:hint="eastAsia" w:ascii="宋体" w:hAnsi="宋体" w:cs="宋体"/>
          <w:b w:val="0"/>
          <w:bCs w:val="0"/>
          <w:sz w:val="24"/>
          <w:szCs w:val="24"/>
        </w:rPr>
      </w:pPr>
      <w:r>
        <w:rPr>
          <w:rFonts w:hint="eastAsia" w:ascii="宋体" w:hAnsi="宋体" w:cs="宋体"/>
          <w:b w:val="0"/>
          <w:bCs w:val="0"/>
          <w:sz w:val="24"/>
          <w:szCs w:val="24"/>
        </w:rPr>
        <w:t>安全管理</w:t>
      </w:r>
    </w:p>
    <w:p w14:paraId="28CEF31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平台安全体系建设依据《中华人民共和国网络安全法》《中华人民共和国数据安全法》《中华人民共和国个人信息保护法》等法律法规，按照《信息安全技术—网络安全等级保护基本要求》（GB/T 22239-2019）第三级安全要求，构建医共体信息安全保障体系，平台安全应主要包括应用安全和数据安全。</w:t>
      </w:r>
    </w:p>
    <w:p w14:paraId="2651064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color w:val="auto"/>
          <w:sz w:val="24"/>
          <w:szCs w:val="22"/>
        </w:rPr>
      </w:pPr>
      <w:r>
        <w:rPr>
          <w:rFonts w:hint="eastAsia" w:ascii="宋体" w:hAnsi="宋体" w:cs="宋体"/>
          <w:b w:val="0"/>
          <w:bCs w:val="0"/>
          <w:color w:val="auto"/>
          <w:sz w:val="24"/>
          <w:szCs w:val="22"/>
        </w:rPr>
        <w:t>需支持为敏感信息进行脱敏，可根据系统使用需要，设置不同的脱敏规则，可设置脱敏字段、脱敏方法、脱敏算法</w:t>
      </w:r>
      <w:r>
        <w:rPr>
          <w:rFonts w:hint="eastAsia" w:ascii="宋体" w:hAnsi="宋体" w:cs="宋体"/>
          <w:b w:val="0"/>
          <w:bCs w:val="0"/>
          <w:color w:val="auto"/>
          <w:sz w:val="24"/>
          <w:szCs w:val="22"/>
          <w:lang w:eastAsia="zh-CN"/>
        </w:rPr>
        <w:t>。</w:t>
      </w:r>
    </w:p>
    <w:p w14:paraId="0D6AF032">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60" w:name="_Toc1359926562"/>
      <w:bookmarkStart w:id="61" w:name="_Toc18862"/>
      <w:r>
        <w:rPr>
          <w:rFonts w:hint="eastAsia" w:ascii="宋体" w:hAnsi="宋体" w:cs="宋体"/>
          <w:b w:val="0"/>
          <w:bCs w:val="0"/>
          <w:sz w:val="24"/>
          <w:szCs w:val="24"/>
        </w:rPr>
        <w:t>平台基础服务</w:t>
      </w:r>
      <w:bookmarkEnd w:id="60"/>
      <w:bookmarkEnd w:id="61"/>
    </w:p>
    <w:p w14:paraId="5A8D6130">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为约束平台与平台间、平台与接入的应用系统间以及平台内部服务组件之间的信息交互和共享，建立一套交互服务标准体系，制定统一的交互服务定义、流程、编码、消息结构等规范。</w:t>
      </w:r>
    </w:p>
    <w:p w14:paraId="7CD66306">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注册服务</w:t>
      </w:r>
    </w:p>
    <w:p w14:paraId="47A1CF4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注册服务应提供居民注册服务，医疗卫生机构注册服务，医疗卫生人员注册服务。</w:t>
      </w:r>
    </w:p>
    <w:p w14:paraId="259A62AA">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居民注册服务</w:t>
      </w:r>
    </w:p>
    <w:p w14:paraId="2EC7D53F">
      <w:pPr>
        <w:spacing w:line="360" w:lineRule="auto"/>
        <w:ind w:firstLine="480" w:firstLineChars="200"/>
        <w:rPr>
          <w:rFonts w:hint="eastAsia" w:ascii="宋体" w:hAnsi="宋体"/>
          <w:sz w:val="24"/>
        </w:rPr>
      </w:pPr>
      <w:r>
        <w:rPr>
          <w:rFonts w:hint="eastAsia" w:ascii="宋体" w:hAnsi="宋体"/>
          <w:sz w:val="24"/>
        </w:rPr>
        <w:t>需提供区域所有内居民信息注册服务，系统为每个居民分配唯一的标识，存储居民的健康标识号、基本信息，为平台、医疗就诊及公共卫生相关的业务系统提供人员身份识别功能。</w:t>
      </w:r>
    </w:p>
    <w:p w14:paraId="434CA249">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医疗卫生机构注册服务</w:t>
      </w:r>
    </w:p>
    <w:p w14:paraId="6DFAA089">
      <w:pPr>
        <w:spacing w:line="360" w:lineRule="auto"/>
        <w:ind w:firstLine="480" w:firstLineChars="200"/>
        <w:rPr>
          <w:rFonts w:hint="eastAsia" w:ascii="宋体" w:hAnsi="宋体"/>
          <w:sz w:val="24"/>
        </w:rPr>
      </w:pPr>
      <w:r>
        <w:rPr>
          <w:rFonts w:hint="eastAsia" w:ascii="宋体" w:hAnsi="宋体"/>
          <w:sz w:val="24"/>
        </w:rPr>
        <w:t>需提供区域内所有医疗机构包括二三级医院、基层医疗卫生机构、疾病预防控制中心、卫生监督所、妇幼保健所等的卫生机构注册服务，系统为每个机构分配唯一的标识，满足医共体信息平台层下属医疗卫生机构的互联互通要求，并提供唯一标识的创建、修改、注销等维护功能。</w:t>
      </w:r>
    </w:p>
    <w:p w14:paraId="42ED95B1">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医疗卫生人员注册服务</w:t>
      </w:r>
    </w:p>
    <w:p w14:paraId="2F946CC3">
      <w:pPr>
        <w:spacing w:line="360" w:lineRule="auto"/>
        <w:ind w:firstLine="480" w:firstLineChars="200"/>
        <w:rPr>
          <w:rFonts w:hint="eastAsia" w:ascii="宋体" w:hAnsi="宋体"/>
          <w:sz w:val="24"/>
        </w:rPr>
      </w:pPr>
      <w:r>
        <w:rPr>
          <w:rFonts w:hint="eastAsia" w:ascii="宋体" w:hAnsi="宋体"/>
          <w:sz w:val="24"/>
        </w:rPr>
        <w:t>需提供区域内所有卫生管理机构的医疗服务提供者，包括全科医生、专科医生、护士、实验室医师、医学影像专业人员、疾病预防控制专业人员、妇幼保健人员及其他从事与居民健康服务相关的从业人员每人一个唯一的标识，给平台以及与平台交互的系统和用户所使用，并提供唯一标识的创建、修改、注销等维护功能。</w:t>
      </w:r>
    </w:p>
    <w:p w14:paraId="6C1D36ED">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全程健康档案服务</w:t>
      </w:r>
    </w:p>
    <w:p w14:paraId="37D103E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健康档案调阅服务</w:t>
      </w:r>
    </w:p>
    <w:p w14:paraId="688EAA39">
      <w:pPr>
        <w:spacing w:line="360" w:lineRule="auto"/>
        <w:ind w:firstLine="480" w:firstLineChars="200"/>
        <w:rPr>
          <w:rFonts w:hint="eastAsia" w:ascii="宋体" w:hAnsi="宋体"/>
          <w:sz w:val="24"/>
        </w:rPr>
      </w:pPr>
      <w:r>
        <w:rPr>
          <w:rFonts w:hint="eastAsia" w:ascii="宋体" w:hAnsi="宋体"/>
          <w:sz w:val="24"/>
        </w:rPr>
        <w:t>需支持将平台存储的居民健康档案为有权限的用户提供健康档案检索和调阅服务，包括全生命周期健康档案调阅、检查结果共享调阅、检验结果共享调阅、诊疗记录调阅、病历信息调阅。</w:t>
      </w:r>
    </w:p>
    <w:p w14:paraId="4425449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健康档案存储服务</w:t>
      </w:r>
    </w:p>
    <w:p w14:paraId="64C546A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需支持以标准化的方式存储健康档案信息，包含个人基本信息、主要疾病和健康问题摘要、儿童保健、妇女保健、疾病控制、疾病管理以及医疗服务；</w:t>
      </w:r>
    </w:p>
    <w:p w14:paraId="7F350AF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需支持向接入的各级医疗卫生机构提供健康档案文档的提交与注册服务。</w:t>
      </w:r>
    </w:p>
    <w:p w14:paraId="30F1FDA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健康档案管理服务</w:t>
      </w:r>
    </w:p>
    <w:p w14:paraId="4E9C7609">
      <w:pPr>
        <w:spacing w:line="360" w:lineRule="auto"/>
        <w:ind w:firstLine="480" w:firstLineChars="200"/>
        <w:rPr>
          <w:rFonts w:hint="eastAsia" w:ascii="宋体" w:hAnsi="宋体"/>
          <w:sz w:val="24"/>
        </w:rPr>
      </w:pPr>
      <w:r>
        <w:rPr>
          <w:rFonts w:hint="eastAsia" w:ascii="宋体" w:hAnsi="宋体"/>
          <w:sz w:val="24"/>
        </w:rPr>
        <w:t>需支持注册健康档案、更新健康档案文档元数据、查询健康档案索引功能。</w:t>
      </w:r>
    </w:p>
    <w:p w14:paraId="636921F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健康档案采集服务</w:t>
      </w:r>
    </w:p>
    <w:p w14:paraId="5348F3BF">
      <w:pPr>
        <w:spacing w:line="360" w:lineRule="auto"/>
        <w:ind w:firstLine="480" w:firstLineChars="200"/>
        <w:rPr>
          <w:rFonts w:hint="eastAsia" w:ascii="宋体" w:hAnsi="宋体"/>
          <w:sz w:val="24"/>
        </w:rPr>
      </w:pPr>
      <w:r>
        <w:rPr>
          <w:rFonts w:hint="eastAsia" w:ascii="宋体" w:hAnsi="宋体"/>
          <w:sz w:val="24"/>
        </w:rPr>
        <w:t>需支持为平台内健康档案文档集的采集、注册与存储提供服务。</w:t>
      </w:r>
    </w:p>
    <w:p w14:paraId="30BBB94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智能提醒服务</w:t>
      </w:r>
    </w:p>
    <w:p w14:paraId="2CBEEEC5">
      <w:pPr>
        <w:spacing w:line="360" w:lineRule="auto"/>
        <w:ind w:firstLine="480" w:firstLineChars="200"/>
        <w:rPr>
          <w:rFonts w:hint="eastAsia" w:ascii="宋体" w:hAnsi="宋体"/>
          <w:sz w:val="24"/>
        </w:rPr>
      </w:pPr>
      <w:r>
        <w:rPr>
          <w:rFonts w:hint="eastAsia" w:ascii="宋体" w:hAnsi="宋体"/>
          <w:sz w:val="24"/>
        </w:rPr>
        <w:t>需支持对接机构内业务系统，为医护人员在进行诊疗服务时提供重复用药提醒、重复检查提醒、重复检验提醒、近期同类诊疗提醒等实时提醒服务。</w:t>
      </w:r>
    </w:p>
    <w:p w14:paraId="33DAD495">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62" w:name="_Toc617272513"/>
      <w:r>
        <w:rPr>
          <w:rFonts w:hint="eastAsia" w:ascii="宋体" w:hAnsi="宋体" w:cs="宋体"/>
          <w:b w:val="0"/>
          <w:bCs w:val="0"/>
          <w:sz w:val="24"/>
          <w:szCs w:val="24"/>
        </w:rPr>
        <w:t>业务协同管理</w:t>
      </w:r>
      <w:bookmarkEnd w:id="62"/>
    </w:p>
    <w:p w14:paraId="6D1A29E0">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通过平台为各医疗机构间的业务协同和数据共享提供支撑，辅助医生工作，提升医生工作效率和服务水平，将协同类服务或系统集成到区域协同管理系统上统一管理，以插件的形式嵌入至医生工作站中，在诊疗过程中以弹窗方式实时提供各类协同服务，如：智能提醒、医卫融合、分级诊疗等服务。</w:t>
      </w:r>
    </w:p>
    <w:p w14:paraId="1FC556BC">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协同基础管理</w:t>
      </w:r>
    </w:p>
    <w:p w14:paraId="709D348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需支持协同类服务或系统集成到智能辅助引擎（区域协同管理系统）上统一管理，以插件的形式嵌入至医生工作站中；</w:t>
      </w:r>
    </w:p>
    <w:p w14:paraId="59F5DF4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需支持在诊疗过程中以弹窗方式提供协同服务；</w:t>
      </w:r>
    </w:p>
    <w:p w14:paraId="4883DA3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需支持平台与各系统实现数据共享，支持自动录入居民相关信息，包括居民基本信息、诊断信息、健康状况等信息，减少重复录入，提升医生工作效率。</w:t>
      </w:r>
    </w:p>
    <w:p w14:paraId="05587DD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机构集成</w:t>
      </w:r>
    </w:p>
    <w:p w14:paraId="2EE0DB4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需支持与C/S，B/S架构的医疗机构信息系统的对接集成；</w:t>
      </w:r>
    </w:p>
    <w:p w14:paraId="034A0147">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需支持注册及维护对接的医疗卫生机构。</w:t>
      </w:r>
    </w:p>
    <w:p w14:paraId="491FAE46">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系统管理</w:t>
      </w:r>
    </w:p>
    <w:p w14:paraId="5F6D971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需支持第三方应用的注册，支持将注册的应用通过协同插件开放给对接的医疗卫生机构，并可实现系统间的数据共享；</w:t>
      </w:r>
    </w:p>
    <w:p w14:paraId="0A4A07C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需支持选择集成应用的调用方式，包括嵌入、新建页面等方式；</w:t>
      </w:r>
    </w:p>
    <w:p w14:paraId="551A1106">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需支持集成应用调用地址的管理；</w:t>
      </w:r>
    </w:p>
    <w:p w14:paraId="640BECF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需支持集成应用的启用/停止状态管理；</w:t>
      </w:r>
    </w:p>
    <w:p w14:paraId="388DCA9E">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需支持系统提供的集成方式以适用不同的应用场景，包括系统独立调用、数据展示调用、页面嵌入调用、服务订阅调用及悬浮菜单调用；</w:t>
      </w:r>
    </w:p>
    <w:p w14:paraId="32A2ECE9">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需支持通过勾选方式快速配置入参，支持XML、JSON两种格式的自动生成及切换。</w:t>
      </w:r>
    </w:p>
    <w:p w14:paraId="2F67747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服务管理</w:t>
      </w:r>
    </w:p>
    <w:p w14:paraId="2EECFB6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需支持第三方服务的注册，支持将注册的服务通过协同插件开放给对接的医疗卫生机构，并可实现服务与医疗机构信息系统间的数据共享；</w:t>
      </w:r>
    </w:p>
    <w:p w14:paraId="5475CBB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需支持集成服务的启用/停止状态管理；需支持对消息提醒方式、提醒级别、提醒对象进行设置，支持程序提醒；提醒级别支持低、中、高、紧急四种级别，提醒对象为医生；</w:t>
      </w:r>
    </w:p>
    <w:p w14:paraId="46157D9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权限管理</w:t>
      </w:r>
    </w:p>
    <w:p w14:paraId="417F7CE5">
      <w:pPr>
        <w:spacing w:line="360" w:lineRule="auto"/>
        <w:ind w:firstLine="480" w:firstLineChars="200"/>
        <w:rPr>
          <w:rFonts w:hint="eastAsia" w:ascii="宋体" w:hAnsi="宋体"/>
          <w:sz w:val="24"/>
        </w:rPr>
      </w:pPr>
      <w:r>
        <w:rPr>
          <w:rFonts w:hint="eastAsia" w:ascii="宋体" w:hAnsi="宋体"/>
          <w:sz w:val="24"/>
        </w:rPr>
        <w:t>需支持对接机构访问的协同应用、服务、协同场景权限的统一管理；</w:t>
      </w:r>
    </w:p>
    <w:p w14:paraId="52E726C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场景编排</w:t>
      </w:r>
    </w:p>
    <w:p w14:paraId="08C73BA5">
      <w:pPr>
        <w:spacing w:line="360" w:lineRule="auto"/>
        <w:ind w:firstLine="480" w:firstLineChars="200"/>
        <w:rPr>
          <w:rFonts w:hint="eastAsia" w:ascii="宋体" w:hAnsi="宋体"/>
          <w:sz w:val="24"/>
        </w:rPr>
      </w:pPr>
      <w:r>
        <w:rPr>
          <w:rFonts w:hint="eastAsia" w:ascii="宋体" w:hAnsi="宋体"/>
          <w:sz w:val="24"/>
        </w:rPr>
        <w:t>需支持用户配置在各使用场景下需调用的应用和服务，实现个性化配置。</w:t>
      </w:r>
    </w:p>
    <w:p w14:paraId="5E47E7E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协同应用场景</w:t>
      </w:r>
    </w:p>
    <w:p w14:paraId="079792C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智能提醒</w:t>
      </w:r>
    </w:p>
    <w:p w14:paraId="5CE5E52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需提供内置提醒规则，支持提醒规则个性化配置；</w:t>
      </w:r>
    </w:p>
    <w:p w14:paraId="7A9510B6">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需支持系统弹窗提醒。</w:t>
      </w:r>
    </w:p>
    <w:p w14:paraId="43AF068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color w:val="auto"/>
          <w:sz w:val="24"/>
          <w:szCs w:val="22"/>
        </w:rPr>
      </w:pPr>
      <w:r>
        <w:rPr>
          <w:rFonts w:hint="eastAsia" w:ascii="宋体" w:hAnsi="宋体" w:cs="宋体"/>
          <w:b w:val="0"/>
          <w:color w:val="auto"/>
          <w:sz w:val="24"/>
          <w:szCs w:val="22"/>
        </w:rPr>
        <w:t>支持为医护人员在进行诊疗服务时提供实时提醒服务，应包括</w:t>
      </w:r>
      <w:bookmarkStart w:id="63" w:name="_Hlk149050524"/>
      <w:r>
        <w:rPr>
          <w:rFonts w:hint="eastAsia" w:ascii="宋体" w:hAnsi="宋体" w:cs="宋体"/>
          <w:b w:val="0"/>
          <w:color w:val="auto"/>
          <w:sz w:val="24"/>
          <w:szCs w:val="22"/>
        </w:rPr>
        <w:t>近期同类诊疗提醒服务、重复检查提醒服务、重复检验提醒服务、重复用药提醒服务</w:t>
      </w:r>
      <w:bookmarkEnd w:id="63"/>
      <w:r>
        <w:rPr>
          <w:rFonts w:hint="eastAsia" w:ascii="宋体" w:hAnsi="宋体" w:cs="宋体"/>
          <w:b w:val="0"/>
          <w:color w:val="auto"/>
          <w:sz w:val="24"/>
          <w:szCs w:val="22"/>
        </w:rPr>
        <w:t>。</w:t>
      </w:r>
    </w:p>
    <w:p w14:paraId="2C9994C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color w:val="auto"/>
          <w:sz w:val="24"/>
          <w:szCs w:val="22"/>
        </w:rPr>
      </w:pPr>
      <w:r>
        <w:rPr>
          <w:rFonts w:hint="eastAsia" w:ascii="宋体" w:hAnsi="宋体" w:cs="宋体"/>
          <w:b w:val="0"/>
          <w:bCs w:val="0"/>
          <w:color w:val="auto"/>
          <w:sz w:val="24"/>
          <w:szCs w:val="22"/>
        </w:rPr>
        <w:t>信息共享</w:t>
      </w:r>
    </w:p>
    <w:p w14:paraId="1AEC5654">
      <w:pPr>
        <w:spacing w:line="360" w:lineRule="auto"/>
        <w:ind w:firstLine="480" w:firstLineChars="200"/>
        <w:rPr>
          <w:rFonts w:hint="eastAsia" w:ascii="宋体" w:hAnsi="宋体"/>
          <w:color w:val="auto"/>
          <w:sz w:val="24"/>
        </w:rPr>
      </w:pPr>
      <w:r>
        <w:rPr>
          <w:rFonts w:hint="eastAsia" w:ascii="宋体" w:hAnsi="宋体"/>
          <w:color w:val="auto"/>
          <w:sz w:val="24"/>
        </w:rPr>
        <w:t>需支持通过协同插件与电子健康档案浏览器对接，实现在医生工作站为医生提供就诊患者的电子健康档案浏览器调阅。</w:t>
      </w:r>
    </w:p>
    <w:p w14:paraId="77B8A06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分级诊疗</w:t>
      </w:r>
    </w:p>
    <w:p w14:paraId="00EF02C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▲双向转诊业务协同</w:t>
      </w:r>
    </w:p>
    <w:p w14:paraId="6C4AB1A8">
      <w:pPr>
        <w:spacing w:line="360" w:lineRule="auto"/>
        <w:ind w:firstLine="480" w:firstLineChars="200"/>
        <w:rPr>
          <w:rFonts w:hint="eastAsia" w:ascii="宋体" w:hAnsi="宋体"/>
          <w:sz w:val="24"/>
        </w:rPr>
      </w:pPr>
      <w:r>
        <w:rPr>
          <w:rFonts w:hint="eastAsia" w:ascii="宋体" w:hAnsi="宋体"/>
          <w:sz w:val="24"/>
        </w:rPr>
        <w:t>双向转诊业务协同，需对接双向转诊系统及医疗卫生机构内业务系统，支持在诊疗过程中实时提供转诊服务，</w:t>
      </w:r>
      <w:r>
        <w:rPr>
          <w:rFonts w:hint="eastAsia" w:ascii="宋体" w:hAnsi="宋体"/>
          <w:b/>
          <w:bCs/>
          <w:sz w:val="24"/>
        </w:rPr>
        <w:t>需要提供系统功能界面截图证明</w:t>
      </w:r>
      <w:r>
        <w:rPr>
          <w:rFonts w:hint="eastAsia" w:ascii="宋体" w:hAnsi="宋体"/>
          <w:sz w:val="24"/>
        </w:rPr>
        <w:t>。</w:t>
      </w:r>
    </w:p>
    <w:p w14:paraId="088E75AB">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远程会诊业务协同</w:t>
      </w:r>
    </w:p>
    <w:p w14:paraId="5C44D4E5">
      <w:pPr>
        <w:spacing w:line="360" w:lineRule="auto"/>
        <w:ind w:firstLine="480" w:firstLineChars="200"/>
        <w:rPr>
          <w:rFonts w:hint="eastAsia" w:ascii="宋体" w:hAnsi="宋体"/>
          <w:sz w:val="24"/>
        </w:rPr>
      </w:pPr>
      <w:r>
        <w:rPr>
          <w:rFonts w:hint="eastAsia" w:ascii="宋体" w:hAnsi="宋体"/>
          <w:sz w:val="24"/>
        </w:rPr>
        <w:t>需对接远程会诊系统及医疗卫生机构内业务系统，支持独立应用集成、数据对接、页面嵌入和服务集成等多种集成方式，支持在诊疗过程提供远程会诊协同服务。</w:t>
      </w:r>
    </w:p>
    <w:p w14:paraId="57A842B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医卫融合</w:t>
      </w:r>
    </w:p>
    <w:p w14:paraId="6D151590">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区域疾控业务协同</w:t>
      </w:r>
    </w:p>
    <w:p w14:paraId="5CE92B66">
      <w:pPr>
        <w:spacing w:line="360" w:lineRule="auto"/>
        <w:ind w:firstLine="480" w:firstLineChars="200"/>
        <w:rPr>
          <w:rFonts w:hint="eastAsia" w:ascii="宋体" w:hAnsi="宋体"/>
          <w:sz w:val="24"/>
        </w:rPr>
      </w:pPr>
      <w:r>
        <w:rPr>
          <w:rFonts w:hint="eastAsia" w:ascii="宋体" w:hAnsi="宋体"/>
          <w:sz w:val="24"/>
        </w:rPr>
        <w:t>需对接区域疾控系统及医疗卫生机构内业务系统，支持独立应用集成、数据对接、页面嵌入和服务集成等多种集成方式，支持在医生站提供高血压、糖尿病等慢病的报卡、传染病报卡、门诊住院伤害登记、死亡登记等服务入口。</w:t>
      </w:r>
    </w:p>
    <w:p w14:paraId="7832CC15">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基本公卫业务协同</w:t>
      </w:r>
    </w:p>
    <w:p w14:paraId="4FCC2E46">
      <w:pPr>
        <w:spacing w:line="360" w:lineRule="auto"/>
        <w:ind w:firstLine="480" w:firstLineChars="200"/>
        <w:rPr>
          <w:rFonts w:hint="eastAsia" w:ascii="宋体" w:hAnsi="宋体"/>
          <w:sz w:val="24"/>
        </w:rPr>
      </w:pPr>
      <w:r>
        <w:rPr>
          <w:rFonts w:hint="eastAsia" w:ascii="宋体" w:hAnsi="宋体"/>
          <w:sz w:val="24"/>
        </w:rPr>
        <w:t>需对接基本公卫系统，支持独立应用集成、数据对接、页面嵌入和服务集成等多种集成方式，支持在医生站提供基本公共卫生服务系统入口。</w:t>
      </w:r>
    </w:p>
    <w:p w14:paraId="67181BF4">
      <w:pPr>
        <w:pStyle w:val="6"/>
        <w:numPr>
          <w:ilvl w:val="4"/>
          <w:numId w:val="1"/>
        </w:numPr>
        <w:tabs>
          <w:tab w:val="left" w:pos="720"/>
          <w:tab w:val="clear" w:pos="1800"/>
        </w:tabs>
        <w:spacing w:before="0" w:after="0" w:line="360" w:lineRule="auto"/>
        <w:ind w:left="420" w:leftChars="200"/>
        <w:jc w:val="left"/>
        <w:outlineLvl w:val="2"/>
        <w:rPr>
          <w:rFonts w:hint="eastAsia" w:ascii="宋体" w:hAnsi="宋体" w:cs="宋体"/>
          <w:b w:val="0"/>
          <w:sz w:val="24"/>
          <w:szCs w:val="22"/>
        </w:rPr>
      </w:pPr>
      <w:r>
        <w:rPr>
          <w:rFonts w:hint="eastAsia" w:ascii="宋体" w:hAnsi="宋体" w:cs="宋体"/>
          <w:b w:val="0"/>
          <w:sz w:val="24"/>
          <w:szCs w:val="22"/>
        </w:rPr>
        <w:t>家医签约业务协同</w:t>
      </w:r>
    </w:p>
    <w:p w14:paraId="22F54864">
      <w:pPr>
        <w:spacing w:line="360" w:lineRule="auto"/>
        <w:ind w:firstLine="480" w:firstLineChars="200"/>
        <w:rPr>
          <w:rFonts w:hint="eastAsia" w:ascii="宋体" w:hAnsi="宋体"/>
          <w:sz w:val="24"/>
        </w:rPr>
      </w:pPr>
      <w:r>
        <w:rPr>
          <w:rFonts w:hint="eastAsia" w:ascii="宋体" w:hAnsi="宋体"/>
          <w:sz w:val="24"/>
        </w:rPr>
        <w:t>需对接家医签约系统，支持独立应用集成、数据对接、页面嵌入和服务集成等多种集成方式，支持在诊疗过程中提供签约、待完成的签约服务项目提醒，以及签约服务入口。</w:t>
      </w:r>
    </w:p>
    <w:p w14:paraId="36E6FB9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其它场景</w:t>
      </w:r>
    </w:p>
    <w:p w14:paraId="564FCDB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可提供辅助诊疗协同服务、检查检验互认协同服务、合理用药协同服务。</w:t>
      </w:r>
    </w:p>
    <w:p w14:paraId="4E92CB5A">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辅助诊疗业务协同：需对接第三方CDSS系统及医疗卫生机构内业务系统，支持独立应用集成、数据对接、页面嵌入和服务集成等多种集成方式，支持医护人员进行诊疗服务时，提供实时智能诊断、用药推荐等提醒服务；</w:t>
      </w:r>
    </w:p>
    <w:p w14:paraId="7090238B">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健康管理业务协同：需支持在诊疗服务过程中，为医生提供居民健康信息提醒服务，如过敏史、既往病史、家族史、精神病、传染病、异常检查检验信息等提醒；</w:t>
      </w:r>
    </w:p>
    <w:p w14:paraId="64B08241">
      <w:pPr>
        <w:pStyle w:val="7"/>
        <w:keepNext w:val="0"/>
        <w:keepLines w:val="0"/>
        <w:widowControl/>
        <w:numPr>
          <w:ilvl w:val="5"/>
          <w:numId w:val="1"/>
        </w:numPr>
        <w:tabs>
          <w:tab w:val="clear" w:pos="4149"/>
        </w:tabs>
        <w:spacing w:before="0" w:beforeAutospacing="0" w:after="0" w:afterAutospacing="0" w:line="360" w:lineRule="auto"/>
        <w:ind w:left="839"/>
        <w:jc w:val="left"/>
        <w:rPr>
          <w:rFonts w:hint="eastAsia" w:ascii="宋体" w:hAnsi="宋体" w:cs="宋体"/>
          <w:b w:val="0"/>
          <w:bCs w:val="0"/>
          <w:szCs w:val="22"/>
        </w:rPr>
      </w:pPr>
      <w:r>
        <w:rPr>
          <w:rFonts w:hint="eastAsia" w:ascii="宋体" w:hAnsi="宋体" w:cs="宋体"/>
          <w:b w:val="0"/>
          <w:bCs w:val="0"/>
          <w:szCs w:val="22"/>
        </w:rPr>
        <w:t>合理用药业务协同：需对接合理用药系统及医疗卫生机构内业务系统，支持独立应用集成、数据对接、页面嵌入和服务集成等多种集成方式，支持医护人员进行诊疗服务时，通过弹窗形式提供实时合理用药提醒服务。</w:t>
      </w:r>
    </w:p>
    <w:p w14:paraId="6281F411">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64" w:name="_Toc5627334"/>
      <w:r>
        <w:rPr>
          <w:rFonts w:hint="eastAsia" w:ascii="宋体" w:hAnsi="宋体" w:cs="宋体"/>
          <w:b w:val="0"/>
          <w:bCs w:val="0"/>
          <w:sz w:val="24"/>
          <w:szCs w:val="24"/>
        </w:rPr>
        <w:t>医共体运营管理</w:t>
      </w:r>
      <w:bookmarkEnd w:id="64"/>
    </w:p>
    <w:p w14:paraId="2E7D251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为完成对旗县区医共体经营运行情况进行评价，平台构建医共体运营监测指标体系，从有序就医格局基本形成、医疗卫生服务能力提升、医疗卫生资源有效利用、医保基金使用效能提升4个方面直观反映医共体建设进展情况及建设成效，为落实分级诊疗制度、提高医共体内医疗卫生服务能力提供数据支撑。</w:t>
      </w:r>
    </w:p>
    <w:p w14:paraId="1203BE7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共体运营监测数据可通过平台数据集成系统自动采集，对于无法自动采集的数据，提供手工填报通道。系统根据制定的指标体系将汇聚的数据自动计算，并通过可视化方式进行展示，指标支持下钻查看。具体指标包括：</w:t>
      </w:r>
    </w:p>
    <w:p w14:paraId="34ADB08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有序就医格局基本形成：县域内住院人次占比（%）、县域就诊率（%）、县域内基层医疗卫生机构门急诊占比（%）、县域内基层医疗卫生机构中医药门急诊占比（%）、牵头医院下转患者数量占比（%）、慢病患者基层医疗卫生机构管理率（%）、基层医疗卫生机构人均收入与牵头医院人均收入的比值；</w:t>
      </w:r>
    </w:p>
    <w:p w14:paraId="065AA6E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县域医疗卫生服务能力提升：牵头医院是否达到县级综合医院或中医医院综合能力推荐标准、牵头医院出院患者三四级手术比例（%）、区域内万人口全科医生数、牵头医院帮助基层开展新技术、新项目的数量、“优质服务基层行”活动达到基本标准和推荐标准的机构数量、国家基本公共卫生服务项目实施情况；</w:t>
      </w:r>
    </w:p>
    <w:p w14:paraId="5EC0CC2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疗卫生资源有效利用：牵头医院医疗服务收入占医疗收入的比例（%）、基层医疗卫生机构医疗服务收入占医疗收入的比例（%）、基层医疗卫生机构医师日均担负诊疗人次、基层医疗卫生机构床位使用率（%）、牵头医院人员经费占业务支出比例（%）、基层医疗卫生机构财政补助收入占总收入的比例（%）；</w:t>
      </w:r>
    </w:p>
    <w:p w14:paraId="256583E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保基金使用效能：医保基金县域内支出率（不含药店）（%）、县域内基层医疗卫生机构医保基金占比（%）、医保考核结果、县域门诊次均费用、参保人员住院次均费用、住院费用实际报销比（%）、参保人员年住院率（%）。</w:t>
      </w:r>
    </w:p>
    <w:p w14:paraId="42833A65">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65" w:name="_Toc89322070"/>
      <w:r>
        <w:rPr>
          <w:rFonts w:hint="eastAsia" w:ascii="宋体" w:hAnsi="宋体" w:cs="宋体"/>
          <w:b w:val="0"/>
          <w:bCs w:val="0"/>
          <w:sz w:val="24"/>
          <w:szCs w:val="24"/>
        </w:rPr>
        <w:t>旗县区医共体平台</w:t>
      </w:r>
      <w:bookmarkEnd w:id="65"/>
    </w:p>
    <w:p w14:paraId="3F6414FA">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市统一部署、统一云架构，推进市统建医共体综合管理平台建设，在市平台上为辖区旗县区建设虚拟医共体平台。为保证每个旗县区医共体业务正常运转且互不干扰，每个虚拟医共体均包含完整的医共体平台功能，包括：医共体运营管理系统、虚拟数据资源中心、虚拟决策支持系统等系统。</w:t>
      </w:r>
    </w:p>
    <w:p w14:paraId="7D857DF4">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在市统建医共体基础上划分多个旗县区虚拟医共体平台，可为每个虚拟医共体设置不同的功能，市卫健委角色可查看各医共体数据，虚拟医共体数据不可相互查看（为每个医共体设置不同功能后，该医共体下的账户只可使用设置的功能，在质控中只可查看该医共体数据，市卫健委可查看全市数据，</w:t>
      </w:r>
      <w:r>
        <w:rPr>
          <w:rFonts w:hint="eastAsia" w:ascii="宋体" w:hAnsi="宋体" w:cs="宋体"/>
          <w:b/>
          <w:bCs/>
          <w:sz w:val="24"/>
          <w:szCs w:val="24"/>
        </w:rPr>
        <w:t>需要提供系统功能界面截图证明</w:t>
      </w:r>
      <w:r>
        <w:rPr>
          <w:rFonts w:hint="eastAsia" w:ascii="宋体" w:hAnsi="宋体" w:cs="宋体"/>
          <w:b w:val="0"/>
          <w:bCs w:val="0"/>
          <w:sz w:val="24"/>
          <w:szCs w:val="24"/>
        </w:rPr>
        <w:t>）。</w:t>
      </w:r>
    </w:p>
    <w:p w14:paraId="053DF04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医共体运营管理系统</w:t>
      </w:r>
    </w:p>
    <w:p w14:paraId="3436B5C5">
      <w:pPr>
        <w:spacing w:line="360" w:lineRule="auto"/>
        <w:ind w:firstLine="480" w:firstLineChars="200"/>
        <w:rPr>
          <w:rFonts w:hint="eastAsia" w:ascii="宋体" w:hAnsi="宋体"/>
          <w:sz w:val="24"/>
        </w:rPr>
      </w:pPr>
      <w:r>
        <w:rPr>
          <w:rFonts w:hint="eastAsia" w:ascii="宋体" w:hAnsi="宋体"/>
          <w:sz w:val="24"/>
        </w:rPr>
        <w:t>需支持划为多个虚拟平台，每个虚拟平台提供完成的平台功能，且虚拟平台间功能、设置彼此独立。包括：集成平台、基础管理、业务系统等功能。</w:t>
      </w:r>
    </w:p>
    <w:p w14:paraId="31E81D56">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虚拟数据资源中心</w:t>
      </w:r>
    </w:p>
    <w:p w14:paraId="30BA2CC2">
      <w:pPr>
        <w:spacing w:line="360" w:lineRule="auto"/>
        <w:ind w:firstLine="480" w:firstLineChars="200"/>
        <w:rPr>
          <w:rFonts w:hint="eastAsia" w:ascii="宋体" w:hAnsi="宋体"/>
          <w:sz w:val="24"/>
        </w:rPr>
      </w:pPr>
      <w:r>
        <w:rPr>
          <w:rFonts w:hint="eastAsia" w:ascii="宋体" w:hAnsi="宋体"/>
          <w:sz w:val="24"/>
        </w:rPr>
        <w:t>需支持为每个虚拟平台划分虚拟数据资源中心，每个虚拟数据资源中心提供完整的数据存储服务，且虚拟数据资源中心所存储的数据彼此独立。包括：基础信息库、居民信息库、健康档案库、临床信息库、主题分析库等。</w:t>
      </w:r>
    </w:p>
    <w:p w14:paraId="7153D103">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虚拟决策支持系统</w:t>
      </w:r>
    </w:p>
    <w:p w14:paraId="37864552">
      <w:pPr>
        <w:spacing w:line="360" w:lineRule="auto"/>
        <w:ind w:firstLine="480" w:firstLineChars="200"/>
        <w:rPr>
          <w:rFonts w:hint="eastAsia" w:ascii="宋体" w:hAnsi="宋体"/>
          <w:sz w:val="24"/>
        </w:rPr>
      </w:pPr>
      <w:r>
        <w:rPr>
          <w:rFonts w:hint="eastAsia" w:ascii="宋体" w:hAnsi="宋体"/>
          <w:sz w:val="24"/>
        </w:rPr>
        <w:t>需支持按虚拟平台的虚拟数据中心所存储的业务划分综合监管主题，每个虚拟平台所监管的主题和数据彼此独立，只展示虚拟平台内的数据和业务。</w:t>
      </w:r>
    </w:p>
    <w:p w14:paraId="351E1D8D">
      <w:pPr>
        <w:pStyle w:val="2"/>
        <w:numPr>
          <w:ilvl w:val="0"/>
          <w:numId w:val="4"/>
        </w:numPr>
        <w:spacing w:before="0" w:after="0" w:line="360" w:lineRule="auto"/>
        <w:jc w:val="left"/>
        <w:outlineLvl w:val="1"/>
        <w:rPr>
          <w:rFonts w:hint="eastAsia"/>
          <w:b/>
          <w:bCs/>
          <w:sz w:val="28"/>
          <w:szCs w:val="28"/>
        </w:rPr>
      </w:pPr>
      <w:bookmarkStart w:id="66" w:name="_Toc144961237"/>
      <w:r>
        <w:rPr>
          <w:rFonts w:hint="eastAsia"/>
          <w:b/>
          <w:bCs/>
          <w:sz w:val="28"/>
          <w:szCs w:val="28"/>
        </w:rPr>
        <w:t>数据集成系统</w:t>
      </w:r>
      <w:bookmarkEnd w:id="66"/>
    </w:p>
    <w:p w14:paraId="284D6425">
      <w:pPr>
        <w:pStyle w:val="27"/>
        <w:widowControl/>
        <w:numPr>
          <w:ilvl w:val="0"/>
          <w:numId w:val="5"/>
        </w:numPr>
        <w:tabs>
          <w:tab w:val="left" w:pos="720"/>
        </w:tabs>
        <w:spacing w:line="360" w:lineRule="auto"/>
        <w:ind w:left="1063" w:firstLine="0"/>
        <w:jc w:val="left"/>
        <w:outlineLvl w:val="1"/>
        <w:rPr>
          <w:rFonts w:hint="eastAsia" w:ascii="宋体" w:hAnsi="宋体" w:cs="宋体"/>
          <w:vanish/>
          <w:sz w:val="24"/>
        </w:rPr>
      </w:pPr>
    </w:p>
    <w:p w14:paraId="5F607DFE">
      <w:pPr>
        <w:pStyle w:val="25"/>
        <w:numPr>
          <w:ilvl w:val="1"/>
          <w:numId w:val="5"/>
        </w:numPr>
        <w:spacing w:before="0" w:beforeLines="0" w:after="0" w:afterLines="0" w:line="360" w:lineRule="auto"/>
        <w:ind w:left="0" w:firstLine="0"/>
        <w:rPr>
          <w:rFonts w:hint="eastAsia" w:ascii="宋体" w:hAnsi="宋体"/>
          <w:b w:val="0"/>
          <w:bCs w:val="0"/>
          <w:sz w:val="24"/>
          <w:szCs w:val="24"/>
        </w:rPr>
      </w:pPr>
      <w:r>
        <w:rPr>
          <w:rFonts w:hint="eastAsia" w:ascii="宋体" w:hAnsi="宋体"/>
          <w:b w:val="0"/>
          <w:bCs w:val="0"/>
          <w:sz w:val="24"/>
          <w:szCs w:val="24"/>
        </w:rPr>
        <w:t>医共体数据集成系统需满足医共体内部各种数据的高效整合，支持与HIS、LIS、PACS等主要业务系统以及与外部相关的系统对接，实现数据共享协同。</w:t>
      </w:r>
    </w:p>
    <w:p w14:paraId="13CE55F6">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r>
        <w:rPr>
          <w:rFonts w:hint="eastAsia" w:ascii="宋体" w:hAnsi="宋体" w:cs="宋体"/>
          <w:b w:val="0"/>
          <w:bCs w:val="0"/>
          <w:sz w:val="24"/>
          <w:szCs w:val="24"/>
        </w:rPr>
        <w:t>对市统建医共体覆盖的旗县区需集成牵头医院及成员单位数据，实现市统建医共体数据的采集、交换、共享、分析。对已自建平台的旗县区，需集成自建医共体平台数据，实现自建医共体平台数据的采集、交换、共享、分析。</w:t>
      </w:r>
    </w:p>
    <w:p w14:paraId="6DC48C4A">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67" w:name="_Toc1117054561"/>
      <w:r>
        <w:rPr>
          <w:rFonts w:hint="eastAsia" w:ascii="宋体" w:hAnsi="宋体" w:cs="宋体"/>
          <w:b w:val="0"/>
          <w:bCs w:val="0"/>
          <w:sz w:val="24"/>
          <w:szCs w:val="24"/>
        </w:rPr>
        <w:t>数据交换平台</w:t>
      </w:r>
      <w:bookmarkEnd w:id="67"/>
    </w:p>
    <w:p w14:paraId="2846EF7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需支持对市统建医共体覆盖旗县区的牵头医院、成员单位以及旗县区自建医共体平台的数据进行采集交换。主要包括采集交换配置、采集交换中心、数据采集方案、采集交换监控、数据填报管理等功能。</w:t>
      </w:r>
    </w:p>
    <w:p w14:paraId="445E6AF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w:t>
      </w:r>
      <w:r>
        <w:rPr>
          <w:rFonts w:hint="eastAsia" w:ascii="宋体" w:hAnsi="宋体" w:cs="宋体"/>
          <w:b/>
          <w:bCs/>
          <w:sz w:val="24"/>
          <w:szCs w:val="24"/>
        </w:rPr>
        <w:t>提供该产品的国产服务器、国产数据库、国产客户端的信创通过测试报告复印件并加盖投标人公章</w:t>
      </w:r>
      <w:r>
        <w:rPr>
          <w:rFonts w:hint="eastAsia" w:ascii="宋体" w:hAnsi="宋体" w:cs="宋体"/>
          <w:b w:val="0"/>
          <w:bCs w:val="0"/>
          <w:sz w:val="24"/>
          <w:szCs w:val="24"/>
        </w:rPr>
        <w:t>。</w:t>
      </w:r>
    </w:p>
    <w:p w14:paraId="7539AC4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采集交换配置</w:t>
      </w:r>
    </w:p>
    <w:p w14:paraId="40928B3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采集节点配置</w:t>
      </w:r>
    </w:p>
    <w:p w14:paraId="50F28C39">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需支持通过录入节点信息、代理服务器信息、地理位置等信息新增采集节点。</w:t>
      </w:r>
    </w:p>
    <w:p w14:paraId="03FA541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需支持采集节点列表展示功能，对已添加节点信息进行展示，展示信息包括节点名称、节点地址、配置作业数等。</w:t>
      </w:r>
    </w:p>
    <w:p w14:paraId="35794AC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需支持对已录入节点进行维护，包括删除及编辑操作。</w:t>
      </w:r>
    </w:p>
    <w:p w14:paraId="09368C4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需支持通过节点名称、节点地址、代理服务器等条件对已添加的采集节点进行检索。</w:t>
      </w:r>
    </w:p>
    <w:p w14:paraId="0CAFA34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color w:val="auto"/>
          <w:sz w:val="24"/>
          <w:szCs w:val="22"/>
        </w:rPr>
      </w:pPr>
      <w:bookmarkStart w:id="74" w:name="_GoBack"/>
      <w:r>
        <w:rPr>
          <w:rFonts w:hint="eastAsia" w:ascii="宋体" w:hAnsi="宋体" w:cs="宋体"/>
          <w:b w:val="0"/>
          <w:color w:val="auto"/>
          <w:sz w:val="24"/>
          <w:szCs w:val="22"/>
        </w:rPr>
        <w:t>具备中心端数据采集管理功能，能够远程维护各数据采集点信息，包括IP地址、服务器账号密码、经纬度、数据采集作业等，支持自主定义数据采集作业执行频率，可准确到分钟。</w:t>
      </w:r>
    </w:p>
    <w:bookmarkEnd w:id="74"/>
    <w:p w14:paraId="4916E84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采集作业配置</w:t>
      </w:r>
    </w:p>
    <w:p w14:paraId="0EDABD3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为各采集节点新增采集作业，平台内置采集作业模板库，支持可视化的作业配置引导；支持录入作业执行配置信息，包括作业路径、作业名称、执行时间等，支持月、天、时等采集频率，单位可精确至分；支持录入作业执行参数信息，包括目标库名、目标库地址、前置库名、前置库地址等信息。</w:t>
      </w:r>
    </w:p>
    <w:p w14:paraId="7898FE3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需支持为各采集节点提供采集作业列表展示功能，对已添加采集作业进行展示，展示信息包括作业名称、作业组、执行时间等。</w:t>
      </w:r>
    </w:p>
    <w:p w14:paraId="205DF9D3">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需支持对已添加的采集作业进行维护，包括删除及编辑操作。</w:t>
      </w:r>
    </w:p>
    <w:p w14:paraId="5045C5C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需支持通过作业名称、作业组等条件对已添加的采集作业进行检索。</w:t>
      </w:r>
    </w:p>
    <w:p w14:paraId="1FC150FE">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▲需支持从基层医疗服务系统选择患者，录入主诉、诊断、药品等信息，并将该患者数据主动采集到平台（与下条为同一业务流程，上下数据、时间应当保持一致，</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564CD0C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▲能够通过平台居民主索引查询到主动数据采集选择的患者，并调阅该患者的健康档案浏览器查看到录入的主诉、诊断、药品信息（与上条为同一业务流程，上下数据、时间应当保持一致，</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5BF1439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机构采集表配置</w:t>
      </w:r>
    </w:p>
    <w:p w14:paraId="51BB02FF">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需支持在医疗机构前置库按平台下发的采集标准创建数据交换接口表。</w:t>
      </w:r>
    </w:p>
    <w:p w14:paraId="0E6ED63E">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需支持按平台数据集标准及各医疗卫生机构业务数据采集表构建ETL采集脚本。</w:t>
      </w:r>
    </w:p>
    <w:p w14:paraId="4D1DC7B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需支持ETL采集脚本的自动分发功能，支持对分发的目标库进行配置。</w:t>
      </w:r>
    </w:p>
    <w:p w14:paraId="0A82898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需支持对数据交换接口表、业务数据表、ETL脚本进行配置和维护，包括编辑和删除操作。</w:t>
      </w:r>
    </w:p>
    <w:p w14:paraId="4CE1AFD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分发作业配置</w:t>
      </w:r>
    </w:p>
    <w:p w14:paraId="0922C73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为中心交换库新增分发作业，平台内置分发作业模板库，支持可视化的作业配置引导；支持录入作业执行配置信息，包括作业路径、作业名称、执行时间等，支持月、天、时等采集频率，单位可精确至分；支持录入作业执行参数信息，包括目标库名、目标库地址、中心交换库名、中心交换库地址等信息。</w:t>
      </w:r>
    </w:p>
    <w:p w14:paraId="1642084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需支持分发作业列表展示功能，对已添加分发作业进行展示，展示信息包括作业名称、作业组、执行时间等。</w:t>
      </w:r>
    </w:p>
    <w:p w14:paraId="7E43C668">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需支持对已添加的分发作业进行维护，包括删除及编辑操作。</w:t>
      </w:r>
    </w:p>
    <w:p w14:paraId="091F7C58">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需支持通过作业名称、作业组等条件对已添加的分发作业进行检索。</w:t>
      </w:r>
    </w:p>
    <w:p w14:paraId="17F1F97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作业组配置</w:t>
      </w:r>
    </w:p>
    <w:p w14:paraId="38FCE8C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需支持新增组作业功能，支持为作业组添加若干条采集作业及分发作业。</w:t>
      </w:r>
    </w:p>
    <w:p w14:paraId="597A24B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需支持作业组列表展示功能，对已添加作业组进行展示，展示信息包括作业组名称、作业组描述、作业数等。</w:t>
      </w:r>
    </w:p>
    <w:p w14:paraId="3DDFF3FF">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支持通过作业组名称对已添加作业组进行检索。</w:t>
      </w:r>
    </w:p>
    <w:p w14:paraId="53A06436">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需支持对已添加的作业组进行维护，包括删除及编辑操作。</w:t>
      </w:r>
    </w:p>
    <w:p w14:paraId="4B315F0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需支持为各作业组提供作业列表展示功能，对已添加作业进行展示，展示信息包括作业名称、执行时间等，支持对作业进行配置，包括编辑和删除操作。</w:t>
      </w:r>
    </w:p>
    <w:p w14:paraId="40169F1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需支持为各作业组提供节点绑定情况列表展示功能，支持已绑定和未绑定两类列表，展示信息包括节点名称、节点地址等信息，支持将作业组与节点进行绑定或解除绑定操作。</w:t>
      </w:r>
    </w:p>
    <w:p w14:paraId="3EE18374">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采集交换中心</w:t>
      </w:r>
    </w:p>
    <w:p w14:paraId="6C7CD40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数据采集</w:t>
      </w:r>
    </w:p>
    <w:p w14:paraId="0BDEF70C">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需支持以数据库中间表的方式、通用数据接口的方式进行采集。</w:t>
      </w:r>
    </w:p>
    <w:p w14:paraId="03B84D6C">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需支持全量采集、增量采集。</w:t>
      </w:r>
    </w:p>
    <w:p w14:paraId="507ED557">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需支持采集结构化数据和非结构化数据。</w:t>
      </w:r>
    </w:p>
    <w:p w14:paraId="2CCB51C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数据过滤</w:t>
      </w:r>
    </w:p>
    <w:p w14:paraId="0F0D4412">
      <w:pPr>
        <w:spacing w:line="360" w:lineRule="auto"/>
        <w:ind w:firstLine="480" w:firstLineChars="200"/>
        <w:rPr>
          <w:rFonts w:hint="eastAsia" w:ascii="宋体" w:hAnsi="宋体"/>
          <w:sz w:val="24"/>
        </w:rPr>
      </w:pPr>
      <w:r>
        <w:rPr>
          <w:rFonts w:hint="eastAsia" w:ascii="宋体" w:hAnsi="宋体"/>
          <w:sz w:val="24"/>
        </w:rPr>
        <w:t>需支持数据过滤规则配置。</w:t>
      </w:r>
    </w:p>
    <w:p w14:paraId="0AF914E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数据转换</w:t>
      </w:r>
    </w:p>
    <w:p w14:paraId="10A465EC">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需支持不同数据标准的数据转换。</w:t>
      </w:r>
    </w:p>
    <w:p w14:paraId="0DE6CD74">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需支持对采集转换规则进行配置。</w:t>
      </w:r>
    </w:p>
    <w:p w14:paraId="6A648FE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数据分发</w:t>
      </w:r>
    </w:p>
    <w:p w14:paraId="2EF0F2E0">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需支持将经过质控的标准化数据分发到数据资源中心的各个目标库中。</w:t>
      </w:r>
    </w:p>
    <w:p w14:paraId="6CA23511">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需支持添加分发作业。</w:t>
      </w:r>
    </w:p>
    <w:p w14:paraId="25DAC82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数据下沉</w:t>
      </w:r>
    </w:p>
    <w:p w14:paraId="553C9D09">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需支持本级平台数据下沉至下一级平台。</w:t>
      </w:r>
    </w:p>
    <w:p w14:paraId="11615690">
      <w:pPr>
        <w:pStyle w:val="6"/>
        <w:numPr>
          <w:ilvl w:val="4"/>
          <w:numId w:val="1"/>
        </w:numPr>
        <w:tabs>
          <w:tab w:val="left" w:pos="720"/>
          <w:tab w:val="clear" w:pos="1800"/>
        </w:tabs>
        <w:spacing w:before="0" w:after="0" w:line="360" w:lineRule="auto"/>
        <w:ind w:left="420" w:leftChars="200"/>
        <w:jc w:val="left"/>
        <w:outlineLvl w:val="3"/>
        <w:rPr>
          <w:rFonts w:hint="eastAsia" w:ascii="宋体" w:hAnsi="宋体" w:cs="宋体"/>
          <w:b w:val="0"/>
          <w:sz w:val="24"/>
          <w:szCs w:val="22"/>
        </w:rPr>
      </w:pPr>
      <w:r>
        <w:rPr>
          <w:rFonts w:hint="eastAsia" w:ascii="宋体" w:hAnsi="宋体" w:cs="宋体"/>
          <w:b w:val="0"/>
          <w:sz w:val="24"/>
          <w:szCs w:val="22"/>
        </w:rPr>
        <w:t>需支持添加下沉作业。</w:t>
      </w:r>
    </w:p>
    <w:p w14:paraId="5E428231">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数据采集方案</w:t>
      </w:r>
    </w:p>
    <w:p w14:paraId="38896E4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采集标准</w:t>
      </w:r>
    </w:p>
    <w:p w14:paraId="0B57DFB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需支持采集医疗服务数据，包括患者基本信息、患者就诊记录、实验室检验报告、影像诊断报告、影像图像数据、住院相关病历、门诊/住院诊断报告。</w:t>
      </w:r>
    </w:p>
    <w:p w14:paraId="452E9ED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需支持采集医疗保障数据，包括诊疗记录数据、门诊挂号数据、门诊收费明细数据以及出入院数据、住院收费明细数据等六大类数据。</w:t>
      </w:r>
    </w:p>
    <w:p w14:paraId="288F6CE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需支持采集公共卫生数据，包括健康档案管理、预防健康管理、康复管理、健康教育管理等数据。</w:t>
      </w:r>
    </w:p>
    <w:p w14:paraId="21519D8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采集格式</w:t>
      </w:r>
    </w:p>
    <w:p w14:paraId="5314318F">
      <w:pPr>
        <w:spacing w:line="360" w:lineRule="auto"/>
        <w:ind w:firstLine="480" w:firstLineChars="200"/>
        <w:rPr>
          <w:rFonts w:hint="eastAsia" w:ascii="宋体" w:hAnsi="宋体"/>
          <w:sz w:val="24"/>
        </w:rPr>
      </w:pPr>
      <w:r>
        <w:rPr>
          <w:rFonts w:hint="eastAsia" w:ascii="宋体" w:hAnsi="宋体"/>
          <w:sz w:val="24"/>
        </w:rPr>
        <w:t>需支持对结构化数据、非结构化数据进行采集，非结构化数据包括共享文档、PDF文件、图片等。</w:t>
      </w:r>
    </w:p>
    <w:p w14:paraId="48BE10A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采集技术</w:t>
      </w:r>
    </w:p>
    <w:p w14:paraId="3E92422B">
      <w:pPr>
        <w:spacing w:line="360" w:lineRule="auto"/>
        <w:ind w:firstLine="480" w:firstLineChars="200"/>
        <w:rPr>
          <w:rFonts w:hint="eastAsia" w:ascii="宋体" w:hAnsi="宋体"/>
          <w:sz w:val="24"/>
        </w:rPr>
      </w:pPr>
      <w:r>
        <w:rPr>
          <w:rFonts w:hint="eastAsia" w:ascii="宋体" w:hAnsi="宋体"/>
          <w:sz w:val="24"/>
        </w:rPr>
        <w:t>需支持ETL采集技术、消息采集技术和文件采集技术。</w:t>
      </w:r>
    </w:p>
    <w:p w14:paraId="0C01417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采集频率</w:t>
      </w:r>
    </w:p>
    <w:p w14:paraId="273A3865">
      <w:pPr>
        <w:spacing w:line="360" w:lineRule="auto"/>
        <w:ind w:firstLine="480" w:firstLineChars="200"/>
        <w:rPr>
          <w:rFonts w:hint="eastAsia" w:ascii="宋体" w:hAnsi="宋体"/>
          <w:sz w:val="24"/>
        </w:rPr>
      </w:pPr>
      <w:r>
        <w:rPr>
          <w:rFonts w:hint="eastAsia" w:ascii="宋体" w:hAnsi="宋体"/>
          <w:sz w:val="24"/>
        </w:rPr>
        <w:t>需支持T+1数据采集频率。</w:t>
      </w:r>
    </w:p>
    <w:p w14:paraId="7F92485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采集方式</w:t>
      </w:r>
    </w:p>
    <w:p w14:paraId="29ED2C29">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被动采集：需支持各医疗卫生机构依据平台下发的数据采集标准，对业务系统中的业务数据进行抽取、转换，将数据上传到前置库。</w:t>
      </w:r>
    </w:p>
    <w:p w14:paraId="0AC3E78E">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手动填报：需支持为各医疗卫生机构提供数据填报系统，支持手工录入、自动化工具导入两种填报方式，支持将填报数据上传到中心库。</w:t>
      </w:r>
    </w:p>
    <w:p w14:paraId="1896F114">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采集交换监控</w:t>
      </w:r>
    </w:p>
    <w:p w14:paraId="71AB527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采集节点监控</w:t>
      </w:r>
    </w:p>
    <w:p w14:paraId="5487CD5D">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需支持对采集节点状态进行统计，包括节点总数、正常节点数量、异常节点数量、未连接节点数量。</w:t>
      </w:r>
    </w:p>
    <w:p w14:paraId="78DE47B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需支持采集节点状态列表展示功能，展示信息包括节点名称地址、状态等信息。</w:t>
      </w:r>
    </w:p>
    <w:p w14:paraId="02723D02">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需支持通过节点名称、状态对采集节点进行检索。</w:t>
      </w:r>
    </w:p>
    <w:p w14:paraId="739B1D36">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需支持对节点状态进行刷新、详情查看操作。</w:t>
      </w:r>
    </w:p>
    <w:p w14:paraId="20BC964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详情查看支持采集节点详情、采集作业列表展示，采集节点详情包括节点名称、节点状态、地址、服务器硬件配置信息，并支持状态刷新操作；作业列表展示信息包括作业名称、作业路径、状态等信息，支持作业日志查看，支持手动停止/执行作业，支持通过作业名称、状态对作业进行检索。</w:t>
      </w:r>
    </w:p>
    <w:p w14:paraId="7DDD334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color w:val="auto"/>
          <w:sz w:val="24"/>
          <w:szCs w:val="22"/>
        </w:rPr>
      </w:pPr>
      <w:r>
        <w:rPr>
          <w:rFonts w:hint="eastAsia" w:ascii="宋体" w:hAnsi="宋体" w:cs="宋体"/>
          <w:b w:val="0"/>
          <w:color w:val="auto"/>
          <w:sz w:val="24"/>
          <w:szCs w:val="22"/>
        </w:rPr>
        <w:t>具备数据交换监测功能，能够对平台各机构上传数据表单上传状态、应传数量、实传数量进行监测。</w:t>
      </w:r>
    </w:p>
    <w:p w14:paraId="2A04E15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采集链路监控</w:t>
      </w:r>
    </w:p>
    <w:p w14:paraId="1845A97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需支持可视化采集链路实时监测界面，支持在区域地图上按地理地址标注各采集节点。</w:t>
      </w:r>
    </w:p>
    <w:p w14:paraId="4381F791">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需支持通过可视化的形式展示各节点网络连接关系和实时运行状态。</w:t>
      </w:r>
    </w:p>
    <w:p w14:paraId="6C03534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需支持通过弹窗形式展示当前采集节点运行详情，包括运行状态、地址、作业数、作业列表等，作业列表展示信息包括作业名称、执行时间、执行状态等，支持作业日志查看，支持手动停止/执行作业。</w:t>
      </w:r>
    </w:p>
    <w:p w14:paraId="569E062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color w:val="auto"/>
          <w:sz w:val="24"/>
          <w:szCs w:val="22"/>
        </w:rPr>
      </w:pPr>
      <w:r>
        <w:rPr>
          <w:rFonts w:hint="eastAsia" w:ascii="宋体" w:hAnsi="宋体" w:cs="宋体"/>
          <w:b w:val="0"/>
          <w:color w:val="auto"/>
          <w:sz w:val="24"/>
          <w:szCs w:val="22"/>
        </w:rPr>
        <w:t>具有数据交换采集点实时监控功能，能够基于地图显示区域内各数据采集点地理位置，支持通过不同的颜色实时监控各采集点与中心端的连接状态，能够通过地图查看数据采集完成情况，包括采集节点详情、作业执行情况等。</w:t>
      </w:r>
    </w:p>
    <w:p w14:paraId="075F1E0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采集作业监控</w:t>
      </w:r>
    </w:p>
    <w:p w14:paraId="6710935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需支持采集作业执行明细列表展示功能，展示信息包括节点名称、作业名称、执行结果、执行开始时间、执行结束时间等。</w:t>
      </w:r>
    </w:p>
    <w:p w14:paraId="01F065EB">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需支持每条采集作业执行明细的日志查看功能。</w:t>
      </w:r>
    </w:p>
    <w:p w14:paraId="7E82938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需支持按节点名称、作业名称、执行结果、开始时间、结束时间对采集作业明细进行检索。</w:t>
      </w:r>
    </w:p>
    <w:p w14:paraId="726293D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color w:val="auto"/>
          <w:sz w:val="24"/>
          <w:szCs w:val="22"/>
        </w:rPr>
      </w:pPr>
      <w:r>
        <w:rPr>
          <w:rFonts w:hint="eastAsia" w:ascii="宋体" w:hAnsi="宋体" w:cs="宋体"/>
          <w:b w:val="0"/>
          <w:color w:val="auto"/>
          <w:sz w:val="24"/>
          <w:szCs w:val="22"/>
        </w:rPr>
        <w:t>可通过平台实现对区域内医疗卫生机构的可视化数据交换任务调度和监控，实现对区域内各医疗机构的数据采集交换过程进行监管。</w:t>
      </w:r>
    </w:p>
    <w:p w14:paraId="4ACF4C6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数据转换监控</w:t>
      </w:r>
    </w:p>
    <w:p w14:paraId="0DB280B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需支持数据转换作业执行明细列表展示功能，展示信息包括节点名称、作业名称、执行结果、执行开始时间、执行结束时间等。</w:t>
      </w:r>
    </w:p>
    <w:p w14:paraId="14005435">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需支持每条数据转换作业执行明细的日志查看功能。</w:t>
      </w:r>
    </w:p>
    <w:p w14:paraId="6BAB2E6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需支持按节点名称、作业名称、执行结果、开始时间、结束时间对数据转换作业明细进行检索。</w:t>
      </w:r>
    </w:p>
    <w:p w14:paraId="2120D5C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数据分发监控</w:t>
      </w:r>
    </w:p>
    <w:p w14:paraId="03B6068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需支持数据分发作业执行明细列表展示功能，展示信息包括节点名称、作业名称、执行结果、执行开始时间、执行结束时间等。</w:t>
      </w:r>
    </w:p>
    <w:p w14:paraId="7925AE6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需支持每条数据分发作业执行明细的日志查看功能。</w:t>
      </w:r>
    </w:p>
    <w:p w14:paraId="35A0903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需支持按节点名称、作业名称、执行结果、开始时间、结束时间对数据分发作业明细进行检索。</w:t>
      </w:r>
    </w:p>
    <w:p w14:paraId="6BC87B7E">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68" w:name="_Toc1033964653"/>
      <w:r>
        <w:rPr>
          <w:rFonts w:hint="eastAsia" w:ascii="宋体" w:hAnsi="宋体" w:cs="宋体"/>
          <w:b w:val="0"/>
          <w:bCs w:val="0"/>
          <w:sz w:val="24"/>
          <w:szCs w:val="24"/>
        </w:rPr>
        <w:t>数据治理管理</w:t>
      </w:r>
      <w:bookmarkEnd w:id="68"/>
    </w:p>
    <w:p w14:paraId="05368CDC">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需支持对采集数据进行主数据管理、标准管理、居民主索引管理，从而对数据进行标准化的管理及维护。</w:t>
      </w:r>
    </w:p>
    <w:p w14:paraId="18C67F9C">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主数据管理</w:t>
      </w:r>
    </w:p>
    <w:p w14:paraId="121A332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需支持卫生机构、卫生人员、术语字典（药品编码、检查项目、检验项目、疾病编码、手术编码及值域代码管理等）等主数据的注册。</w:t>
      </w:r>
    </w:p>
    <w:p w14:paraId="122A255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需支持通过录入手工填写、导入两种注册方式，提供注册模板下载，支持注册信息导出。</w:t>
      </w:r>
    </w:p>
    <w:p w14:paraId="75E6FB8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需支持注册机构列表展示功能，展示信息包括机构名称、机构代码、机构类型、隶属关系、经营性质等，支持通过机构名称、机构代码、状态、管理年度等条件对注册机构进行检索。</w:t>
      </w:r>
    </w:p>
    <w:p w14:paraId="394B649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已注册人员列表展示功能，展示信息包括机构名称、业务科室、姓名、证件号码、工号、性别、年龄、专业、电话、记录状态等，支持通过机构、科室、姓名、工号、证件号码等条件对已注册人员进行检索。</w:t>
      </w:r>
    </w:p>
    <w:p w14:paraId="1C5F083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需支持已注册术语字典列表展示功能，包括药品目录、项目目录、材料目录、手术目录、诊断目录、科室目录等，支持通过药品类别、关键字等条件对已注册术语字典进行检索。</w:t>
      </w:r>
    </w:p>
    <w:p w14:paraId="04CBF10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需支持对已注册主数据进行维护，包括基本信息的添加/修改、启用/停用状态的更改。</w:t>
      </w:r>
    </w:p>
    <w:p w14:paraId="1EE9ECA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需支持对需要对外共享的主数据进行发布。</w:t>
      </w:r>
    </w:p>
    <w:p w14:paraId="0F28F0C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需支持对第三方系统提供主数据应用服务，包括查询、订阅、引用等功能。</w:t>
      </w:r>
    </w:p>
    <w:p w14:paraId="30AAC76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▲实现平台中关键实体信息的统一管理，包含机构、科室、人员信息等。支持注册信息批量导入导出、平台注册模板下载、标准目录注册申请及审核等数据管理功能，</w:t>
      </w:r>
      <w:r>
        <w:rPr>
          <w:rFonts w:hint="eastAsia" w:ascii="宋体" w:hAnsi="宋体" w:cs="宋体"/>
          <w:b/>
          <w:bCs/>
          <w:sz w:val="24"/>
          <w:szCs w:val="22"/>
        </w:rPr>
        <w:t>需要提供系统功能界面截图证明</w:t>
      </w:r>
      <w:r>
        <w:rPr>
          <w:rFonts w:hint="eastAsia" w:ascii="宋体" w:hAnsi="宋体" w:cs="宋体"/>
          <w:b w:val="0"/>
          <w:bCs w:val="0"/>
          <w:sz w:val="24"/>
          <w:szCs w:val="22"/>
        </w:rPr>
        <w:t>。</w:t>
      </w:r>
    </w:p>
    <w:p w14:paraId="22B0BFF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标准管理</w:t>
      </w:r>
    </w:p>
    <w:p w14:paraId="71C04E4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数据集管理</w:t>
      </w:r>
    </w:p>
    <w:p w14:paraId="7986D4F3">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需支持数据集标准管理。</w:t>
      </w:r>
    </w:p>
    <w:p w14:paraId="44A4571A">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需支持数据集的注册、导出。</w:t>
      </w:r>
    </w:p>
    <w:p w14:paraId="6FAE5EC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需支持按照业务类别以树形结构对数据集进行分类。</w:t>
      </w:r>
    </w:p>
    <w:p w14:paraId="0F76EC6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需支持数据集列表展示功能，展示信息包括数据集名称、数据集编码、数据库表名、版本类型、版本号、记录状态等。</w:t>
      </w:r>
    </w:p>
    <w:p w14:paraId="605926C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需支持通过数据集目录名、数据集、编码、表名等关键字进行检索。</w:t>
      </w:r>
    </w:p>
    <w:p w14:paraId="573192E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数据元管理</w:t>
      </w:r>
    </w:p>
    <w:p w14:paraId="23DEB138">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需支持数据元增加、删除、修改等功能。</w:t>
      </w:r>
    </w:p>
    <w:p w14:paraId="3141756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需支持对组成数据集的数据元进行列表展示功能，展示信息包括数据元名称、字段名、类型、长度、数据元标识符等，支持数据元列表导出。</w:t>
      </w:r>
    </w:p>
    <w:p w14:paraId="3740E161">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 xml:space="preserve">需支持通过数据元名称、数据库字段等关键字对数据元进行检索。 </w:t>
      </w:r>
    </w:p>
    <w:p w14:paraId="4F13299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数据元值域管理</w:t>
      </w:r>
    </w:p>
    <w:p w14:paraId="2D2F8084">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需支持数据元值域的注册、导出。</w:t>
      </w:r>
    </w:p>
    <w:p w14:paraId="126208B2">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需支持对数据元值信息进行查看，调整启用状态。</w:t>
      </w:r>
    </w:p>
    <w:p w14:paraId="55F445BE">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需支持以国际、国家、行业标准对数据元值域进行树形结构分类。</w:t>
      </w:r>
    </w:p>
    <w:p w14:paraId="172462E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需支持数据元值域列表展示功能，展示信息包括值域名称、值域编码、状态等。</w:t>
      </w:r>
    </w:p>
    <w:p w14:paraId="69F288A3">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需支持通过值域名称、值域编码等关键字对数据元值域进行检索。</w:t>
      </w:r>
    </w:p>
    <w:p w14:paraId="1870BDD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标准规范管理</w:t>
      </w:r>
    </w:p>
    <w:p w14:paraId="382EC448">
      <w:pPr>
        <w:spacing w:line="360" w:lineRule="auto"/>
        <w:ind w:firstLine="480" w:firstLineChars="200"/>
        <w:rPr>
          <w:rFonts w:hint="eastAsia" w:ascii="宋体" w:hAnsi="宋体"/>
          <w:sz w:val="24"/>
        </w:rPr>
      </w:pPr>
      <w:r>
        <w:rPr>
          <w:rFonts w:hint="eastAsia" w:ascii="宋体" w:hAnsi="宋体"/>
          <w:sz w:val="24"/>
        </w:rPr>
        <w:t>需支持对平台所遵循的标准规范进行维护和管理。</w:t>
      </w:r>
    </w:p>
    <w:p w14:paraId="752CD153">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居民主索引管理</w:t>
      </w:r>
    </w:p>
    <w:p w14:paraId="53674ED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建立居民身份信息唯一性识别机制，为跨部门、跨机构、跨地域的就诊居民提供身份信息关联服务。支持包括个人信息注册、个人信息拆分、个人信息合并、索引注册规则个性化配置、疑似档案数据索引规则设置、合并拆分记录统计等功能，</w:t>
      </w:r>
      <w:r>
        <w:rPr>
          <w:rFonts w:hint="eastAsia" w:ascii="宋体" w:hAnsi="宋体" w:cs="宋体"/>
          <w:b/>
          <w:bCs/>
          <w:sz w:val="24"/>
          <w:szCs w:val="22"/>
        </w:rPr>
        <w:t>需要提供系统功能界面截图证明</w:t>
      </w:r>
      <w:r>
        <w:rPr>
          <w:rFonts w:hint="eastAsia" w:ascii="宋体" w:hAnsi="宋体" w:cs="宋体"/>
          <w:b w:val="0"/>
          <w:bCs w:val="0"/>
          <w:sz w:val="24"/>
          <w:szCs w:val="22"/>
        </w:rPr>
        <w:t>。</w:t>
      </w:r>
    </w:p>
    <w:p w14:paraId="3D4796E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主索引注册规则管理</w:t>
      </w:r>
    </w:p>
    <w:p w14:paraId="7E74A96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权重匹配设置：需支持将居民基本信息的构成元素作为居民主索引匹配因子，包括：姓名、性别、身份证号、医保卡号、出生日期、手机号码、家庭地址等；需支持对匹配因子设定权重值；需支持对权重因子进行新增、编辑、删除等操作；需支持设置相似主索引阈值、相同主索引阈值；需支持匹配因子权重列表查看功能，可查看因子详情。</w:t>
      </w:r>
    </w:p>
    <w:p w14:paraId="5C93C8EE">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匹配规则设置：需支持设置相同主索引匹配规则、疑似主索引匹配规则两类匹配规则，每类规则支持若干条匹配规则；需支持为单条匹配规则设置多个匹配因子；需支持匹配规则进行新增、修改操作，支持更改匹配规则的启用状态；需支持匹配规则列表查看功能，支持通过启用状态、规则名称等条件进行检索，支持匹配规则的打印。</w:t>
      </w:r>
    </w:p>
    <w:p w14:paraId="2C903DA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匹配因子质控：需支持对主索引匹配因子的非空、值域、格式等进行质量校验、质控。</w:t>
      </w:r>
    </w:p>
    <w:p w14:paraId="349B39A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居民主索引注册管理</w:t>
      </w:r>
    </w:p>
    <w:p w14:paraId="41FF24F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需支持根据匹配因子权重比对居民主索引，支持按匹配规则计算匹配因子权重值之和，支持在计算后根据设置的阈值将居民主索引判定为相同主索引或疑似主索引。</w:t>
      </w:r>
    </w:p>
    <w:p w14:paraId="7439F025">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需支持根据匹配规则比对居民主索引，支持将多条居民主索引判定为相同主索引或疑似主索引。</w:t>
      </w:r>
    </w:p>
    <w:p w14:paraId="6DBEA22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需支持将判定为相同主索引的多条主索引自动合并、注册为一条居民主索引，并分配唯一标识，支持通过居民主索引关联居民医疗卫生数据。</w:t>
      </w:r>
    </w:p>
    <w:p w14:paraId="456026A9">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需支持居民主索引列表查看功能，支持通过日期、姓名、地址、关键字等条件进行检索，支持查看居民详细信息，支持查看居民主索引合并时间轴及来源域。</w:t>
      </w:r>
    </w:p>
    <w:p w14:paraId="14B7EF8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居民主索引合并管理</w:t>
      </w:r>
    </w:p>
    <w:p w14:paraId="6F6D92A4">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需支持为判定为相似主索引的多条主索引提供人工判断、合并功能。</w:t>
      </w:r>
    </w:p>
    <w:p w14:paraId="599F940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需支持相似主索引列表展示功能，支持查看判定为相似主索引所引用的匹配规则，支持通过日期、匹配规则、姓名、关键字等条件进行检索，支持人工合并操作。</w:t>
      </w:r>
    </w:p>
    <w:p w14:paraId="59FF243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居民主索引拆分管理</w:t>
      </w:r>
    </w:p>
    <w:p w14:paraId="2C1D30FE">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需支持对通过人工合并的个人信息进行拆分。</w:t>
      </w:r>
    </w:p>
    <w:p w14:paraId="76ED4009">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需支持人工合并主索引列表展示功能，支持通过日期、合并人员、姓名、关键字等条件进行检索，支持人工拆分操作。</w:t>
      </w:r>
    </w:p>
    <w:p w14:paraId="06BE8937">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69" w:name="_Toc406251447"/>
      <w:r>
        <w:rPr>
          <w:rFonts w:hint="eastAsia" w:ascii="宋体" w:hAnsi="宋体" w:cs="宋体"/>
          <w:b w:val="0"/>
          <w:bCs w:val="0"/>
          <w:sz w:val="24"/>
          <w:szCs w:val="24"/>
        </w:rPr>
        <w:t>数据质量监管平台</w:t>
      </w:r>
      <w:bookmarkEnd w:id="69"/>
    </w:p>
    <w:p w14:paraId="56A2C4D7">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需支持对数据集成系统采集各医疗卫生机构和自建医共体平台的医疗服务、公共卫生等类型的数据进行质控。主要提供质控规则配置、中心质量控制、数据质量评估等功能。</w:t>
      </w:r>
    </w:p>
    <w:p w14:paraId="3D665F58">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质控规则配置</w:t>
      </w:r>
    </w:p>
    <w:p w14:paraId="1B649AB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校验规则配置</w:t>
      </w:r>
    </w:p>
    <w:p w14:paraId="7D915AD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需支持完整性校验：监测机构是否将业务日期内的数据完整上传，监测业务子事件报告是否可以追溯到业务父事件。</w:t>
      </w:r>
    </w:p>
    <w:p w14:paraId="4C55DE10">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需支持规范性校验：数据是否满足数据采集接口中定义的数据规范（准确）性要求。</w:t>
      </w:r>
    </w:p>
    <w:p w14:paraId="1534F96F">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需支持及时性校验：监测机构是否在业务数据产生后及时上传。</w:t>
      </w:r>
    </w:p>
    <w:p w14:paraId="2C51E73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需支持一致性校验：监测机构上传的业务指标是否与明细业务数据汇总值相符。</w:t>
      </w:r>
    </w:p>
    <w:p w14:paraId="5D1F5B21">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需支持通过可视化的方式对数据质量校验规则进行配置和管理。</w:t>
      </w:r>
    </w:p>
    <w:p w14:paraId="16F7E565">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需支持质控规则的注册、删除。</w:t>
      </w:r>
    </w:p>
    <w:p w14:paraId="3F281674">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需支持按类别以树形结构对质控规则进行分类。</w:t>
      </w:r>
    </w:p>
    <w:p w14:paraId="7FF233E8">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需支持质控列表展示功能，展示信息包括规则代码、规则名称、表名称、中文表名、字段名、状态等。</w:t>
      </w:r>
    </w:p>
    <w:p w14:paraId="09BE4E56">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需支持对质控规则进行编辑，包括规则代码、记录脚本、启用状态等。</w:t>
      </w:r>
    </w:p>
    <w:p w14:paraId="64CFE0E1">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需支持通过名称、关键字、状态等条件对质控规则进行检索。</w:t>
      </w:r>
    </w:p>
    <w:p w14:paraId="15F2F4F4">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需支持质控规则数统计展示。</w:t>
      </w:r>
    </w:p>
    <w:p w14:paraId="24ABE69F">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需支持质控表的新增、删除、导入及注册模板下载。</w:t>
      </w:r>
    </w:p>
    <w:p w14:paraId="71BB1B2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机构质控配置</w:t>
      </w:r>
    </w:p>
    <w:p w14:paraId="320DAC9E">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需支持对医疗卫生机构的质控范围和规则进行差异化配置和维护。</w:t>
      </w:r>
    </w:p>
    <w:p w14:paraId="51A3F034">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需支持按类别以树形结构对质控表进行分类。</w:t>
      </w:r>
    </w:p>
    <w:p w14:paraId="1942EDAF">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需支持质控表列表展示功能，展示信息包括表名称、表代码、描述、上传时间标志、机构代码标志。</w:t>
      </w:r>
    </w:p>
    <w:p w14:paraId="37A5108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需支持对质控表字段进行新增、删除，支持质控表字段列表展示功能，支持通过关键字对质控表内字段进行检索。</w:t>
      </w:r>
    </w:p>
    <w:p w14:paraId="5278604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评分规则配置</w:t>
      </w:r>
    </w:p>
    <w:p w14:paraId="6F12CEC5">
      <w:pPr>
        <w:spacing w:line="360" w:lineRule="auto"/>
        <w:ind w:firstLine="480" w:firstLineChars="200"/>
        <w:rPr>
          <w:rFonts w:hint="eastAsia" w:ascii="宋体" w:hAnsi="宋体"/>
          <w:sz w:val="24"/>
        </w:rPr>
      </w:pPr>
      <w:r>
        <w:rPr>
          <w:rFonts w:hint="eastAsia" w:ascii="宋体" w:hAnsi="宋体"/>
          <w:sz w:val="24"/>
        </w:rPr>
        <w:t>需支持根据医疗卫生机构业务质控评分规则进行差异化配置和维护。</w:t>
      </w:r>
    </w:p>
    <w:p w14:paraId="3F935E3E">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中心质量控制</w:t>
      </w:r>
    </w:p>
    <w:p w14:paraId="139341F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需支持对上传到平台的数据进行质控。</w:t>
      </w:r>
    </w:p>
    <w:p w14:paraId="1356B1F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需支持按照质控规则进行质控，支持生成总体质控报告和机构数据质量评分及排名。</w:t>
      </w:r>
    </w:p>
    <w:p w14:paraId="7FF5452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支持对各机构重传后的数据进行质控并评分。</w:t>
      </w:r>
    </w:p>
    <w:p w14:paraId="7F6A40B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支持生成总体质控报告和机构数据质量评分及排名，支持将质控报告发送至相关人员进行提醒和预警。</w:t>
      </w:r>
    </w:p>
    <w:p w14:paraId="2A41364C">
      <w:pPr>
        <w:pStyle w:val="4"/>
        <w:framePr w:hSpace="0" w:wrap="auto" w:vAnchor="margin" w:hAnchor="text" w:xAlign="left" w:yAlign="inline"/>
        <w:numPr>
          <w:ilvl w:val="2"/>
          <w:numId w:val="1"/>
        </w:numPr>
        <w:tabs>
          <w:tab w:val="clear" w:pos="1647"/>
        </w:tabs>
        <w:spacing w:before="0" w:after="0" w:line="360" w:lineRule="auto"/>
        <w:jc w:val="left"/>
        <w:outlineLvl w:val="1"/>
        <w:rPr>
          <w:rFonts w:hint="eastAsia" w:ascii="宋体" w:hAnsi="宋体" w:cs="宋体"/>
          <w:b w:val="0"/>
          <w:bCs w:val="0"/>
          <w:sz w:val="24"/>
          <w:szCs w:val="24"/>
        </w:rPr>
      </w:pPr>
      <w:r>
        <w:rPr>
          <w:rFonts w:hint="eastAsia" w:ascii="宋体" w:hAnsi="宋体" w:cs="宋体"/>
          <w:b w:val="0"/>
          <w:bCs w:val="0"/>
          <w:sz w:val="24"/>
          <w:szCs w:val="24"/>
        </w:rPr>
        <w:t>数据质量评估</w:t>
      </w:r>
    </w:p>
    <w:p w14:paraId="22CCD3A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2"/>
        <w:rPr>
          <w:rFonts w:hint="eastAsia" w:ascii="宋体" w:hAnsi="宋体" w:cs="宋体"/>
          <w:b w:val="0"/>
          <w:bCs w:val="0"/>
          <w:sz w:val="24"/>
          <w:szCs w:val="22"/>
        </w:rPr>
      </w:pPr>
      <w:r>
        <w:rPr>
          <w:rFonts w:hint="eastAsia" w:ascii="宋体" w:hAnsi="宋体" w:cs="宋体"/>
          <w:b w:val="0"/>
          <w:bCs w:val="0"/>
          <w:sz w:val="24"/>
          <w:szCs w:val="22"/>
        </w:rPr>
        <w:t>数据质量报告</w:t>
      </w:r>
    </w:p>
    <w:p w14:paraId="26E0A9E7">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需支持依据质控规则完成校验的医疗卫生机构生成数据质量报告。</w:t>
      </w:r>
    </w:p>
    <w:p w14:paraId="13E2BC8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对数据质量报告的推送方式、报告内容进行配置；支持与主流消息平台对接，实现多种推送方式；支持区域总体数据质量情况统计、区域医疗机构数据质量情况、区域医疗机构数据上传情况统计、错误分析等多种内容。</w:t>
      </w:r>
    </w:p>
    <w:p w14:paraId="7C67C7C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数据质量追踪</w:t>
      </w:r>
    </w:p>
    <w:p w14:paraId="34673E36">
      <w:pPr>
        <w:spacing w:line="360" w:lineRule="auto"/>
        <w:ind w:firstLine="480" w:firstLineChars="200"/>
        <w:rPr>
          <w:rFonts w:hint="eastAsia" w:ascii="宋体" w:hAnsi="宋体"/>
          <w:sz w:val="24"/>
        </w:rPr>
      </w:pPr>
      <w:r>
        <w:rPr>
          <w:rFonts w:hint="eastAsia" w:ascii="宋体" w:hAnsi="宋体"/>
          <w:sz w:val="24"/>
        </w:rPr>
        <w:t>需支持医疗卫生机构通过数据质量报告对有质量问题的数据进行追溯，支持具体错误详情信息的查看。</w:t>
      </w:r>
    </w:p>
    <w:p w14:paraId="77CA644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1"/>
        <w:rPr>
          <w:rFonts w:hint="eastAsia" w:ascii="宋体" w:hAnsi="宋体" w:cs="宋体"/>
          <w:b w:val="0"/>
          <w:bCs w:val="0"/>
          <w:sz w:val="24"/>
          <w:szCs w:val="22"/>
        </w:rPr>
      </w:pPr>
      <w:r>
        <w:rPr>
          <w:rFonts w:hint="eastAsia" w:ascii="宋体" w:hAnsi="宋体" w:cs="宋体"/>
          <w:b w:val="0"/>
          <w:bCs w:val="0"/>
          <w:sz w:val="24"/>
          <w:szCs w:val="22"/>
        </w:rPr>
        <w:t>数据质量评分</w:t>
      </w:r>
    </w:p>
    <w:p w14:paraId="2A75B649">
      <w:pPr>
        <w:pStyle w:val="6"/>
        <w:numPr>
          <w:ilvl w:val="4"/>
          <w:numId w:val="1"/>
        </w:numPr>
        <w:tabs>
          <w:tab w:val="left" w:pos="720"/>
          <w:tab w:val="clear" w:pos="1800"/>
        </w:tabs>
        <w:spacing w:before="0" w:after="0" w:line="360" w:lineRule="auto"/>
        <w:ind w:left="420" w:leftChars="200"/>
        <w:jc w:val="left"/>
        <w:outlineLvl w:val="0"/>
        <w:rPr>
          <w:rFonts w:hint="eastAsia" w:ascii="宋体" w:hAnsi="宋体" w:cs="宋体"/>
          <w:b w:val="0"/>
          <w:sz w:val="24"/>
          <w:szCs w:val="22"/>
        </w:rPr>
      </w:pPr>
      <w:r>
        <w:rPr>
          <w:rFonts w:hint="eastAsia" w:ascii="宋体" w:hAnsi="宋体" w:cs="宋体"/>
          <w:b w:val="0"/>
          <w:sz w:val="24"/>
          <w:szCs w:val="22"/>
        </w:rPr>
        <w:t>支持依据评分规则对医疗卫生机构数据质量进行评估和打分。</w:t>
      </w:r>
    </w:p>
    <w:p w14:paraId="00DED4E2">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需支持数据质控评分概览，支持为卫健委、医疗机构角色展示不同数据质量评估，包括但不限于以下功能。</w:t>
      </w:r>
    </w:p>
    <w:p w14:paraId="7F9984B7">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卫健委角色：需支持平台总体评分、校验规则评分以及与前一天的对比情况展示</w:t>
      </w:r>
    </w:p>
    <w:p w14:paraId="3F855D8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各机构数据交换情况展示，包括上传成功机构数、未交换机构数、总机构数以及与前一天的对比情况；需支持数据质量合格情况展示，包括数据质量合格机构数、不合格机构数、合格分数、总机构数以及与前一天的对比情况；需支持校验指标匹配情况展示，包括指标匹配成功机构数、未匹配机构数、总机构数以及与前一天的对比情况。</w:t>
      </w:r>
    </w:p>
    <w:p w14:paraId="7A623C4A">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需支持评分趋势分析展示，包括近7日平台日评分趋势及近5周平台周评分趋势；需支持各机构数据治理情况展示，包括当日区域内各机构得分、交换成功率、指标匹配率。</w:t>
      </w:r>
    </w:p>
    <w:p w14:paraId="25AFD5D3">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交换报告情况展示，包括当日各机构数据交换情况，包含评分表单、必传表单的应传、实传、未传、中心库前置库应收、实收信息；需支持机构上传数据量对比情况展示，包括各机构近2日实传数据量对比情况以及环比需支持机构数据上传处理情况展示，包括近6日各机构数据上传处理情况，包含是否签到、处理前后的数据量对比。</w:t>
      </w:r>
    </w:p>
    <w:p w14:paraId="65AACBB4">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机构数据质量处理情况展示，包括近6日各机构数据质量处理情况，包含是否签到、处理前后的得分对比；需支持数据校验错误以及详细情况展示，包括数据校验一致性、完整性、规范性、及时性、专项校验、指标校验的错误详细信息。</w:t>
      </w:r>
    </w:p>
    <w:p w14:paraId="6455A03D">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需支持各机构数据质量得分排名展示；查询统计，根据机构、日期、表中文名查询数据交换情况。包含表名、机构名称、表中文名、应传数、中心库数量，并支持文件导出。</w:t>
      </w:r>
    </w:p>
    <w:p w14:paraId="43F13AEC">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医疗机构角色：展示机构总体评分、校验规则评分以及与前一天的对比情况；机构排名，展示机构排名以及与前一天的对比情况；机构数据交换情况，展示数据交换成功率以及与前一天的对比情况；机构数据质量合格情况，展示数据校验合格率以及与前一天的对比情况；评分趋势分析，展示近7日机构日评分趋势及近5周机构周评分趋势；数据校验评分分析，展示一周数据校验一致性、完整性、规范性、及时性的错误详细信息，便于追溯和查看错误详情，定位到具体错误的数据，进行纠正；数据质量近期处理情况，展示一周内处理前后得分对比情况；机构数据质量得分排名情况，展示各机构一致性、及时性、规范性、完整性得分以及综合得分排名情况。</w:t>
      </w:r>
    </w:p>
    <w:p w14:paraId="186E45C1">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可按照质控日期查看医疗卫生机构上传数据综合得分、专项考核扣分、实传/应传表数量，支持多维度数据校验，能够从一致性、完整性、规范性、及时性等多个维度对上传到平台的数据质量进行校验；支持查看校验明细及脚本，支持查看错误明细，支持按照机构、日期、业务表、规则维度、结果类型等条件查询校验明细，支持校验明细导出，</w:t>
      </w:r>
      <w:r>
        <w:rPr>
          <w:rFonts w:hint="eastAsia" w:ascii="宋体" w:hAnsi="宋体" w:cs="宋体"/>
          <w:b/>
          <w:bCs/>
          <w:sz w:val="24"/>
          <w:szCs w:val="22"/>
        </w:rPr>
        <w:t>需要提供系统功能界面截图证明</w:t>
      </w:r>
      <w:r>
        <w:rPr>
          <w:rFonts w:hint="eastAsia" w:ascii="宋体" w:hAnsi="宋体" w:cs="宋体"/>
          <w:b w:val="0"/>
          <w:sz w:val="24"/>
          <w:szCs w:val="22"/>
        </w:rPr>
        <w:t>。</w:t>
      </w:r>
    </w:p>
    <w:p w14:paraId="5976C4AB">
      <w:pPr>
        <w:pStyle w:val="6"/>
        <w:numPr>
          <w:ilvl w:val="4"/>
          <w:numId w:val="1"/>
        </w:numPr>
        <w:tabs>
          <w:tab w:val="left" w:pos="720"/>
          <w:tab w:val="clear" w:pos="1800"/>
        </w:tabs>
        <w:spacing w:before="0" w:after="0" w:line="360" w:lineRule="auto"/>
        <w:ind w:left="420" w:leftChars="200"/>
        <w:jc w:val="left"/>
        <w:rPr>
          <w:rFonts w:hint="eastAsia" w:ascii="宋体" w:hAnsi="宋体" w:cs="宋体"/>
          <w:b w:val="0"/>
          <w:sz w:val="24"/>
          <w:szCs w:val="22"/>
        </w:rPr>
      </w:pPr>
      <w:r>
        <w:rPr>
          <w:rFonts w:hint="eastAsia" w:ascii="宋体" w:hAnsi="宋体" w:cs="宋体"/>
          <w:b w:val="0"/>
          <w:sz w:val="24"/>
          <w:szCs w:val="22"/>
        </w:rPr>
        <w:t>▲需支持数据全链路监控，展示数据采集、质控、分发全链路整体运行情况，对运行异常环节进行报警，并支持查看历史监控记录，可通过颜色标注运行异常链路，在每个环节进行数据量的统计，监测任务单次同步数据量，并支持下钻，需</w:t>
      </w:r>
      <w:r>
        <w:rPr>
          <w:rFonts w:hint="eastAsia" w:ascii="宋体" w:hAnsi="宋体" w:cs="宋体"/>
          <w:b/>
          <w:bCs/>
          <w:sz w:val="24"/>
          <w:szCs w:val="22"/>
        </w:rPr>
        <w:t>要提供系统功能界面截图证明</w:t>
      </w:r>
      <w:r>
        <w:rPr>
          <w:rFonts w:hint="eastAsia" w:ascii="宋体" w:hAnsi="宋体" w:cs="宋体"/>
          <w:b w:val="0"/>
          <w:sz w:val="24"/>
          <w:szCs w:val="22"/>
        </w:rPr>
        <w:t>。</w:t>
      </w:r>
    </w:p>
    <w:p w14:paraId="3C63BFDE">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70" w:name="_Toc1017555916"/>
      <w:r>
        <w:rPr>
          <w:rFonts w:hint="eastAsia" w:ascii="宋体" w:hAnsi="宋体" w:cs="宋体"/>
          <w:b w:val="0"/>
          <w:bCs w:val="0"/>
          <w:sz w:val="24"/>
          <w:szCs w:val="24"/>
        </w:rPr>
        <w:t>医共体全生命周期健康档案</w:t>
      </w:r>
      <w:bookmarkEnd w:id="70"/>
    </w:p>
    <w:p w14:paraId="59C4892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医共体内患者的历史诊疗及公卫的记录进行整合，形成患者全生命周期健康档案。基于疾病知识库模型，充分挖掘医生和患者行为。根据重点人群的不同特性建立重点人群健康视图，为医疗服务和公共卫生服务提供数据共享。</w:t>
      </w:r>
    </w:p>
    <w:p w14:paraId="63CD9CE4">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需提供主要面向临床医生展示医共体患者全生命周期健康档案首页，内容包括患者基本信息、异常信息提醒、患者摘要信息、健康事件展示、首页信息展示配置等功能。</w:t>
      </w:r>
    </w:p>
    <w:p w14:paraId="6208B1DD">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需提供医共体内患者历史诊疗详情查看，包括历次诊疗、检查检验记录、门诊处方、手术记录、用血记录、住院病案首页、入院记录、住院医嘱、出院小结等信息。</w:t>
      </w:r>
    </w:p>
    <w:p w14:paraId="029C5FBA">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需提供医共体内患者各类体检信息查看，可以快速检索出相应的体检记录，并进行按照体检时间进行归类展示。</w:t>
      </w:r>
    </w:p>
    <w:p w14:paraId="44112063">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需提供医共体内患者详细健康状况查看，包括居民个人的基本档案、老年人保健、孕产妇保健、儿童保健、高血压管理、糖尿病管理、肿瘤管理、精神病管理、肺结核管理等信息。</w:t>
      </w:r>
    </w:p>
    <w:p w14:paraId="60144A2F">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需支持对医共体内患者在不同的生命周期如婴幼儿期、学龄期、青春期、青年期、中年期、年轻老年期、老年期、长寿老年期等不同阶段的医疗服务、公共卫生服务进行展示。</w:t>
      </w:r>
    </w:p>
    <w:p w14:paraId="056EE437">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需支持重点人群视图功能，支持根据重点人群所具有的不同特性建立可直观展示该类人群核心信息的健康档案视图，包括：孕产妇视图、儿童视图、高血压视图、糖尿病视图。</w:t>
      </w:r>
    </w:p>
    <w:p w14:paraId="0A35BE1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需支持为医护人员提供患者健康档案关注、收藏功能，在居民端提供健康档案收藏授权管理功能。</w:t>
      </w:r>
    </w:p>
    <w:p w14:paraId="4ACB37D9">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color w:val="auto"/>
          <w:sz w:val="24"/>
          <w:szCs w:val="24"/>
        </w:rPr>
      </w:pPr>
      <w:r>
        <w:rPr>
          <w:rFonts w:hint="eastAsia" w:ascii="宋体" w:hAnsi="宋体" w:cs="宋体"/>
          <w:b w:val="0"/>
          <w:bCs w:val="0"/>
          <w:color w:val="auto"/>
          <w:sz w:val="24"/>
          <w:szCs w:val="24"/>
        </w:rPr>
        <w:t>需支持通过调阅授权、数据脱敏、水印保护等手段，提升居民健康数据和隐私的安全性。</w:t>
      </w:r>
    </w:p>
    <w:p w14:paraId="712A6D73">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bookmarkStart w:id="71" w:name="_Toc1079397146"/>
      <w:r>
        <w:rPr>
          <w:rFonts w:hint="eastAsia" w:ascii="宋体" w:hAnsi="宋体" w:cs="宋体"/>
          <w:b w:val="0"/>
          <w:bCs w:val="0"/>
          <w:sz w:val="24"/>
          <w:szCs w:val="24"/>
        </w:rPr>
        <w:t>数据对接</w:t>
      </w:r>
    </w:p>
    <w:p w14:paraId="03B5CB05">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与市统建</w:t>
      </w:r>
      <w:r>
        <w:rPr>
          <w:rFonts w:ascii="宋体" w:hAnsi="宋体" w:cs="宋体"/>
          <w:b w:val="0"/>
          <w:bCs w:val="0"/>
          <w:sz w:val="24"/>
          <w:szCs w:val="24"/>
        </w:rPr>
        <w:t>/</w:t>
      </w:r>
      <w:r>
        <w:rPr>
          <w:rFonts w:hint="eastAsia" w:ascii="宋体" w:hAnsi="宋体" w:cs="宋体"/>
          <w:b w:val="0"/>
          <w:bCs w:val="0"/>
          <w:sz w:val="24"/>
          <w:szCs w:val="24"/>
        </w:rPr>
        <w:t>旗县区自建基层医疗信息系统接口</w:t>
      </w:r>
    </w:p>
    <w:p w14:paraId="703A2434">
      <w:pPr>
        <w:spacing w:line="360" w:lineRule="auto"/>
        <w:ind w:firstLine="480" w:firstLineChars="200"/>
        <w:rPr>
          <w:rFonts w:hint="eastAsia" w:ascii="宋体" w:hAnsi="宋体"/>
          <w:sz w:val="24"/>
        </w:rPr>
      </w:pPr>
      <w:r>
        <w:rPr>
          <w:rFonts w:hint="eastAsia" w:ascii="宋体" w:hAnsi="宋体"/>
          <w:sz w:val="24"/>
        </w:rPr>
        <w:t>医共体平台需完成与市统建基层医疗信息系统和旗县区自建的基层医疗信息系统对接。</w:t>
      </w:r>
    </w:p>
    <w:p w14:paraId="018BD13C">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与市统建公卫系统接口</w:t>
      </w:r>
    </w:p>
    <w:p w14:paraId="6BE6A57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医共体平台需完成与呼和浩特市统建的基本公卫信息系统对接。</w:t>
      </w:r>
    </w:p>
    <w:p w14:paraId="0A66A8B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医共体平台需完成与呼和浩特市统建的家医签约信息系统对接。</w:t>
      </w:r>
    </w:p>
    <w:p w14:paraId="1F6240E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与各医共体成员医院信息系统接口</w:t>
      </w:r>
    </w:p>
    <w:p w14:paraId="175FC285">
      <w:pPr>
        <w:spacing w:line="360" w:lineRule="auto"/>
        <w:ind w:firstLine="480" w:firstLineChars="200"/>
        <w:rPr>
          <w:rFonts w:hint="eastAsia" w:ascii="宋体" w:hAnsi="宋体"/>
          <w:sz w:val="24"/>
        </w:rPr>
      </w:pPr>
      <w:r>
        <w:rPr>
          <w:rFonts w:hint="eastAsia" w:ascii="宋体" w:hAnsi="宋体"/>
          <w:sz w:val="24"/>
        </w:rPr>
        <w:t>医共体平台需完成与各旗县区医共体内成员医院信息系统对接。具体对接成员医院机构包括：新城区医院、回民区医院、玉泉区红十字医院、玉泉区中蒙医院、赛罕区人民医院、赛罕区第二人民医院、土左旗人民医院、土左旗中蒙医院、托克托县医院、托克托县中蒙医院、和林县人民医院、和林县中蒙医院、清水河县医院、清水河中蒙医院、武川县医院、武川县中蒙医院。</w:t>
      </w:r>
    </w:p>
    <w:p w14:paraId="4FB6266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与平台接口</w:t>
      </w:r>
    </w:p>
    <w:p w14:paraId="19ED3A0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医共体平台需完成与呼和浩特市医共体监测平台对接。</w:t>
      </w:r>
    </w:p>
    <w:p w14:paraId="3CD8FAB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医共体平台需完成与旗县区自建医共体平台进行对接。具体对接旗县区医共体平台包括：托克托县医共体信息平台、清水河县医共体信息平台、武川县医共体信息平台。</w:t>
      </w:r>
    </w:p>
    <w:p w14:paraId="6B17DB5B">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与旗县区已建系统接口</w:t>
      </w:r>
    </w:p>
    <w:p w14:paraId="0D4722D4">
      <w:pPr>
        <w:spacing w:line="360" w:lineRule="auto"/>
        <w:ind w:firstLine="480"/>
        <w:rPr>
          <w:rFonts w:hint="eastAsia" w:asciiTheme="minorEastAsia" w:hAnsiTheme="minorEastAsia" w:cstheme="minorEastAsia"/>
          <w:sz w:val="24"/>
        </w:rPr>
      </w:pPr>
      <w:r>
        <w:rPr>
          <w:rFonts w:hint="eastAsia" w:asciiTheme="minorEastAsia" w:hAnsiTheme="minorEastAsia" w:cstheme="minorEastAsia"/>
          <w:sz w:val="24"/>
        </w:rPr>
        <w:t>医共体平台需完成与各旗县区已建协同业务系统对接。具体对接协同业务系统包括：</w:t>
      </w:r>
    </w:p>
    <w:p w14:paraId="7D0FE0B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土左旗接入“智慧医助系统、区域影像诊断中心”；</w:t>
      </w:r>
    </w:p>
    <w:p w14:paraId="652D24D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基于托克托县医共体信息平台接入“云LIS系统、云PACS系统、区域远程会诊系统、双向转诊系统、区域医学检验中心、区域影像诊断中心、区域心电诊断中心、专慢病协同防治系统、HRP系统”；</w:t>
      </w:r>
    </w:p>
    <w:p w14:paraId="0FEC6F0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和林县接入“云LIS系统、云PACS系统、合理用药、区域医学检验中心、区域影像诊断中心、HRP系统”；</w:t>
      </w:r>
    </w:p>
    <w:p w14:paraId="7C6C4E9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基于清水河县医共体信息平台接入“云LIS系统、云PACS系统、区域远程门诊系统、区域远程会诊系统、双向转诊系统、 处方点评、智慧医助系统、区域医学检验中心、区域影像诊断中心、区域心电诊断中心、HRP系统、绩效考核系统”；</w:t>
      </w:r>
    </w:p>
    <w:p w14:paraId="620FB1A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基于武川县医共体信息平台接入“智慧医助系统、区域医学检验中心、区域影像诊断中心、区域心电诊断中心”；</w:t>
      </w:r>
    </w:p>
    <w:p w14:paraId="0F2003F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新城区接入“云LIS系统、云PACS系统、智慧医助系统”；</w:t>
      </w:r>
    </w:p>
    <w:p w14:paraId="5A4473C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回民区接入“智慧医助系统、区域心电诊断中心”；</w:t>
      </w:r>
    </w:p>
    <w:p w14:paraId="0F1A150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玉泉区接入“智慧医助系统”；</w:t>
      </w:r>
    </w:p>
    <w:p w14:paraId="76A5537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赛罕区接入“云LIS系统、云PACS系统、区域远程门诊系统、区域远程会诊系统、双向转诊系统、智慧医助系统、区域影像诊断中心、区域心电诊断中心”。</w:t>
      </w:r>
    </w:p>
    <w:p w14:paraId="3F7F85E6">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与系统建设过程中涉及的其它系统对接</w:t>
      </w:r>
    </w:p>
    <w:p w14:paraId="1A408CAB">
      <w:pPr>
        <w:spacing w:line="360" w:lineRule="auto"/>
        <w:ind w:firstLine="480" w:firstLineChars="200"/>
        <w:rPr>
          <w:rFonts w:hint="eastAsia" w:ascii="宋体" w:hAnsi="宋体"/>
          <w:sz w:val="24"/>
        </w:rPr>
      </w:pPr>
      <w:r>
        <w:rPr>
          <w:rFonts w:hint="eastAsia" w:ascii="宋体" w:hAnsi="宋体"/>
          <w:sz w:val="24"/>
        </w:rPr>
        <w:t>医共体平台需完成与系统建设过程中涉及的其它系统对接。</w:t>
      </w:r>
    </w:p>
    <w:p w14:paraId="396133DE">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对接接口费用由中标单位承担</w:t>
      </w:r>
    </w:p>
    <w:p w14:paraId="610FAAE1">
      <w:pPr>
        <w:pStyle w:val="2"/>
        <w:numPr>
          <w:ilvl w:val="0"/>
          <w:numId w:val="4"/>
        </w:numPr>
        <w:spacing w:before="0" w:after="0" w:line="360" w:lineRule="auto"/>
        <w:jc w:val="left"/>
        <w:outlineLvl w:val="1"/>
        <w:rPr>
          <w:rFonts w:hint="eastAsia"/>
          <w:b/>
          <w:bCs/>
          <w:sz w:val="28"/>
          <w:szCs w:val="28"/>
        </w:rPr>
      </w:pPr>
      <w:r>
        <w:rPr>
          <w:rFonts w:hint="eastAsia"/>
          <w:b/>
          <w:bCs/>
          <w:sz w:val="28"/>
          <w:szCs w:val="28"/>
        </w:rPr>
        <w:t>数据资源系统</w:t>
      </w:r>
      <w:bookmarkEnd w:id="71"/>
    </w:p>
    <w:p w14:paraId="0E6E2BAB">
      <w:pPr>
        <w:pStyle w:val="27"/>
        <w:widowControl/>
        <w:numPr>
          <w:ilvl w:val="0"/>
          <w:numId w:val="5"/>
        </w:numPr>
        <w:tabs>
          <w:tab w:val="left" w:pos="720"/>
        </w:tabs>
        <w:spacing w:line="360" w:lineRule="auto"/>
        <w:ind w:left="1063" w:firstLine="0"/>
        <w:jc w:val="left"/>
        <w:outlineLvl w:val="1"/>
        <w:rPr>
          <w:rFonts w:hint="eastAsia" w:ascii="宋体" w:hAnsi="宋体" w:cs="宋体"/>
          <w:vanish/>
          <w:sz w:val="24"/>
        </w:rPr>
      </w:pPr>
    </w:p>
    <w:p w14:paraId="311B74C6">
      <w:pPr>
        <w:pStyle w:val="25"/>
        <w:numPr>
          <w:ilvl w:val="1"/>
          <w:numId w:val="5"/>
        </w:numPr>
        <w:spacing w:before="0" w:beforeLines="0" w:after="0" w:afterLines="0" w:line="360" w:lineRule="auto"/>
        <w:ind w:left="0" w:firstLine="0"/>
        <w:rPr>
          <w:rFonts w:hint="eastAsia"/>
          <w:b w:val="0"/>
          <w:bCs w:val="0"/>
          <w:sz w:val="24"/>
          <w:szCs w:val="24"/>
        </w:rPr>
      </w:pPr>
      <w:r>
        <w:rPr>
          <w:rFonts w:hint="eastAsia"/>
          <w:b w:val="0"/>
          <w:bCs w:val="0"/>
          <w:sz w:val="24"/>
          <w:szCs w:val="24"/>
        </w:rPr>
        <w:t>平台需集成辖区内全量的医疗健康数据，这些数据可能来自医疗机构、公共卫生机构、健康管理机构等，包括临床数据、健康档案、公共卫生等数据。如何有效地整合来自不同医疗机构和服务提供者的异构数据，以实现辖区内数据的统一和标准化，是平台的首要任务。</w:t>
      </w:r>
    </w:p>
    <w:p w14:paraId="055B8D26">
      <w:pPr>
        <w:pStyle w:val="3"/>
        <w:keepNext w:val="0"/>
        <w:keepLines w:val="0"/>
        <w:widowControl/>
        <w:numPr>
          <w:ilvl w:val="1"/>
          <w:numId w:val="5"/>
        </w:numPr>
        <w:tabs>
          <w:tab w:val="left" w:pos="720"/>
        </w:tabs>
        <w:spacing w:before="0" w:after="0" w:line="360" w:lineRule="auto"/>
        <w:ind w:left="0" w:firstLine="0"/>
        <w:rPr>
          <w:rFonts w:hint="eastAsia" w:ascii="宋体" w:hAnsi="宋体" w:cs="宋体"/>
          <w:b w:val="0"/>
          <w:bCs w:val="0"/>
          <w:sz w:val="24"/>
          <w:szCs w:val="24"/>
        </w:rPr>
      </w:pPr>
      <w:r>
        <w:rPr>
          <w:rFonts w:hint="eastAsia" w:ascii="宋体" w:hAnsi="宋体" w:cs="宋体"/>
          <w:b w:val="0"/>
          <w:bCs w:val="0"/>
          <w:sz w:val="24"/>
          <w:szCs w:val="24"/>
        </w:rPr>
        <w:t>数据资源系统严格遵循国家颁布的相关标准规范，建立全市统一的信息标准规范体系，对平台汇聚的医疗卫生数据相关标准以及平台对外交互规规范进行约束，同时在标准体系的基础上，实现对汇聚数据的全生命周期管理。</w:t>
      </w:r>
    </w:p>
    <w:p w14:paraId="2442ADA5">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72" w:name="_Toc1633466613"/>
      <w:r>
        <w:rPr>
          <w:rFonts w:hint="eastAsia" w:ascii="宋体" w:hAnsi="宋体" w:cs="宋体"/>
          <w:b w:val="0"/>
          <w:bCs w:val="0"/>
          <w:sz w:val="24"/>
          <w:szCs w:val="24"/>
        </w:rPr>
        <w:t>标准规范体系</w:t>
      </w:r>
      <w:bookmarkEnd w:id="72"/>
    </w:p>
    <w:p w14:paraId="2D0C4751">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遵循国际、国家和行业的相关指导、功能规范及数据标准，对平台数据集、数据元、数据元值域、术语、字典、交互服务进行约束，制定符合本市医共体平台的标准规范体系。</w:t>
      </w:r>
    </w:p>
    <w:p w14:paraId="4B18C6FE">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参考依据</w:t>
      </w:r>
    </w:p>
    <w:p w14:paraId="1096CC9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《WS 364-2011 卫生信息数据元值域代码》</w:t>
      </w:r>
    </w:p>
    <w:p w14:paraId="0432F62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《GB/T 14946-2009全国干部、人事管理信息系统指标体系与数据结构》</w:t>
      </w:r>
    </w:p>
    <w:p w14:paraId="3218F17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《GB/T 2659世界各国和地区名称代码》</w:t>
      </w:r>
    </w:p>
    <w:p w14:paraId="01F4DCF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《GB/T 2260 中华人民共和国行政区划代码》</w:t>
      </w:r>
    </w:p>
    <w:p w14:paraId="29CCDA8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《WS 218-2002 卫生机构（组织）分类与代码》</w:t>
      </w:r>
    </w:p>
    <w:p w14:paraId="32E9144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《ICD-10 国际疾病分类标准编码》</w:t>
      </w:r>
    </w:p>
    <w:p w14:paraId="32BB324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《ICD-9-CM-3 国际疾病分类手术码》</w:t>
      </w:r>
    </w:p>
    <w:p w14:paraId="52854CE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《T/CHIA 001-2017手术、操作分类与代码》</w:t>
      </w:r>
    </w:p>
    <w:p w14:paraId="5EE4E63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《药品分类代码》</w:t>
      </w:r>
    </w:p>
    <w:p w14:paraId="0E613FE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《WS∕T 482-2016 卫生信息共享文档编制规范》</w:t>
      </w:r>
    </w:p>
    <w:p w14:paraId="43DC311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《WS/T 363—2023 卫生健康信息数据元目录》</w:t>
      </w:r>
    </w:p>
    <w:p w14:paraId="715337F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《关于全面推进紧密型县域医疗卫生共同体建设的指导意见》</w:t>
      </w:r>
    </w:p>
    <w:p w14:paraId="2096A99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《县域医共体信息化建设指南（征求意见稿）》</w:t>
      </w:r>
    </w:p>
    <w:p w14:paraId="4EF4DBC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《紧密型县域医疗卫生共同体建设监测指标体系（试行）》</w:t>
      </w:r>
    </w:p>
    <w:p w14:paraId="22A1081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《省统筹区域人口健康信息平台应用功能指引》</w:t>
      </w:r>
    </w:p>
    <w:p w14:paraId="16BF175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《区域全民健康信息平台功能设计指导》</w:t>
      </w:r>
    </w:p>
    <w:p w14:paraId="3BEE5F8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《全民健康信息四级平台互联互通技术方案》</w:t>
      </w:r>
    </w:p>
    <w:p w14:paraId="42D3CDD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《基于居民健康档案的区域卫生信息平台建设技术解决方案》</w:t>
      </w:r>
    </w:p>
    <w:p w14:paraId="528C2DA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《基于健康档案的区域卫生信息平台建设指南》</w:t>
      </w:r>
    </w:p>
    <w:p w14:paraId="66C0789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《IHE医疗信息系统集成规范》</w:t>
      </w:r>
    </w:p>
    <w:p w14:paraId="00DF550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《医疗信息交换标准HL7》</w:t>
      </w:r>
    </w:p>
    <w:p w14:paraId="12CCF5E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标准体系建设</w:t>
      </w:r>
    </w:p>
    <w:p w14:paraId="5C01B5D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遵循国际、国家和行业等数据标准中定义的数据集、数据元、数据元值域、术语、主数据、共享文档，并结合区域实际标准情况，制定符合本区域的标准规范体系。</w:t>
      </w:r>
    </w:p>
    <w:p w14:paraId="48AAF80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数据集标准需支持对汇聚的医疗卫生数据进行分类并按相关标准加以约束，包括电子病历、健康档案、数据交换、全员人口等类别；</w:t>
      </w:r>
    </w:p>
    <w:p w14:paraId="61F9F5C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数据元标准支持对汇聚的卫生信息数据元的数据元标识符、数据元名称、定义、数据元值的数据类型、表示格式和数据元允许值等属性进行定义；</w:t>
      </w:r>
    </w:p>
    <w:p w14:paraId="4D56362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数据元值域标准需支持对汇聚的卫生信息数据元的值域代码及值域名称进行定义；</w:t>
      </w:r>
    </w:p>
    <w:p w14:paraId="7F681064">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主数据标准需支持对汇聚的卫生机构、卫生人员、术语字典、行政区划等主数据进行约束。</w:t>
      </w:r>
    </w:p>
    <w:p w14:paraId="5649BC3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需支持对平台系统架构、功能、服务进行约束；</w:t>
      </w:r>
    </w:p>
    <w:p w14:paraId="65C5AB5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需支持对平台与接入的各级医疗卫生机构、医疗卫生应用系统及服务组件间的信息交互与共享的标准进行规范。</w:t>
      </w:r>
    </w:p>
    <w:p w14:paraId="6B4B3F5C">
      <w:pPr>
        <w:pStyle w:val="3"/>
        <w:keepNext w:val="0"/>
        <w:keepLines w:val="0"/>
        <w:widowControl/>
        <w:numPr>
          <w:ilvl w:val="1"/>
          <w:numId w:val="5"/>
        </w:numPr>
        <w:tabs>
          <w:tab w:val="left" w:pos="720"/>
        </w:tabs>
        <w:spacing w:before="0" w:after="0" w:line="360" w:lineRule="auto"/>
        <w:ind w:left="0" w:firstLine="0"/>
        <w:outlineLvl w:val="2"/>
        <w:rPr>
          <w:rFonts w:hint="eastAsia" w:ascii="宋体" w:hAnsi="宋体" w:cs="宋体"/>
          <w:b w:val="0"/>
          <w:bCs w:val="0"/>
          <w:sz w:val="24"/>
          <w:szCs w:val="24"/>
        </w:rPr>
      </w:pPr>
      <w:bookmarkStart w:id="73" w:name="_Toc242421443"/>
      <w:r>
        <w:rPr>
          <w:rFonts w:hint="eastAsia" w:ascii="宋体" w:hAnsi="宋体" w:cs="宋体"/>
          <w:b w:val="0"/>
          <w:bCs w:val="0"/>
          <w:sz w:val="24"/>
          <w:szCs w:val="24"/>
        </w:rPr>
        <w:t>数据资源中心</w:t>
      </w:r>
      <w:bookmarkEnd w:id="73"/>
    </w:p>
    <w:p w14:paraId="40CA97F2">
      <w:pPr>
        <w:pStyle w:val="4"/>
        <w:framePr w:hSpace="0" w:wrap="auto" w:vAnchor="margin" w:hAnchor="text" w:xAlign="left" w:yAlign="inline"/>
        <w:numPr>
          <w:ilvl w:val="2"/>
          <w:numId w:val="1"/>
        </w:numPr>
        <w:tabs>
          <w:tab w:val="clear" w:pos="1647"/>
        </w:tabs>
        <w:spacing w:before="0" w:after="0" w:line="360" w:lineRule="auto"/>
        <w:jc w:val="left"/>
        <w:rPr>
          <w:rFonts w:hint="eastAsia" w:ascii="宋体" w:hAnsi="宋体" w:cs="宋体"/>
          <w:b w:val="0"/>
          <w:bCs w:val="0"/>
          <w:sz w:val="24"/>
          <w:szCs w:val="24"/>
        </w:rPr>
      </w:pPr>
      <w:r>
        <w:rPr>
          <w:rFonts w:hint="eastAsia" w:ascii="宋体" w:hAnsi="宋体" w:cs="宋体"/>
          <w:b w:val="0"/>
          <w:bCs w:val="0"/>
          <w:sz w:val="24"/>
          <w:szCs w:val="24"/>
        </w:rPr>
        <w:t>数据资源中心是医共体平台的核心，数据资源中心按照平台标准体系将平台汇聚的医疗卫生数据进行统一存储和管理，实现区域内还可提供跨地域的数据共享与访问服务。数据资源中心从功能定位出发，将汇聚的医疗卫生数据进行分类，一方面围绕居民、医疗卫生机构支撑医疗卫生服务，另一方面围绕医共体管理者支撑卫生决策分析，包括：基础信息库、居民信息库、健康档案库、临床诊疗库、卫生资源库。</w:t>
      </w:r>
    </w:p>
    <w:p w14:paraId="3733EB91">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基础信息库</w:t>
      </w:r>
    </w:p>
    <w:p w14:paraId="5DE0EC8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支持对区域内所有行政区划、科室、术语字典、数据集及标准规范信息进行存储；</w:t>
      </w:r>
    </w:p>
    <w:p w14:paraId="18DF8CA8">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行政区划信息包括行政区划名称、行政区划编码等相关信息；</w:t>
      </w:r>
    </w:p>
    <w:p w14:paraId="5323BBA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科室信息包括机构名称、科室名称、科室代码等相关信息；</w:t>
      </w:r>
    </w:p>
    <w:p w14:paraId="1CE3FA5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术语字典包括药品目录、项目目录、材料目录、手术目录、诊断目录、科室目录等相关信息；</w:t>
      </w:r>
    </w:p>
    <w:p w14:paraId="7106FC2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数据集包括数据集、数据元等相关信息；</w:t>
      </w:r>
    </w:p>
    <w:p w14:paraId="340407E9">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标准规范信息包括平台采用各类标准规范，含采集交换标准、数据集标准等。</w:t>
      </w:r>
    </w:p>
    <w:p w14:paraId="19B041D9">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居民信息库</w:t>
      </w:r>
    </w:p>
    <w:p w14:paraId="19DAF14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需支持对区域内所有户籍人口和流入人口的全员人口档案数据进行存储，支持对区域内从出生到死亡的人口数据进行实时动态更新；</w:t>
      </w:r>
    </w:p>
    <w:p w14:paraId="7F66392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需支持对家庭信息、姓名、性别、年龄、户籍所在地、年龄、家庭地址、工作单位等居民信息进行存储；</w:t>
      </w:r>
    </w:p>
    <w:p w14:paraId="0FAAA41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需支持对家庭编码、配偶编码、子女姓名、子女性别、子女出生日期、子女当前健康状况等家庭子女信息进行存储；</w:t>
      </w:r>
    </w:p>
    <w:p w14:paraId="2066F9E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需支持对家庭编码、婚姻状况、配偶编码、配偶姓名、初婚日期等婚姻信息进行存储。</w:t>
      </w:r>
    </w:p>
    <w:p w14:paraId="298EC993">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健康档案库</w:t>
      </w:r>
    </w:p>
    <w:p w14:paraId="65D7C306">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遵循《健康档案基本架构与数据标准（试行）》《WS 365-2011城乡居民健康档案基本数据集》《WS 364-2011 卫生信息数据元值域代码》《WS 363-2011卫生信息数据元目录》及相关标准，根据健康档案的基本概念和系统架构建设健康档案基础资源库，包括居民健康档案信息、公共卫生数据、临床诊疗信息；</w:t>
      </w:r>
    </w:p>
    <w:p w14:paraId="2161A6FB">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档案信息包括居民基础信息、孕产妇保健信息、婴幼儿保健信息、规划免疫信息、诊疗信息、康复管理信息、慢性病专项档案信息、重大传染病专项信息、生命事件等信息的电子健康档案系统。主要包括以下内容：个人基本信息、健康体检、新生儿家庭访视、儿童健康体检、产前随访、产后访视、产后42天健康检查、预防接种卡、传染病报告卡、食源性疾病报告卡、高血压患者随访、2型糖尿病患者随访、严重精神障碍患者管理、门诊摘要、住院摘要、会诊信息、转诊（院）信息。</w:t>
      </w:r>
    </w:p>
    <w:p w14:paraId="3A4FB0F1">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临床诊疗库</w:t>
      </w:r>
    </w:p>
    <w:p w14:paraId="1E43EB8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遵循《WS 445-2014电子病历基本数据集》《电子病历基本架构与数据标准（试行）》《病历书写基本规范》《电子病历基本规范（试行）》《中医、中西医结合病历书写基本规范（试行）》相关要求，包括病历概要、门（急）诊诊疗记录、住院诊疗记录、健康体检记录、转诊（院）记录、法定医学证明及报告、医疗机构信息等七个业务域的临床信息。</w:t>
      </w:r>
    </w:p>
    <w:p w14:paraId="2EAED1E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病历概要需支持对患者基本信息、基本健康信息、卫生事件摘要、医疗费用记录等内容进行存储；</w:t>
      </w:r>
    </w:p>
    <w:p w14:paraId="03B6CE6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患者基本信息包括人口学信息、亲属（联系人）信息、社会保障信息和个体生物学标识等；</w:t>
      </w:r>
    </w:p>
    <w:p w14:paraId="17181BB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基本健康信息包括现病史、既往病史（如疾病史、手术史、输血史、用药史）、免疫史、过敏史、月经史、生育史、家族史、职业病史、残疾情况等。</w:t>
      </w:r>
    </w:p>
    <w:p w14:paraId="12EBB8A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卫生事件摘要包括指患者在医疗机构历次就诊所发生的医疗服务活动（卫生事件）摘要信息，包括卫生事件名称、类别、时间、地点、结局等信息。</w:t>
      </w:r>
    </w:p>
    <w:p w14:paraId="7816FC6F">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医疗费用记录包括指患者在医疗机构历次就诊所发生的医疗费用摘要信息；</w:t>
      </w:r>
    </w:p>
    <w:p w14:paraId="24DF298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门（急）诊诊疗记录支持对门（急）诊病历、门（急）诊处方、检查检验记录等内容进行存储；</w:t>
      </w:r>
    </w:p>
    <w:p w14:paraId="20482B6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门（急）诊病历包括门（急）诊病历、急诊留观病历；</w:t>
      </w:r>
    </w:p>
    <w:p w14:paraId="0BB50933">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门（急）诊处方包括西医处方和中医处方；</w:t>
      </w:r>
    </w:p>
    <w:p w14:paraId="3B2E9EA7">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检查检验记录包括超声、放射、核医学、内窥镜、病理、心电图、脑电图、肌电图、胃肠动力、肺功能、睡眠呼吸监测等各类医学检查记录，以及临床血液、体液、生化、免疫、微生物、分子生物学等各类医学检验记录；</w:t>
      </w:r>
    </w:p>
    <w:p w14:paraId="06893E3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住院诊疗记录支持对住院病案首页、住院日志、住院病程记录、住院医嘱、检查检验记录、出院记录等内容进行存储；</w:t>
      </w:r>
    </w:p>
    <w:p w14:paraId="5A23A94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住院病案首页包括住院病案首页和中医住院病案首页；</w:t>
      </w:r>
    </w:p>
    <w:p w14:paraId="2520F915">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住院日志包括入院记录、24小时内入出院记录、24小时内入院死亡记录等；</w:t>
      </w:r>
    </w:p>
    <w:p w14:paraId="7D0065A1">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outlineLvl w:val="4"/>
        <w:rPr>
          <w:rFonts w:hint="eastAsia" w:ascii="宋体" w:hAnsi="宋体" w:cs="宋体"/>
          <w:b w:val="0"/>
          <w:bCs w:val="0"/>
          <w:sz w:val="24"/>
          <w:szCs w:val="22"/>
        </w:rPr>
      </w:pPr>
      <w:r>
        <w:rPr>
          <w:rFonts w:hint="eastAsia" w:ascii="宋体" w:hAnsi="宋体" w:cs="宋体"/>
          <w:b w:val="0"/>
          <w:bCs w:val="0"/>
          <w:sz w:val="24"/>
          <w:szCs w:val="22"/>
        </w:rPr>
        <w:t>住院医嘱包括长期医嘱和临时医嘱；</w:t>
      </w:r>
    </w:p>
    <w:p w14:paraId="1347CAE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检查检验记录包括超声、放射、核医学、内窥镜、病理、心电图、脑电图、肌电图、胃肠动力、肺功能、睡眠呼吸监测等各类医学检查记录，以及临床血液、体液、生化、免疫、微生物、分子生物学等各类医学检验记录；</w:t>
      </w:r>
    </w:p>
    <w:p w14:paraId="443EB0BE">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健康体检记录支持对医疗机构开展的以健康监测、预防保健为主要目的（非因病就诊）的一般常规健康体检信息进行存储；</w:t>
      </w:r>
    </w:p>
    <w:p w14:paraId="340F39CC">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转诊（院）记录支持对医疗机构之间进行患者转诊（转入或转出）信息进行存储。</w:t>
      </w:r>
    </w:p>
    <w:p w14:paraId="4729199B">
      <w:pPr>
        <w:pStyle w:val="4"/>
        <w:framePr w:hSpace="0" w:wrap="auto" w:vAnchor="margin" w:hAnchor="text" w:xAlign="left" w:yAlign="inline"/>
        <w:numPr>
          <w:ilvl w:val="2"/>
          <w:numId w:val="1"/>
        </w:numPr>
        <w:tabs>
          <w:tab w:val="clear" w:pos="1647"/>
        </w:tabs>
        <w:spacing w:before="0" w:after="0" w:line="360" w:lineRule="auto"/>
        <w:jc w:val="left"/>
        <w:outlineLvl w:val="3"/>
        <w:rPr>
          <w:rFonts w:hint="eastAsia" w:ascii="宋体" w:hAnsi="宋体" w:cs="宋体"/>
          <w:b w:val="0"/>
          <w:bCs w:val="0"/>
          <w:sz w:val="24"/>
          <w:szCs w:val="24"/>
        </w:rPr>
      </w:pPr>
      <w:r>
        <w:rPr>
          <w:rFonts w:hint="eastAsia" w:ascii="宋体" w:hAnsi="宋体" w:cs="宋体"/>
          <w:b w:val="0"/>
          <w:bCs w:val="0"/>
          <w:sz w:val="24"/>
          <w:szCs w:val="24"/>
        </w:rPr>
        <w:t>卫生资源库</w:t>
      </w:r>
    </w:p>
    <w:p w14:paraId="0EC828A0">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需支持对区域各医疗类卫生机构、人员、设备等医疗卫生资源信息进行存储；</w:t>
      </w:r>
    </w:p>
    <w:p w14:paraId="2FCB4962">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医疗卫生机构信息包括本区域内所有二三级医院、社区卫生服务中心、疾病预防控制中心、卫生监督所、妇幼保健所相关信息，平台需支持为每个机构分配唯一标识；</w:t>
      </w:r>
    </w:p>
    <w:p w14:paraId="24CB047A">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疗卫生人员信息包括本区域内所有全科医生、专科医生、护士、实验室医师、医学影像专业人员、疾病预防控制专业人员及其他从事与医疗卫生管理服务相关的从业人员相关信息，平台需支持为每一位医疗卫生人员分配唯一标识；</w:t>
      </w:r>
    </w:p>
    <w:p w14:paraId="1B7787ED">
      <w:pPr>
        <w:pStyle w:val="5"/>
        <w:keepNext w:val="0"/>
        <w:keepLines w:val="0"/>
        <w:framePr w:hSpace="0" w:wrap="auto" w:vAnchor="margin" w:hAnchor="text" w:xAlign="left" w:yAlign="inline"/>
        <w:widowControl/>
        <w:numPr>
          <w:ilvl w:val="3"/>
          <w:numId w:val="1"/>
        </w:numPr>
        <w:tabs>
          <w:tab w:val="clear" w:pos="1440"/>
        </w:tabs>
        <w:spacing w:before="0" w:after="0" w:line="360" w:lineRule="auto"/>
        <w:jc w:val="left"/>
        <w:rPr>
          <w:rFonts w:hint="eastAsia" w:ascii="宋体" w:hAnsi="宋体" w:cs="宋体"/>
          <w:b w:val="0"/>
          <w:bCs w:val="0"/>
          <w:sz w:val="24"/>
          <w:szCs w:val="22"/>
        </w:rPr>
      </w:pPr>
      <w:r>
        <w:rPr>
          <w:rFonts w:hint="eastAsia" w:ascii="宋体" w:hAnsi="宋体" w:cs="宋体"/>
          <w:b w:val="0"/>
          <w:bCs w:val="0"/>
          <w:sz w:val="24"/>
          <w:szCs w:val="22"/>
        </w:rPr>
        <w:t>医疗卫生设备信息包括本区域内所有医疗机构和公共卫生机构的医疗卫生设备相关信息，平台需支持为每个设备分配唯一标识。</w:t>
      </w:r>
    </w:p>
    <w:p w14:paraId="53A64D23">
      <w:pPr>
        <w:spacing w:line="360" w:lineRule="auto"/>
        <w:jc w:val="left"/>
        <w:rPr>
          <w:rFonts w:hint="eastAsia" w:ascii="宋体" w:hAnsi="宋体" w:cs="宋体"/>
          <w:b/>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C91E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16A40B">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16A40B">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E76BC"/>
    <w:multiLevelType w:val="singleLevel"/>
    <w:tmpl w:val="E5EE76BC"/>
    <w:lvl w:ilvl="0" w:tentative="0">
      <w:start w:val="6"/>
      <w:numFmt w:val="chineseCounting"/>
      <w:suff w:val="space"/>
      <w:lvlText w:val="%1、"/>
      <w:lvlJc w:val="left"/>
      <w:rPr>
        <w:rFonts w:hint="eastAsia"/>
      </w:rPr>
    </w:lvl>
  </w:abstractNum>
  <w:abstractNum w:abstractNumId="1">
    <w:nsid w:val="E7BC8C9D"/>
    <w:multiLevelType w:val="singleLevel"/>
    <w:tmpl w:val="E7BC8C9D"/>
    <w:lvl w:ilvl="0" w:tentative="0">
      <w:start w:val="1"/>
      <w:numFmt w:val="decimal"/>
      <w:lvlText w:val="%1."/>
      <w:lvlJc w:val="left"/>
      <w:pPr>
        <w:ind w:left="425" w:hanging="425"/>
      </w:pPr>
      <w:rPr>
        <w:rFonts w:hint="default"/>
      </w:rPr>
    </w:lvl>
  </w:abstractNum>
  <w:abstractNum w:abstractNumId="2">
    <w:nsid w:val="4EEA38C0"/>
    <w:multiLevelType w:val="multilevel"/>
    <w:tmpl w:val="4EEA38C0"/>
    <w:lvl w:ilvl="0" w:tentative="0">
      <w:start w:val="1"/>
      <w:numFmt w:val="decimal"/>
      <w:lvlText w:val="第%1章"/>
      <w:lvlJc w:val="center"/>
      <w:pPr>
        <w:tabs>
          <w:tab w:val="left" w:pos="720"/>
        </w:tabs>
      </w:pPr>
      <w:rPr>
        <w:rFonts w:hint="eastAsia"/>
        <w:color w:val="000000"/>
      </w:rPr>
    </w:lvl>
    <w:lvl w:ilvl="1" w:tentative="0">
      <w:start w:val="1"/>
      <w:numFmt w:val="decimal"/>
      <w:pStyle w:val="25"/>
      <w:lvlText w:val="%1.%2"/>
      <w:lvlJc w:val="left"/>
      <w:pPr>
        <w:tabs>
          <w:tab w:val="left" w:pos="720"/>
        </w:tabs>
        <w:ind w:left="200" w:hanging="200"/>
      </w:pPr>
      <w:rPr>
        <w:rFonts w:hint="eastAsia" w:ascii="宋体" w:hAnsi="宋体" w:eastAsia="宋体"/>
      </w:rPr>
    </w:lvl>
    <w:lvl w:ilvl="2" w:tentative="0">
      <w:start w:val="1"/>
      <w:numFmt w:val="decimal"/>
      <w:pStyle w:val="24"/>
      <w:lvlText w:val="%1.%2.%3"/>
      <w:lvlJc w:val="left"/>
      <w:pPr>
        <w:tabs>
          <w:tab w:val="left" w:pos="1647"/>
        </w:tabs>
      </w:pPr>
      <w:rPr>
        <w:rFonts w:hint="eastAsia"/>
      </w:rPr>
    </w:lvl>
    <w:lvl w:ilvl="3" w:tentative="0">
      <w:start w:val="1"/>
      <w:numFmt w:val="decimal"/>
      <w:pStyle w:val="23"/>
      <w:lvlText w:val="%1.%2.%3.%4"/>
      <w:lvlJc w:val="left"/>
      <w:pPr>
        <w:tabs>
          <w:tab w:val="left" w:pos="1440"/>
        </w:tabs>
      </w:pPr>
      <w:rPr>
        <w:rFonts w:hint="eastAsia"/>
      </w:rPr>
    </w:lvl>
    <w:lvl w:ilvl="4" w:tentative="0">
      <w:start w:val="1"/>
      <w:numFmt w:val="decimal"/>
      <w:lvlText w:val="%1.%2.%3.%4.%5"/>
      <w:lvlJc w:val="left"/>
      <w:pPr>
        <w:tabs>
          <w:tab w:val="left" w:pos="1800"/>
        </w:tabs>
      </w:pPr>
      <w:rPr>
        <w:rFonts w:hint="eastAsia"/>
      </w:rPr>
    </w:lvl>
    <w:lvl w:ilvl="5" w:tentative="0">
      <w:start w:val="1"/>
      <w:numFmt w:val="decimal"/>
      <w:lvlText w:val="%1.%2.%3.%4.%5.%6"/>
      <w:lvlJc w:val="left"/>
      <w:pPr>
        <w:tabs>
          <w:tab w:val="left" w:pos="4149"/>
        </w:tabs>
        <w:ind w:left="2709"/>
      </w:pPr>
      <w:rPr>
        <w:rFonts w:hint="eastAsia"/>
      </w:rPr>
    </w:lvl>
    <w:lvl w:ilvl="6" w:tentative="0">
      <w:start w:val="1"/>
      <w:numFmt w:val="decimal"/>
      <w:lvlText w:val="%1.%2.%3.%4.%5.%6.%7"/>
      <w:lvlJc w:val="left"/>
      <w:pPr>
        <w:tabs>
          <w:tab w:val="left" w:pos="4574"/>
        </w:tabs>
        <w:ind w:left="4410" w:hanging="1276"/>
      </w:pPr>
      <w:rPr>
        <w:rFonts w:hint="eastAsia"/>
      </w:rPr>
    </w:lvl>
    <w:lvl w:ilvl="7" w:tentative="0">
      <w:start w:val="1"/>
      <w:numFmt w:val="decimal"/>
      <w:lvlText w:val="%1.%2.%3.%4.%5.%6.%7.%8"/>
      <w:lvlJc w:val="left"/>
      <w:pPr>
        <w:tabs>
          <w:tab w:val="left" w:pos="5359"/>
        </w:tabs>
        <w:ind w:left="4977" w:hanging="1418"/>
      </w:pPr>
      <w:rPr>
        <w:rFonts w:hint="eastAsia"/>
      </w:rPr>
    </w:lvl>
    <w:lvl w:ilvl="8" w:tentative="0">
      <w:start w:val="1"/>
      <w:numFmt w:val="decimal"/>
      <w:lvlText w:val="%1.%2.%3.%4.%5.%6.%7.%8.%9"/>
      <w:lvlJc w:val="left"/>
      <w:pPr>
        <w:tabs>
          <w:tab w:val="left" w:pos="6865"/>
        </w:tabs>
        <w:ind w:left="5685" w:hanging="1700"/>
      </w:pPr>
      <w:rPr>
        <w:rFonts w:hint="eastAsia"/>
      </w:rPr>
    </w:lvl>
  </w:abstractNum>
  <w:abstractNum w:abstractNumId="3">
    <w:nsid w:val="798D56EC"/>
    <w:multiLevelType w:val="multilevel"/>
    <w:tmpl w:val="798D56EC"/>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NmJiOTY0YmU2MjVjNmJhNDIzOTRmNjczNTk2ZTMifQ=="/>
  </w:docVars>
  <w:rsids>
    <w:rsidRoot w:val="60792193"/>
    <w:rsid w:val="00024E4E"/>
    <w:rsid w:val="000344AD"/>
    <w:rsid w:val="000622D0"/>
    <w:rsid w:val="000709AC"/>
    <w:rsid w:val="0008336A"/>
    <w:rsid w:val="000A75F8"/>
    <w:rsid w:val="000C2E3D"/>
    <w:rsid w:val="000C71D9"/>
    <w:rsid w:val="000D37AF"/>
    <w:rsid w:val="000E0DC2"/>
    <w:rsid w:val="00114EC4"/>
    <w:rsid w:val="00150BBC"/>
    <w:rsid w:val="001820A0"/>
    <w:rsid w:val="00191395"/>
    <w:rsid w:val="001B474D"/>
    <w:rsid w:val="001C67CB"/>
    <w:rsid w:val="001D4CD0"/>
    <w:rsid w:val="001E490A"/>
    <w:rsid w:val="001E62F6"/>
    <w:rsid w:val="001F6EA1"/>
    <w:rsid w:val="00201A2F"/>
    <w:rsid w:val="00216678"/>
    <w:rsid w:val="00246308"/>
    <w:rsid w:val="00264466"/>
    <w:rsid w:val="002B308A"/>
    <w:rsid w:val="002D3338"/>
    <w:rsid w:val="002F7720"/>
    <w:rsid w:val="00356E87"/>
    <w:rsid w:val="00371699"/>
    <w:rsid w:val="00381F66"/>
    <w:rsid w:val="003C7D24"/>
    <w:rsid w:val="003D0399"/>
    <w:rsid w:val="003E2DDF"/>
    <w:rsid w:val="003F0BBC"/>
    <w:rsid w:val="003F3007"/>
    <w:rsid w:val="00477629"/>
    <w:rsid w:val="004C050A"/>
    <w:rsid w:val="004E0F3B"/>
    <w:rsid w:val="004E4A71"/>
    <w:rsid w:val="004E6E95"/>
    <w:rsid w:val="004E7D26"/>
    <w:rsid w:val="00516558"/>
    <w:rsid w:val="00521068"/>
    <w:rsid w:val="00571A70"/>
    <w:rsid w:val="00595EFC"/>
    <w:rsid w:val="005E35AD"/>
    <w:rsid w:val="00610FB2"/>
    <w:rsid w:val="0061429C"/>
    <w:rsid w:val="00632CD6"/>
    <w:rsid w:val="00694EF5"/>
    <w:rsid w:val="006C7593"/>
    <w:rsid w:val="006D1CAC"/>
    <w:rsid w:val="006E00A8"/>
    <w:rsid w:val="006E5F31"/>
    <w:rsid w:val="00720E5A"/>
    <w:rsid w:val="00745528"/>
    <w:rsid w:val="007477E6"/>
    <w:rsid w:val="00753BB4"/>
    <w:rsid w:val="0075483C"/>
    <w:rsid w:val="00773747"/>
    <w:rsid w:val="007811E8"/>
    <w:rsid w:val="0078574E"/>
    <w:rsid w:val="007970B5"/>
    <w:rsid w:val="00804253"/>
    <w:rsid w:val="008362CB"/>
    <w:rsid w:val="00837BCE"/>
    <w:rsid w:val="00861171"/>
    <w:rsid w:val="0089309C"/>
    <w:rsid w:val="008B11BA"/>
    <w:rsid w:val="008C0309"/>
    <w:rsid w:val="0090662A"/>
    <w:rsid w:val="00920D7A"/>
    <w:rsid w:val="009373E6"/>
    <w:rsid w:val="00947C8A"/>
    <w:rsid w:val="00983F06"/>
    <w:rsid w:val="009B0FF8"/>
    <w:rsid w:val="009D4CF3"/>
    <w:rsid w:val="00A13A0A"/>
    <w:rsid w:val="00A1799E"/>
    <w:rsid w:val="00A21505"/>
    <w:rsid w:val="00A26F7F"/>
    <w:rsid w:val="00A31F2C"/>
    <w:rsid w:val="00A50D5A"/>
    <w:rsid w:val="00A65217"/>
    <w:rsid w:val="00A66349"/>
    <w:rsid w:val="00A857A9"/>
    <w:rsid w:val="00AB492D"/>
    <w:rsid w:val="00AD5ABF"/>
    <w:rsid w:val="00AD62CE"/>
    <w:rsid w:val="00AE1541"/>
    <w:rsid w:val="00B40F6A"/>
    <w:rsid w:val="00B54E7E"/>
    <w:rsid w:val="00B70386"/>
    <w:rsid w:val="00BA5A8E"/>
    <w:rsid w:val="00BA5CEC"/>
    <w:rsid w:val="00BB73BB"/>
    <w:rsid w:val="00BD505A"/>
    <w:rsid w:val="00BF0913"/>
    <w:rsid w:val="00BF64CC"/>
    <w:rsid w:val="00BF7AB3"/>
    <w:rsid w:val="00C027B1"/>
    <w:rsid w:val="00C04B91"/>
    <w:rsid w:val="00C33918"/>
    <w:rsid w:val="00C732AA"/>
    <w:rsid w:val="00C77D92"/>
    <w:rsid w:val="00C92ACB"/>
    <w:rsid w:val="00C94C0E"/>
    <w:rsid w:val="00CA5F01"/>
    <w:rsid w:val="00CC7E69"/>
    <w:rsid w:val="00D22FCC"/>
    <w:rsid w:val="00D6541B"/>
    <w:rsid w:val="00D660E8"/>
    <w:rsid w:val="00DB3AFD"/>
    <w:rsid w:val="00DF2EAA"/>
    <w:rsid w:val="00DF37BB"/>
    <w:rsid w:val="00E105F7"/>
    <w:rsid w:val="00E303C8"/>
    <w:rsid w:val="00E32711"/>
    <w:rsid w:val="00E37187"/>
    <w:rsid w:val="00EA0F8D"/>
    <w:rsid w:val="00ED2A82"/>
    <w:rsid w:val="00ED69C6"/>
    <w:rsid w:val="00F63FB7"/>
    <w:rsid w:val="00FA1454"/>
    <w:rsid w:val="00FB31BD"/>
    <w:rsid w:val="04B2316F"/>
    <w:rsid w:val="065564A8"/>
    <w:rsid w:val="07554285"/>
    <w:rsid w:val="0A530F50"/>
    <w:rsid w:val="0A7451F5"/>
    <w:rsid w:val="0CE300B0"/>
    <w:rsid w:val="0E19425F"/>
    <w:rsid w:val="0FA83AEC"/>
    <w:rsid w:val="10F94CFA"/>
    <w:rsid w:val="12695089"/>
    <w:rsid w:val="14671BB7"/>
    <w:rsid w:val="151E03AD"/>
    <w:rsid w:val="152359C3"/>
    <w:rsid w:val="159311CE"/>
    <w:rsid w:val="15CE1DD3"/>
    <w:rsid w:val="16B32D77"/>
    <w:rsid w:val="17EE6B2E"/>
    <w:rsid w:val="19500429"/>
    <w:rsid w:val="1B5E021B"/>
    <w:rsid w:val="1BD45C69"/>
    <w:rsid w:val="1C4740B1"/>
    <w:rsid w:val="1EA57449"/>
    <w:rsid w:val="1EE14925"/>
    <w:rsid w:val="209871E8"/>
    <w:rsid w:val="20EA2FC5"/>
    <w:rsid w:val="23362D65"/>
    <w:rsid w:val="23FF13A9"/>
    <w:rsid w:val="246C71DF"/>
    <w:rsid w:val="266A6D1F"/>
    <w:rsid w:val="27D17500"/>
    <w:rsid w:val="27EE04CC"/>
    <w:rsid w:val="29EF4DF9"/>
    <w:rsid w:val="2BBA09D7"/>
    <w:rsid w:val="2C9545F4"/>
    <w:rsid w:val="2F6A44C2"/>
    <w:rsid w:val="327C4B93"/>
    <w:rsid w:val="334D0383"/>
    <w:rsid w:val="34B561E0"/>
    <w:rsid w:val="35C25DC7"/>
    <w:rsid w:val="35CF0E1F"/>
    <w:rsid w:val="362D2681"/>
    <w:rsid w:val="37B6B4BE"/>
    <w:rsid w:val="384F21D4"/>
    <w:rsid w:val="387A00DB"/>
    <w:rsid w:val="39DF785B"/>
    <w:rsid w:val="3A170CB6"/>
    <w:rsid w:val="3AA0348E"/>
    <w:rsid w:val="3D4E71D1"/>
    <w:rsid w:val="3D5E7801"/>
    <w:rsid w:val="3E3D0FF4"/>
    <w:rsid w:val="3F6F7D93"/>
    <w:rsid w:val="40714C89"/>
    <w:rsid w:val="43000F6E"/>
    <w:rsid w:val="44A92F3F"/>
    <w:rsid w:val="44B042CE"/>
    <w:rsid w:val="45E958C2"/>
    <w:rsid w:val="475C7EE6"/>
    <w:rsid w:val="479B6820"/>
    <w:rsid w:val="47D112E0"/>
    <w:rsid w:val="47D609EE"/>
    <w:rsid w:val="48757D08"/>
    <w:rsid w:val="49374FBE"/>
    <w:rsid w:val="4FCD042A"/>
    <w:rsid w:val="51161599"/>
    <w:rsid w:val="513427F7"/>
    <w:rsid w:val="516450FB"/>
    <w:rsid w:val="561D4CD7"/>
    <w:rsid w:val="572B7EFD"/>
    <w:rsid w:val="59B241EC"/>
    <w:rsid w:val="5AFFC166"/>
    <w:rsid w:val="5BB66216"/>
    <w:rsid w:val="5BE7939C"/>
    <w:rsid w:val="5BFFEF47"/>
    <w:rsid w:val="5C645C72"/>
    <w:rsid w:val="5CA531C9"/>
    <w:rsid w:val="5F433FCF"/>
    <w:rsid w:val="5FA94ADE"/>
    <w:rsid w:val="6016737D"/>
    <w:rsid w:val="60792193"/>
    <w:rsid w:val="62562501"/>
    <w:rsid w:val="62EA65DD"/>
    <w:rsid w:val="63302D52"/>
    <w:rsid w:val="645035CC"/>
    <w:rsid w:val="65921AA2"/>
    <w:rsid w:val="65CF5A53"/>
    <w:rsid w:val="668D31F7"/>
    <w:rsid w:val="66C57C55"/>
    <w:rsid w:val="66FF6F49"/>
    <w:rsid w:val="697167BA"/>
    <w:rsid w:val="6ABB2B51"/>
    <w:rsid w:val="6DAF87E0"/>
    <w:rsid w:val="6DCF760B"/>
    <w:rsid w:val="6F5558EE"/>
    <w:rsid w:val="6F813B1C"/>
    <w:rsid w:val="70AB3A18"/>
    <w:rsid w:val="71145A61"/>
    <w:rsid w:val="715C136A"/>
    <w:rsid w:val="73B75AA0"/>
    <w:rsid w:val="74082602"/>
    <w:rsid w:val="74161AF0"/>
    <w:rsid w:val="749D3FBF"/>
    <w:rsid w:val="75F52CE2"/>
    <w:rsid w:val="763B3A90"/>
    <w:rsid w:val="778D031B"/>
    <w:rsid w:val="7A3251AA"/>
    <w:rsid w:val="7B751557"/>
    <w:rsid w:val="7B9DF354"/>
    <w:rsid w:val="7C582FB2"/>
    <w:rsid w:val="7C824B0F"/>
    <w:rsid w:val="7C8C76F1"/>
    <w:rsid w:val="7EF53ECE"/>
    <w:rsid w:val="7F030EC3"/>
    <w:rsid w:val="9BFD9230"/>
    <w:rsid w:val="AFAFDDAD"/>
    <w:rsid w:val="D64E0CA8"/>
    <w:rsid w:val="DBF3F64D"/>
    <w:rsid w:val="DE7FE487"/>
    <w:rsid w:val="ED9629BF"/>
    <w:rsid w:val="EF9FDE04"/>
    <w:rsid w:val="F3FB7613"/>
    <w:rsid w:val="F7FF9269"/>
    <w:rsid w:val="FBFFFFF2"/>
    <w:rsid w:val="FCFAB30C"/>
    <w:rsid w:val="FF7EDE51"/>
    <w:rsid w:val="FFF31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bCs/>
      <w:kern w:val="44"/>
      <w:sz w:val="44"/>
      <w:szCs w:val="44"/>
    </w:rPr>
  </w:style>
  <w:style w:type="paragraph" w:styleId="3">
    <w:name w:val="heading 2"/>
    <w:basedOn w:val="1"/>
    <w:next w:val="1"/>
    <w:unhideWhenUsed/>
    <w:qFormat/>
    <w:uiPriority w:val="0"/>
    <w:pPr>
      <w:keepNext/>
      <w:keepLines/>
      <w:spacing w:before="260" w:after="260"/>
      <w:ind w:left="1063"/>
      <w:jc w:val="left"/>
      <w:outlineLvl w:val="1"/>
    </w:pPr>
    <w:rPr>
      <w:rFonts w:ascii="Calibri Light" w:hAnsi="Calibri Light"/>
      <w:b/>
      <w:bCs/>
      <w:sz w:val="32"/>
      <w:szCs w:val="32"/>
    </w:rPr>
  </w:style>
  <w:style w:type="paragraph" w:styleId="4">
    <w:name w:val="heading 3"/>
    <w:basedOn w:val="1"/>
    <w:next w:val="1"/>
    <w:unhideWhenUsed/>
    <w:qFormat/>
    <w:uiPriority w:val="0"/>
    <w:pPr>
      <w:framePr w:hSpace="181" w:wrap="around" w:vAnchor="text" w:hAnchor="margin" w:xAlign="center" w:y="1"/>
      <w:widowControl/>
      <w:spacing w:before="260" w:after="260"/>
      <w:jc w:val="center"/>
      <w:outlineLvl w:val="2"/>
    </w:pPr>
    <w:rPr>
      <w:b/>
      <w:bCs/>
      <w:sz w:val="32"/>
      <w:szCs w:val="32"/>
    </w:rPr>
  </w:style>
  <w:style w:type="paragraph" w:styleId="5">
    <w:name w:val="heading 4"/>
    <w:basedOn w:val="1"/>
    <w:next w:val="1"/>
    <w:unhideWhenUsed/>
    <w:qFormat/>
    <w:uiPriority w:val="0"/>
    <w:pPr>
      <w:keepNext/>
      <w:keepLines/>
      <w:framePr w:hSpace="181" w:wrap="around" w:vAnchor="text" w:hAnchor="margin" w:xAlign="center" w:y="1"/>
      <w:spacing w:before="280" w:after="290"/>
      <w:jc w:val="center"/>
      <w:outlineLvl w:val="3"/>
    </w:pPr>
    <w:rPr>
      <w:rFonts w:ascii="Calibri Light" w:hAnsi="Calibri Light"/>
      <w:b/>
      <w:bCs/>
      <w:sz w:val="28"/>
      <w:szCs w:val="28"/>
    </w:rPr>
  </w:style>
  <w:style w:type="paragraph" w:styleId="6">
    <w:name w:val="heading 5"/>
    <w:basedOn w:val="1"/>
    <w:next w:val="1"/>
    <w:semiHidden/>
    <w:unhideWhenUsed/>
    <w:qFormat/>
    <w:uiPriority w:val="0"/>
    <w:pPr>
      <w:widowControl/>
      <w:spacing w:before="280" w:after="290" w:line="372" w:lineRule="auto"/>
      <w:outlineLvl w:val="4"/>
    </w:pPr>
    <w:rPr>
      <w:b/>
      <w:sz w:val="28"/>
    </w:rPr>
  </w:style>
  <w:style w:type="paragraph" w:styleId="7">
    <w:name w:val="heading 6"/>
    <w:basedOn w:val="8"/>
    <w:next w:val="1"/>
    <w:unhideWhenUsed/>
    <w:qFormat/>
    <w:uiPriority w:val="0"/>
    <w:pPr>
      <w:keepNext/>
      <w:keepLines/>
      <w:tabs>
        <w:tab w:val="left" w:pos="720"/>
        <w:tab w:val="left" w:pos="1800"/>
        <w:tab w:val="left" w:pos="4149"/>
      </w:tabs>
      <w:spacing w:before="100" w:beforeAutospacing="1" w:after="100" w:afterAutospacing="1"/>
      <w:outlineLvl w:val="5"/>
    </w:pPr>
    <w:rPr>
      <w:rFonts w:ascii="Calibri Light" w:hAnsi="Calibri Light"/>
      <w:bCs/>
      <w:sz w:val="24"/>
      <w:szCs w:val="24"/>
    </w:rPr>
  </w:style>
  <w:style w:type="paragraph" w:styleId="9">
    <w:name w:val="heading 7"/>
    <w:basedOn w:val="1"/>
    <w:next w:val="1"/>
    <w:semiHidden/>
    <w:unhideWhenUsed/>
    <w:qFormat/>
    <w:uiPriority w:val="0"/>
    <w:pPr>
      <w:keepNext/>
      <w:keepLines/>
      <w:spacing w:before="240" w:after="64" w:line="317" w:lineRule="auto"/>
      <w:outlineLvl w:val="6"/>
    </w:pPr>
    <w:rPr>
      <w:b/>
      <w:sz w:val="24"/>
    </w:rPr>
  </w:style>
  <w:style w:type="paragraph" w:styleId="10">
    <w:name w:val="heading 8"/>
    <w:basedOn w:val="1"/>
    <w:next w:val="1"/>
    <w:semiHidden/>
    <w:unhideWhenUsed/>
    <w:qFormat/>
    <w:uiPriority w:val="0"/>
    <w:pPr>
      <w:keepNext/>
      <w:keepLines/>
      <w:spacing w:before="240" w:after="64" w:line="317" w:lineRule="auto"/>
      <w:outlineLvl w:val="7"/>
    </w:pPr>
    <w:rPr>
      <w:rFonts w:ascii="Arial" w:hAnsi="Arial" w:eastAsia="黑体"/>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8">
    <w:name w:val="G_标题5"/>
    <w:basedOn w:val="1"/>
    <w:qFormat/>
    <w:uiPriority w:val="0"/>
    <w:pPr>
      <w:tabs>
        <w:tab w:val="left" w:pos="1800"/>
      </w:tabs>
      <w:outlineLvl w:val="4"/>
    </w:pPr>
    <w:rPr>
      <w:b/>
      <w:szCs w:val="21"/>
    </w:rPr>
  </w:style>
  <w:style w:type="paragraph" w:styleId="11">
    <w:name w:val="annotation text"/>
    <w:basedOn w:val="1"/>
    <w:link w:val="28"/>
    <w:qFormat/>
    <w:uiPriority w:val="0"/>
    <w:pPr>
      <w:jc w:val="left"/>
    </w:pPr>
  </w:style>
  <w:style w:type="paragraph" w:styleId="12">
    <w:name w:val="Body Text"/>
    <w:basedOn w:val="1"/>
    <w:unhideWhenUsed/>
    <w:qFormat/>
    <w:uiPriority w:val="1"/>
    <w:pPr>
      <w:spacing w:after="120"/>
    </w:pPr>
  </w:style>
  <w:style w:type="paragraph" w:styleId="13">
    <w:name w:val="Plain Text"/>
    <w:basedOn w:val="1"/>
    <w:qFormat/>
    <w:uiPriority w:val="99"/>
    <w:rPr>
      <w:rFonts w:ascii="宋体" w:hAnsi="Courier New"/>
      <w:szCs w:val="20"/>
    </w:rPr>
  </w:style>
  <w:style w:type="paragraph" w:styleId="14">
    <w:name w:val="Balloon Text"/>
    <w:basedOn w:val="1"/>
    <w:link w:val="3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annotation subject"/>
    <w:basedOn w:val="11"/>
    <w:next w:val="11"/>
    <w:link w:val="29"/>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_正文段落"/>
    <w:basedOn w:val="13"/>
    <w:qFormat/>
    <w:uiPriority w:val="0"/>
    <w:pPr>
      <w:spacing w:beforeLines="15" w:afterLines="30" w:line="360" w:lineRule="auto"/>
      <w:ind w:firstLine="200" w:firstLineChars="200"/>
    </w:pPr>
    <w:rPr>
      <w:sz w:val="24"/>
    </w:rPr>
  </w:style>
  <w:style w:type="paragraph" w:customStyle="1" w:styleId="23">
    <w:name w:val="G_标题4"/>
    <w:basedOn w:val="24"/>
    <w:next w:val="1"/>
    <w:qFormat/>
    <w:uiPriority w:val="0"/>
    <w:pPr>
      <w:numPr>
        <w:ilvl w:val="3"/>
      </w:numPr>
      <w:tabs>
        <w:tab w:val="left" w:pos="426"/>
        <w:tab w:val="left" w:pos="720"/>
      </w:tabs>
      <w:spacing w:before="100" w:after="100"/>
      <w:outlineLvl w:val="3"/>
    </w:pPr>
    <w:rPr>
      <w:sz w:val="30"/>
    </w:rPr>
  </w:style>
  <w:style w:type="paragraph" w:customStyle="1" w:styleId="24">
    <w:name w:val="G_标题3"/>
    <w:basedOn w:val="25"/>
    <w:next w:val="1"/>
    <w:qFormat/>
    <w:uiPriority w:val="0"/>
    <w:pPr>
      <w:numPr>
        <w:ilvl w:val="2"/>
      </w:numPr>
      <w:tabs>
        <w:tab w:val="left" w:pos="426"/>
        <w:tab w:val="left" w:pos="720"/>
      </w:tabs>
      <w:outlineLvl w:val="2"/>
    </w:pPr>
    <w:rPr>
      <w:sz w:val="32"/>
    </w:rPr>
  </w:style>
  <w:style w:type="paragraph" w:customStyle="1" w:styleId="25">
    <w:name w:val="G_标题2"/>
    <w:basedOn w:val="1"/>
    <w:next w:val="1"/>
    <w:qFormat/>
    <w:uiPriority w:val="0"/>
    <w:pPr>
      <w:widowControl/>
      <w:numPr>
        <w:ilvl w:val="1"/>
        <w:numId w:val="1"/>
      </w:numPr>
      <w:tabs>
        <w:tab w:val="left" w:pos="426"/>
      </w:tabs>
      <w:spacing w:before="312" w:beforeLines="100" w:after="312" w:afterLines="100"/>
      <w:jc w:val="left"/>
      <w:outlineLvl w:val="1"/>
    </w:pPr>
    <w:rPr>
      <w:rFonts w:ascii="Times New Roman" w:hAnsi="Times New Roman"/>
      <w:b/>
      <w:bCs/>
      <w:kern w:val="0"/>
      <w:sz w:val="36"/>
      <w:szCs w:val="28"/>
    </w:rPr>
  </w:style>
  <w:style w:type="paragraph" w:customStyle="1" w:styleId="26">
    <w:name w:val="paragraph"/>
    <w:basedOn w:val="1"/>
    <w:semiHidden/>
    <w:qFormat/>
    <w:uiPriority w:val="0"/>
    <w:pPr>
      <w:widowControl/>
      <w:spacing w:before="100" w:beforeAutospacing="1" w:after="100" w:afterAutospacing="1"/>
      <w:jc w:val="left"/>
    </w:pPr>
    <w:rPr>
      <w:rFonts w:ascii="等线" w:hAnsi="等线" w:eastAsia="等线"/>
      <w:kern w:val="0"/>
      <w:sz w:val="24"/>
    </w:rPr>
  </w:style>
  <w:style w:type="paragraph" w:styleId="27">
    <w:name w:val="List Paragraph"/>
    <w:basedOn w:val="1"/>
    <w:qFormat/>
    <w:uiPriority w:val="34"/>
    <w:pPr>
      <w:ind w:firstLine="420"/>
    </w:pPr>
  </w:style>
  <w:style w:type="character" w:customStyle="1" w:styleId="28">
    <w:name w:val="批注文字 字符"/>
    <w:basedOn w:val="20"/>
    <w:link w:val="11"/>
    <w:qFormat/>
    <w:uiPriority w:val="0"/>
    <w:rPr>
      <w:kern w:val="2"/>
      <w:sz w:val="21"/>
      <w:szCs w:val="24"/>
    </w:rPr>
  </w:style>
  <w:style w:type="character" w:customStyle="1" w:styleId="29">
    <w:name w:val="批注主题 字符"/>
    <w:basedOn w:val="28"/>
    <w:link w:val="17"/>
    <w:qFormat/>
    <w:uiPriority w:val="0"/>
    <w:rPr>
      <w:b/>
      <w:bCs/>
      <w:kern w:val="2"/>
      <w:sz w:val="21"/>
      <w:szCs w:val="24"/>
    </w:rPr>
  </w:style>
  <w:style w:type="character" w:customStyle="1" w:styleId="30">
    <w:name w:val="批注框文本 字符"/>
    <w:basedOn w:val="20"/>
    <w:link w:val="1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82</Pages>
  <Words>47553</Words>
  <Characters>48016</Characters>
  <Lines>352</Lines>
  <Paragraphs>99</Paragraphs>
  <TotalTime>36</TotalTime>
  <ScaleCrop>false</ScaleCrop>
  <LinksUpToDate>false</LinksUpToDate>
  <CharactersWithSpaces>48049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2024-09-20T03:54:00Z</dcterms:created>
  <dc:creator>Administrator</dc:creator>
  <cp:lastModifiedBy>阳刚</cp:lastModifiedBy>
  <cp:lastPrinted>2024-09-19T00:39:00Z</cp:lastPrinted>
  <dcterms:modified xsi:type="dcterms:W3CDTF">2024-09-20T01:29:14Z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6306813DD843CE7DA8C9EC66078A318A_43</vt:lpwstr>
  </property>
</Properties>
</file>