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jc w:val="center"/>
        <w:rPr>
          <w:rFonts w:hint="eastAsia" w:ascii="微软雅黑" w:hAnsi="微软雅黑" w:eastAsia="微软雅黑" w:cs="黑体"/>
          <w:b/>
          <w:color w:val="000000"/>
          <w:sz w:val="48"/>
        </w:rPr>
      </w:pPr>
    </w:p>
    <w:p>
      <w:pPr>
        <w:spacing w:before="0" w:after="0"/>
        <w:jc w:val="center"/>
        <w:rPr>
          <w:rFonts w:hint="eastAsia" w:ascii="黑体" w:hAnsi="黑体" w:eastAsia="黑体" w:cs="黑体"/>
          <w:b/>
          <w:color w:val="000000"/>
          <w:sz w:val="48"/>
          <w:szCs w:val="48"/>
          <w:lang w:val="en-US" w:eastAsia="zh-CN"/>
        </w:rPr>
      </w:pPr>
      <w:r>
        <w:rPr>
          <w:rFonts w:hint="eastAsia" w:ascii="黑体" w:hAnsi="黑体" w:eastAsia="黑体" w:cs="黑体"/>
          <w:b/>
          <w:color w:val="000000"/>
          <w:sz w:val="48"/>
          <w:szCs w:val="48"/>
          <w:lang w:val="en-US" w:eastAsia="zh-CN"/>
        </w:rPr>
        <w:t>呼和浩特市蒙古族幼儿园金桥分园</w:t>
      </w:r>
    </w:p>
    <w:p>
      <w:pPr>
        <w:spacing w:before="0" w:after="0"/>
        <w:jc w:val="center"/>
        <w:rPr>
          <w:rFonts w:hint="eastAsia" w:ascii="黑体" w:hAnsi="黑体" w:eastAsia="黑体" w:cs="黑体"/>
          <w:b/>
          <w:color w:val="000000"/>
          <w:sz w:val="48"/>
          <w:szCs w:val="48"/>
        </w:rPr>
      </w:pPr>
      <w:r>
        <w:rPr>
          <w:rFonts w:hint="eastAsia" w:ascii="黑体" w:hAnsi="黑体" w:eastAsia="黑体" w:cs="黑体"/>
          <w:b/>
          <w:color w:val="000000"/>
          <w:sz w:val="48"/>
          <w:szCs w:val="48"/>
          <w:lang w:val="en-US" w:eastAsia="zh-CN"/>
        </w:rPr>
        <w:t>金地江山风华园</w:t>
      </w:r>
    </w:p>
    <w:p>
      <w:pPr>
        <w:spacing w:after="120"/>
        <w:ind w:firstLine="420"/>
        <w:jc w:val="both"/>
      </w:pPr>
    </w:p>
    <w:p>
      <w:pPr>
        <w:spacing w:after="120"/>
        <w:jc w:val="both"/>
      </w:pPr>
    </w:p>
    <w:p>
      <w:pPr>
        <w:spacing w:before="0" w:after="0"/>
        <w:jc w:val="center"/>
      </w:pPr>
    </w:p>
    <w:p>
      <w:pPr>
        <w:spacing w:before="0" w:after="0"/>
        <w:jc w:val="center"/>
      </w:pPr>
    </w:p>
    <w:p>
      <w:pPr>
        <w:jc w:val="center"/>
        <w:rPr>
          <w:rFonts w:hint="eastAsia" w:ascii="华文楷体" w:hAnsi="华文楷体" w:eastAsia="华文楷体"/>
          <w:b/>
          <w:szCs w:val="21"/>
        </w:rPr>
      </w:pPr>
      <w:r>
        <w:rPr>
          <w:rFonts w:hint="eastAsia" w:ascii="黑体" w:hAnsi="黑体" w:eastAsia="黑体"/>
          <w:b/>
          <w:sz w:val="72"/>
          <w:szCs w:val="72"/>
        </w:rPr>
        <w:t>招标</w:t>
      </w:r>
      <w:r>
        <w:rPr>
          <w:rFonts w:ascii="黑体" w:hAnsi="黑体" w:eastAsia="黑体" w:cs="黑体"/>
          <w:b/>
          <w:i w:val="0"/>
          <w:strike w:val="0"/>
          <w:color w:val="000000"/>
          <w:sz w:val="72"/>
          <w:u w:val="none"/>
        </w:rPr>
        <w:t>工程量清单</w:t>
      </w:r>
    </w:p>
    <w:p>
      <w:pPr>
        <w:spacing w:before="0" w:after="0"/>
        <w:ind w:left="165" w:firstLine="129" w:firstLineChars="59"/>
        <w:jc w:val="center"/>
        <w:rPr>
          <w:highlight w:val="none"/>
        </w:rPr>
      </w:pPr>
    </w:p>
    <w:p>
      <w:pPr>
        <w:spacing w:before="0" w:after="0"/>
        <w:jc w:val="center"/>
        <w:rPr>
          <w:color w:val="000000"/>
          <w:highlight w:val="none"/>
          <w:shd w:val="clear" w:color="auto" w:fill="FFFFFF"/>
        </w:rPr>
      </w:pPr>
      <w:r>
        <w:rPr>
          <w:rFonts w:ascii="华文楷体" w:hAnsi="华文楷体" w:eastAsia="华文楷体" w:cs="华文楷体"/>
          <w:b/>
          <w:color w:val="000000"/>
          <w:sz w:val="21"/>
          <w:highlight w:val="none"/>
        </w:rPr>
        <w:t>内佳咨基控字（202</w:t>
      </w:r>
      <w:r>
        <w:rPr>
          <w:rFonts w:hint="eastAsia" w:ascii="华文楷体" w:hAnsi="华文楷体" w:eastAsia="华文楷体" w:cs="华文楷体"/>
          <w:b/>
          <w:color w:val="000000"/>
          <w:sz w:val="21"/>
          <w:highlight w:val="none"/>
          <w:lang w:val="en-US" w:eastAsia="zh-CN"/>
        </w:rPr>
        <w:t>4</w:t>
      </w:r>
      <w:r>
        <w:rPr>
          <w:rFonts w:ascii="华文楷体" w:hAnsi="华文楷体" w:eastAsia="华文楷体" w:cs="华文楷体"/>
          <w:b/>
          <w:color w:val="000000"/>
          <w:sz w:val="21"/>
          <w:highlight w:val="none"/>
          <w:shd w:val="clear" w:color="auto" w:fill="FFFFFF"/>
        </w:rPr>
        <w:t>）第</w:t>
      </w:r>
      <w:r>
        <w:rPr>
          <w:rFonts w:hint="eastAsia" w:ascii="华文楷体" w:hAnsi="华文楷体" w:eastAsia="华文楷体" w:cs="华文楷体"/>
          <w:b/>
          <w:color w:val="000000"/>
          <w:sz w:val="21"/>
          <w:highlight w:val="none"/>
          <w:shd w:val="clear" w:color="auto" w:fill="FFFFFF"/>
          <w:lang w:val="en-US" w:eastAsia="zh-CN"/>
        </w:rPr>
        <w:t>001</w:t>
      </w:r>
      <w:r>
        <w:rPr>
          <w:rFonts w:ascii="华文楷体" w:hAnsi="华文楷体" w:eastAsia="华文楷体" w:cs="华文楷体"/>
          <w:b/>
          <w:color w:val="000000"/>
          <w:sz w:val="21"/>
          <w:highlight w:val="none"/>
          <w:shd w:val="clear" w:color="auto" w:fill="FFFFFF"/>
        </w:rPr>
        <w:t>号</w:t>
      </w:r>
    </w:p>
    <w:p>
      <w:pPr>
        <w:spacing w:before="0" w:after="0"/>
        <w:ind w:left="165" w:firstLine="129" w:firstLineChars="59"/>
        <w:jc w:val="center"/>
      </w:pPr>
    </w:p>
    <w:p>
      <w:pPr>
        <w:spacing w:before="0" w:after="0"/>
        <w:jc w:val="center"/>
      </w:pPr>
    </w:p>
    <w:p>
      <w:pPr>
        <w:spacing w:before="0" w:after="0"/>
        <w:jc w:val="center"/>
      </w:pPr>
    </w:p>
    <w:p>
      <w:pPr>
        <w:spacing w:before="0" w:after="0"/>
        <w:jc w:val="center"/>
      </w:pPr>
    </w:p>
    <w:p>
      <w:pPr>
        <w:spacing w:before="0" w:after="0"/>
        <w:jc w:val="both"/>
      </w:pPr>
    </w:p>
    <w:p>
      <w:pPr>
        <w:spacing w:before="0" w:after="0"/>
        <w:jc w:val="center"/>
      </w:pPr>
    </w:p>
    <w:p>
      <w:pPr>
        <w:spacing w:before="0" w:after="0"/>
        <w:jc w:val="center"/>
      </w:pPr>
    </w:p>
    <w:p>
      <w:pPr>
        <w:spacing w:before="0" w:after="0"/>
        <w:ind w:firstLine="660" w:firstLineChars="300"/>
        <w:jc w:val="center"/>
      </w:pPr>
    </w:p>
    <w:p>
      <w:pPr>
        <w:spacing w:before="0" w:after="0"/>
        <w:ind w:left="312" w:leftChars="142" w:firstLine="1024" w:firstLineChars="340"/>
        <w:jc w:val="both"/>
      </w:pPr>
      <w:r>
        <w:rPr>
          <w:rFonts w:ascii="华文楷体" w:hAnsi="华文楷体" w:eastAsia="华文楷体" w:cs="华文楷体"/>
          <w:b/>
          <w:color w:val="000000"/>
          <w:sz w:val="30"/>
        </w:rPr>
        <w:t>编制单位 ：内蒙古佳世达工程项目管理有限公司</w:t>
      </w:r>
    </w:p>
    <w:p>
      <w:pPr>
        <w:spacing w:before="0" w:after="0"/>
        <w:ind w:left="312" w:leftChars="142" w:firstLine="1024" w:firstLineChars="340"/>
        <w:jc w:val="both"/>
      </w:pPr>
      <w:r>
        <w:rPr>
          <w:rFonts w:ascii="华文楷体" w:hAnsi="华文楷体" w:eastAsia="华文楷体" w:cs="华文楷体"/>
          <w:b/>
          <w:color w:val="000000"/>
          <w:sz w:val="30"/>
        </w:rPr>
        <w:t>地   址 ：呼和浩特市赛罕区永泰城写字楼C座24楼</w:t>
      </w:r>
    </w:p>
    <w:p>
      <w:pPr>
        <w:spacing w:before="0" w:after="0"/>
        <w:ind w:left="312" w:leftChars="142" w:firstLine="1024" w:firstLineChars="340"/>
        <w:jc w:val="both"/>
      </w:pPr>
      <w:r>
        <w:rPr>
          <w:rFonts w:ascii="华文楷体" w:hAnsi="华文楷体" w:eastAsia="华文楷体" w:cs="华文楷体"/>
          <w:b/>
          <w:color w:val="000000"/>
          <w:sz w:val="30"/>
        </w:rPr>
        <w:t>联系电话 ：0471-5270904</w:t>
      </w:r>
    </w:p>
    <w:p>
      <w:pPr>
        <w:spacing w:before="0" w:after="0"/>
        <w:ind w:left="312" w:leftChars="142" w:firstLine="1024" w:firstLineChars="340"/>
        <w:jc w:val="both"/>
      </w:pPr>
      <w:r>
        <w:rPr>
          <w:rFonts w:ascii="华文楷体" w:hAnsi="华文楷体" w:eastAsia="华文楷体" w:cs="华文楷体"/>
          <w:b/>
          <w:color w:val="000000"/>
          <w:sz w:val="30"/>
        </w:rPr>
        <w:t>日   期 ：二零二</w:t>
      </w:r>
      <w:r>
        <w:rPr>
          <w:rFonts w:hint="eastAsia" w:ascii="华文楷体" w:hAnsi="华文楷体" w:eastAsia="华文楷体" w:cs="华文楷体"/>
          <w:b/>
          <w:color w:val="000000"/>
          <w:sz w:val="30"/>
          <w:lang w:eastAsia="zh-CN"/>
        </w:rPr>
        <w:t>四</w:t>
      </w:r>
      <w:r>
        <w:rPr>
          <w:rFonts w:ascii="华文楷体" w:hAnsi="华文楷体" w:eastAsia="华文楷体" w:cs="华文楷体"/>
          <w:b/>
          <w:color w:val="000000"/>
          <w:sz w:val="30"/>
        </w:rPr>
        <w:t>年</w:t>
      </w:r>
      <w:r>
        <w:rPr>
          <w:rFonts w:hint="eastAsia" w:ascii="华文楷体" w:hAnsi="华文楷体" w:eastAsia="华文楷体" w:cs="华文楷体"/>
          <w:b/>
          <w:color w:val="000000"/>
          <w:sz w:val="30"/>
          <w:lang w:val="en-US" w:eastAsia="zh-CN"/>
        </w:rPr>
        <w:t>一</w:t>
      </w:r>
      <w:r>
        <w:rPr>
          <w:rFonts w:ascii="华文楷体" w:hAnsi="华文楷体" w:eastAsia="华文楷体" w:cs="华文楷体"/>
          <w:b/>
          <w:color w:val="000000"/>
          <w:sz w:val="30"/>
        </w:rPr>
        <w:t>月</w:t>
      </w:r>
    </w:p>
    <w:tbl>
      <w:tblPr>
        <w:tblStyle w:val="8"/>
        <w:tblW w:w="0" w:type="auto"/>
        <w:tblInd w:w="0" w:type="dxa"/>
        <w:tblLayout w:type="fixed"/>
        <w:tblCellMar>
          <w:top w:w="0" w:type="dxa"/>
          <w:left w:w="108" w:type="dxa"/>
          <w:bottom w:w="0" w:type="dxa"/>
          <w:right w:w="108" w:type="dxa"/>
        </w:tblCellMar>
      </w:tblPr>
      <w:tblGrid>
        <w:gridCol w:w="1009"/>
        <w:gridCol w:w="2268"/>
        <w:gridCol w:w="4773"/>
        <w:gridCol w:w="1051"/>
      </w:tblGrid>
      <w:tr>
        <w:tblPrEx>
          <w:tblCellMar>
            <w:top w:w="0" w:type="dxa"/>
            <w:left w:w="108" w:type="dxa"/>
            <w:bottom w:w="0" w:type="dxa"/>
            <w:right w:w="108" w:type="dxa"/>
          </w:tblCellMar>
        </w:tblPrEx>
        <w:trPr>
          <w:trHeight w:val="2442" w:hRule="atLeast"/>
        </w:trPr>
        <w:tc>
          <w:tcPr>
            <w:tcW w:w="9101" w:type="dxa"/>
            <w:gridSpan w:val="4"/>
            <w:tcBorders>
              <w:top w:val="nil"/>
              <w:left w:val="nil"/>
              <w:bottom w:val="nil"/>
              <w:right w:val="nil"/>
            </w:tcBorders>
            <w:tcMar>
              <w:top w:w="15" w:type="dxa"/>
              <w:left w:w="15" w:type="dxa"/>
              <w:bottom w:w="0" w:type="dxa"/>
              <w:right w:w="15" w:type="dxa"/>
            </w:tcMar>
            <w:vAlign w:val="center"/>
          </w:tcPr>
          <w:p>
            <w:pPr>
              <w:spacing w:before="0" w:after="0"/>
              <w:jc w:val="both"/>
              <w:rPr>
                <w:rFonts w:hint="eastAsia" w:ascii="微软雅黑" w:hAnsi="微软雅黑" w:eastAsia="微软雅黑" w:cs="微软雅黑"/>
                <w:color w:val="000000"/>
                <w:sz w:val="40"/>
              </w:rPr>
            </w:pPr>
          </w:p>
          <w:p>
            <w:pPr>
              <w:spacing w:before="0" w:after="0"/>
              <w:jc w:val="center"/>
              <w:rPr>
                <w:rFonts w:hint="eastAsia" w:ascii="微软雅黑" w:hAnsi="微软雅黑" w:eastAsia="微软雅黑" w:cs="微软雅黑"/>
                <w:color w:val="000000"/>
                <w:sz w:val="40"/>
                <w:lang w:val="en-US" w:eastAsia="zh-CN"/>
              </w:rPr>
            </w:pPr>
            <w:r>
              <w:rPr>
                <w:rFonts w:hint="eastAsia" w:ascii="微软雅黑" w:hAnsi="微软雅黑" w:eastAsia="微软雅黑" w:cs="微软雅黑"/>
                <w:color w:val="000000"/>
                <w:sz w:val="40"/>
                <w:lang w:val="en-US" w:eastAsia="zh-CN"/>
              </w:rPr>
              <w:t>呼和浩特市蒙古族幼儿园金桥分园</w:t>
            </w:r>
          </w:p>
          <w:p>
            <w:pPr>
              <w:spacing w:before="0" w:after="0"/>
              <w:jc w:val="center"/>
              <w:rPr>
                <w:rFonts w:hint="eastAsia" w:ascii="微软雅黑" w:hAnsi="微软雅黑" w:eastAsia="微软雅黑" w:cs="微软雅黑"/>
                <w:color w:val="000000"/>
                <w:sz w:val="40"/>
                <w:lang w:val="en-US" w:eastAsia="zh-CN"/>
              </w:rPr>
            </w:pPr>
            <w:r>
              <w:rPr>
                <w:rFonts w:hint="eastAsia" w:ascii="微软雅黑" w:hAnsi="微软雅黑" w:eastAsia="微软雅黑" w:cs="微软雅黑"/>
                <w:color w:val="000000"/>
                <w:sz w:val="40"/>
                <w:lang w:val="en-US" w:eastAsia="zh-CN"/>
              </w:rPr>
              <w:t>金地江山风华园</w:t>
            </w:r>
          </w:p>
          <w:p>
            <w:pPr>
              <w:spacing w:before="0" w:after="0"/>
              <w:jc w:val="center"/>
              <w:rPr>
                <w:rFonts w:hint="eastAsia" w:ascii="微软雅黑" w:hAnsi="微软雅黑" w:eastAsia="微软雅黑" w:cs="微软雅黑"/>
                <w:color w:val="000000"/>
                <w:sz w:val="40"/>
              </w:rPr>
            </w:pPr>
          </w:p>
          <w:p>
            <w:pPr>
              <w:spacing w:before="0" w:after="0"/>
              <w:jc w:val="center"/>
              <w:rPr>
                <w:rFonts w:ascii="宋体" w:hAnsi="宋体" w:eastAsia="宋体" w:cs="宋体"/>
                <w:color w:val="000000"/>
                <w:sz w:val="40"/>
              </w:rPr>
            </w:pPr>
            <w:r>
              <w:rPr>
                <w:rFonts w:ascii="宋体" w:hAnsi="宋体" w:eastAsia="宋体" w:cs="宋体"/>
                <w:color w:val="000000"/>
                <w:sz w:val="40"/>
              </w:rPr>
              <w:t> </w:t>
            </w:r>
          </w:p>
          <w:p>
            <w:pPr>
              <w:spacing w:before="0" w:after="0"/>
              <w:jc w:val="center"/>
            </w:pPr>
          </w:p>
        </w:tc>
      </w:tr>
      <w:tr>
        <w:tblPrEx>
          <w:tblCellMar>
            <w:top w:w="0" w:type="dxa"/>
            <w:left w:w="108" w:type="dxa"/>
            <w:bottom w:w="0" w:type="dxa"/>
            <w:right w:w="108" w:type="dxa"/>
          </w:tblCellMar>
        </w:tblPrEx>
        <w:trPr>
          <w:trHeight w:val="1440" w:hRule="atLeast"/>
        </w:trPr>
        <w:tc>
          <w:tcPr>
            <w:tcW w:w="9101" w:type="dxa"/>
            <w:gridSpan w:val="4"/>
            <w:tcBorders>
              <w:top w:val="nil"/>
              <w:left w:val="nil"/>
              <w:bottom w:val="nil"/>
              <w:right w:val="nil"/>
            </w:tcBorders>
            <w:tcMar>
              <w:top w:w="15" w:type="dxa"/>
              <w:left w:w="15" w:type="dxa"/>
              <w:bottom w:w="0" w:type="dxa"/>
              <w:right w:w="15" w:type="dxa"/>
            </w:tcMar>
            <w:vAlign w:val="center"/>
          </w:tcPr>
          <w:p>
            <w:pPr>
              <w:spacing w:before="0" w:after="0"/>
              <w:jc w:val="center"/>
              <w:rPr>
                <w:rFonts w:hint="eastAsia" w:eastAsia="宋体"/>
                <w:lang w:eastAsia="zh-CN"/>
              </w:rPr>
            </w:pPr>
            <w:r>
              <w:rPr>
                <w:rFonts w:hint="eastAsia" w:ascii="宋体" w:hAnsi="宋体" w:eastAsia="宋体" w:cs="宋体"/>
                <w:b/>
                <w:i w:val="0"/>
                <w:strike w:val="0"/>
                <w:color w:val="000000"/>
                <w:spacing w:val="0"/>
                <w:sz w:val="40"/>
                <w:u w:val="none"/>
                <w:vertAlign w:val="baseline"/>
              </w:rPr>
              <w:t>招标</w:t>
            </w:r>
            <w:r>
              <w:rPr>
                <w:rFonts w:ascii="宋体" w:hAnsi="宋体" w:eastAsia="宋体" w:cs="宋体"/>
                <w:b/>
                <w:i w:val="0"/>
                <w:strike w:val="0"/>
                <w:color w:val="000000"/>
                <w:spacing w:val="0"/>
                <w:sz w:val="40"/>
                <w:u w:val="none"/>
                <w:vertAlign w:val="baseline"/>
              </w:rPr>
              <w:t>工程量清单</w:t>
            </w:r>
          </w:p>
        </w:tc>
      </w:tr>
      <w:tr>
        <w:tblPrEx>
          <w:tblCellMar>
            <w:top w:w="0" w:type="dxa"/>
            <w:left w:w="108" w:type="dxa"/>
            <w:bottom w:w="0" w:type="dxa"/>
            <w:right w:w="108" w:type="dxa"/>
          </w:tblCellMar>
        </w:tblPrEx>
        <w:trPr>
          <w:trHeight w:val="1440" w:hRule="atLeast"/>
        </w:trPr>
        <w:tc>
          <w:tcPr>
            <w:tcW w:w="1009"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68"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4"/>
              </w:rPr>
              <w:t>招  标  人：</w:t>
            </w:r>
          </w:p>
        </w:tc>
        <w:tc>
          <w:tcPr>
            <w:tcW w:w="477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c>
          <w:tcPr>
            <w:tcW w:w="1051" w:type="dxa"/>
            <w:tcBorders>
              <w:top w:val="nil"/>
              <w:left w:val="nil"/>
              <w:bottom w:val="nil"/>
              <w:right w:val="nil"/>
            </w:tcBorders>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1440" w:hRule="atLeast"/>
        </w:trPr>
        <w:tc>
          <w:tcPr>
            <w:tcW w:w="1009"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68"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477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0"/>
              </w:rPr>
              <w:t>(单位盖章)</w:t>
            </w:r>
          </w:p>
        </w:tc>
        <w:tc>
          <w:tcPr>
            <w:tcW w:w="1051" w:type="dxa"/>
            <w:tcBorders>
              <w:top w:val="nil"/>
              <w:left w:val="nil"/>
              <w:bottom w:val="nil"/>
              <w:right w:val="nil"/>
            </w:tcBorders>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1440" w:hRule="atLeast"/>
        </w:trPr>
        <w:tc>
          <w:tcPr>
            <w:tcW w:w="1009"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68"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4"/>
              </w:rPr>
              <w:t>造价咨询人：</w:t>
            </w:r>
          </w:p>
        </w:tc>
        <w:tc>
          <w:tcPr>
            <w:tcW w:w="477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c>
          <w:tcPr>
            <w:tcW w:w="1051" w:type="dxa"/>
            <w:tcBorders>
              <w:top w:val="nil"/>
              <w:left w:val="nil"/>
              <w:bottom w:val="nil"/>
              <w:right w:val="nil"/>
            </w:tcBorders>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1440" w:hRule="atLeast"/>
        </w:trPr>
        <w:tc>
          <w:tcPr>
            <w:tcW w:w="1009"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68"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477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color w:val="000000"/>
                <w:sz w:val="20"/>
              </w:rPr>
              <w:t>(单位盖章)</w:t>
            </w:r>
          </w:p>
        </w:tc>
        <w:tc>
          <w:tcPr>
            <w:tcW w:w="1051" w:type="dxa"/>
            <w:tcBorders>
              <w:top w:val="nil"/>
              <w:left w:val="nil"/>
              <w:bottom w:val="nil"/>
              <w:right w:val="nil"/>
            </w:tcBorders>
            <w:tcMar>
              <w:top w:w="15" w:type="dxa"/>
              <w:left w:w="15" w:type="dxa"/>
              <w:bottom w:w="0" w:type="dxa"/>
              <w:right w:w="15" w:type="dxa"/>
            </w:tcMar>
            <w:vAlign w:val="bottom"/>
          </w:tcPr>
          <w:p>
            <w:pPr>
              <w:spacing w:before="0" w:after="0"/>
              <w:jc w:val="center"/>
            </w:pPr>
          </w:p>
        </w:tc>
      </w:tr>
      <w:tr>
        <w:tblPrEx>
          <w:tblCellMar>
            <w:top w:w="0" w:type="dxa"/>
            <w:left w:w="108" w:type="dxa"/>
            <w:bottom w:w="0" w:type="dxa"/>
            <w:right w:w="108" w:type="dxa"/>
          </w:tblCellMar>
        </w:tblPrEx>
        <w:trPr>
          <w:trHeight w:val="1440" w:hRule="atLeast"/>
        </w:trPr>
        <w:tc>
          <w:tcPr>
            <w:tcW w:w="1009"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68"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477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both"/>
            </w:pPr>
            <w:r>
              <w:rPr>
                <w:rFonts w:ascii="宋体" w:hAnsi="宋体" w:eastAsia="宋体" w:cs="宋体"/>
                <w:color w:val="000000"/>
                <w:sz w:val="24"/>
              </w:rPr>
              <w:t xml:space="preserve">       年     月     日</w:t>
            </w:r>
          </w:p>
        </w:tc>
        <w:tc>
          <w:tcPr>
            <w:tcW w:w="1051" w:type="dxa"/>
            <w:tcBorders>
              <w:top w:val="nil"/>
              <w:left w:val="nil"/>
              <w:bottom w:val="nil"/>
              <w:right w:val="nil"/>
            </w:tcBorders>
            <w:tcMar>
              <w:top w:w="15" w:type="dxa"/>
              <w:left w:w="15" w:type="dxa"/>
              <w:bottom w:w="0" w:type="dxa"/>
              <w:right w:w="15" w:type="dxa"/>
            </w:tcMar>
            <w:vAlign w:val="bottom"/>
          </w:tcPr>
          <w:p>
            <w:pPr>
              <w:spacing w:before="0" w:after="0"/>
              <w:jc w:val="center"/>
            </w:pPr>
          </w:p>
        </w:tc>
      </w:tr>
    </w:tbl>
    <w:p>
      <w:pPr>
        <w:spacing w:after="120"/>
        <w:jc w:val="both"/>
      </w:pPr>
    </w:p>
    <w:tbl>
      <w:tblPr>
        <w:tblStyle w:val="8"/>
        <w:tblW w:w="9141" w:type="dxa"/>
        <w:tblInd w:w="0" w:type="dxa"/>
        <w:tblLayout w:type="fixed"/>
        <w:tblCellMar>
          <w:top w:w="0" w:type="dxa"/>
          <w:left w:w="108" w:type="dxa"/>
          <w:bottom w:w="0" w:type="dxa"/>
          <w:right w:w="108" w:type="dxa"/>
        </w:tblCellMar>
      </w:tblPr>
      <w:tblGrid>
        <w:gridCol w:w="76"/>
        <w:gridCol w:w="1981"/>
        <w:gridCol w:w="133"/>
        <w:gridCol w:w="2254"/>
        <w:gridCol w:w="505"/>
        <w:gridCol w:w="1847"/>
        <w:gridCol w:w="2228"/>
        <w:gridCol w:w="117"/>
      </w:tblGrid>
      <w:tr>
        <w:tblPrEx>
          <w:tblCellMar>
            <w:top w:w="0" w:type="dxa"/>
            <w:left w:w="108" w:type="dxa"/>
            <w:bottom w:w="0" w:type="dxa"/>
            <w:right w:w="108" w:type="dxa"/>
          </w:tblCellMar>
        </w:tblPrEx>
        <w:trPr>
          <w:trHeight w:val="2029" w:hRule="atLeast"/>
        </w:trPr>
        <w:tc>
          <w:tcPr>
            <w:tcW w:w="9024" w:type="dxa"/>
            <w:gridSpan w:val="7"/>
            <w:tcBorders>
              <w:top w:val="nil"/>
              <w:left w:val="nil"/>
              <w:bottom w:val="nil"/>
              <w:right w:val="nil"/>
            </w:tcBorders>
            <w:tcMar>
              <w:top w:w="15" w:type="dxa"/>
              <w:left w:w="15" w:type="dxa"/>
              <w:bottom w:w="0" w:type="dxa"/>
              <w:right w:w="15" w:type="dxa"/>
            </w:tcMar>
            <w:vAlign w:val="center"/>
          </w:tcPr>
          <w:p>
            <w:pPr>
              <w:spacing w:before="0" w:after="0"/>
              <w:jc w:val="center"/>
              <w:rPr>
                <w:rFonts w:hint="eastAsia" w:ascii="微软雅黑" w:hAnsi="微软雅黑" w:eastAsia="微软雅黑" w:cs="微软雅黑"/>
                <w:color w:val="000000"/>
                <w:sz w:val="40"/>
                <w:lang w:val="en-US" w:eastAsia="zh-CN"/>
              </w:rPr>
            </w:pPr>
            <w:r>
              <w:rPr>
                <w:rFonts w:hint="eastAsia" w:ascii="微软雅黑" w:hAnsi="微软雅黑" w:eastAsia="微软雅黑" w:cs="微软雅黑"/>
                <w:color w:val="000000"/>
                <w:sz w:val="40"/>
                <w:lang w:val="en-US" w:eastAsia="zh-CN"/>
              </w:rPr>
              <w:t>呼和浩特市蒙古族幼儿园金桥分园</w:t>
            </w:r>
          </w:p>
          <w:p>
            <w:pPr>
              <w:spacing w:before="0" w:after="0"/>
              <w:jc w:val="center"/>
              <w:rPr>
                <w:rFonts w:hint="eastAsia" w:ascii="微软雅黑" w:hAnsi="微软雅黑" w:eastAsia="微软雅黑" w:cs="微软雅黑"/>
                <w:color w:val="000000"/>
                <w:sz w:val="40"/>
              </w:rPr>
            </w:pPr>
            <w:r>
              <w:rPr>
                <w:rFonts w:hint="eastAsia" w:ascii="微软雅黑" w:hAnsi="微软雅黑" w:eastAsia="微软雅黑" w:cs="微软雅黑"/>
                <w:color w:val="000000"/>
                <w:sz w:val="40"/>
                <w:lang w:val="en-US" w:eastAsia="zh-CN"/>
              </w:rPr>
              <w:t>金地江山风华园</w:t>
            </w:r>
          </w:p>
        </w:tc>
        <w:tc>
          <w:tcPr>
            <w:tcW w:w="117" w:type="dxa"/>
            <w:tcBorders>
              <w:top w:val="nil"/>
              <w:left w:val="nil"/>
              <w:bottom w:val="nil"/>
              <w:right w:val="nil"/>
            </w:tcBorders>
            <w:tcMar>
              <w:top w:w="15" w:type="dxa"/>
              <w:left w:w="15" w:type="dxa"/>
              <w:bottom w:w="15" w:type="dxa"/>
              <w:right w:w="15" w:type="dxa"/>
            </w:tcMar>
            <w:vAlign w:val="center"/>
          </w:tcPr>
          <w:p>
            <w:pPr>
              <w:spacing w:before="0" w:after="0"/>
            </w:pPr>
          </w:p>
        </w:tc>
      </w:tr>
      <w:tr>
        <w:tblPrEx>
          <w:tblCellMar>
            <w:top w:w="0" w:type="dxa"/>
            <w:left w:w="108" w:type="dxa"/>
            <w:bottom w:w="0" w:type="dxa"/>
            <w:right w:w="108" w:type="dxa"/>
          </w:tblCellMar>
        </w:tblPrEx>
        <w:trPr>
          <w:trHeight w:val="851" w:hRule="atLeast"/>
        </w:trPr>
        <w:tc>
          <w:tcPr>
            <w:tcW w:w="9024" w:type="dxa"/>
            <w:gridSpan w:val="7"/>
            <w:tcBorders>
              <w:top w:val="nil"/>
              <w:left w:val="nil"/>
              <w:bottom w:val="nil"/>
              <w:right w:val="nil"/>
            </w:tcBorders>
            <w:tcMar>
              <w:top w:w="15" w:type="dxa"/>
              <w:left w:w="15" w:type="dxa"/>
              <w:bottom w:w="0" w:type="dxa"/>
              <w:right w:w="15" w:type="dxa"/>
            </w:tcMar>
            <w:vAlign w:val="bottom"/>
          </w:tcPr>
          <w:p>
            <w:pPr>
              <w:spacing w:before="0" w:after="0"/>
              <w:jc w:val="center"/>
              <w:rPr>
                <w:rFonts w:hint="eastAsia" w:eastAsia="宋体"/>
                <w:lang w:eastAsia="zh-CN"/>
              </w:rPr>
            </w:pPr>
            <w:r>
              <w:rPr>
                <w:rFonts w:hint="eastAsia" w:ascii="宋体" w:hAnsi="宋体" w:eastAsia="宋体" w:cs="宋体"/>
                <w:b/>
                <w:i w:val="0"/>
                <w:strike w:val="0"/>
                <w:color w:val="000000"/>
                <w:spacing w:val="0"/>
                <w:sz w:val="40"/>
                <w:u w:val="none"/>
                <w:vertAlign w:val="baseline"/>
              </w:rPr>
              <w:t>招标</w:t>
            </w:r>
            <w:r>
              <w:rPr>
                <w:rFonts w:ascii="宋体" w:hAnsi="宋体" w:eastAsia="宋体" w:cs="宋体"/>
                <w:b/>
                <w:i w:val="0"/>
                <w:strike w:val="0"/>
                <w:color w:val="000000"/>
                <w:spacing w:val="0"/>
                <w:sz w:val="40"/>
                <w:u w:val="none"/>
                <w:vertAlign w:val="baseline"/>
              </w:rPr>
              <w:t>工程量清单</w:t>
            </w:r>
          </w:p>
        </w:tc>
        <w:tc>
          <w:tcPr>
            <w:tcW w:w="117" w:type="dxa"/>
            <w:tcBorders>
              <w:top w:val="nil"/>
              <w:left w:val="nil"/>
              <w:bottom w:val="nil"/>
              <w:right w:val="nil"/>
            </w:tcBorders>
            <w:tcMar>
              <w:top w:w="15" w:type="dxa"/>
              <w:left w:w="15" w:type="dxa"/>
              <w:bottom w:w="15" w:type="dxa"/>
              <w:right w:w="15" w:type="dxa"/>
            </w:tcMar>
            <w:vAlign w:val="center"/>
          </w:tcPr>
          <w:p>
            <w:pPr>
              <w:spacing w:before="0" w:after="0"/>
            </w:pPr>
          </w:p>
        </w:tc>
      </w:tr>
      <w:tr>
        <w:tblPrEx>
          <w:tblCellMar>
            <w:top w:w="0" w:type="dxa"/>
            <w:left w:w="108" w:type="dxa"/>
            <w:bottom w:w="0" w:type="dxa"/>
            <w:right w:w="108" w:type="dxa"/>
          </w:tblCellMar>
        </w:tblPrEx>
        <w:trPr>
          <w:trHeight w:val="1530" w:hRule="atLeast"/>
        </w:trPr>
        <w:tc>
          <w:tcPr>
            <w:tcW w:w="76"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招  标  人：</w:t>
            </w: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造价咨询人：</w:t>
            </w: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r>
      <w:tr>
        <w:tblPrEx>
          <w:tblCellMar>
            <w:top w:w="0" w:type="dxa"/>
            <w:left w:w="108" w:type="dxa"/>
            <w:bottom w:w="0" w:type="dxa"/>
            <w:right w:w="108" w:type="dxa"/>
          </w:tblCellMar>
        </w:tblPrEx>
        <w:trPr>
          <w:trHeight w:val="285" w:hRule="atLeast"/>
        </w:trPr>
        <w:tc>
          <w:tcPr>
            <w:tcW w:w="76"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(单位盖章)</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(单位资质专用章)</w:t>
            </w:r>
          </w:p>
        </w:tc>
      </w:tr>
      <w:tr>
        <w:tblPrEx>
          <w:tblCellMar>
            <w:top w:w="0" w:type="dxa"/>
            <w:left w:w="108" w:type="dxa"/>
            <w:bottom w:w="0" w:type="dxa"/>
            <w:right w:w="108" w:type="dxa"/>
          </w:tblCellMar>
        </w:tblPrEx>
        <w:trPr>
          <w:trHeight w:val="2025" w:hRule="atLeast"/>
        </w:trPr>
        <w:tc>
          <w:tcPr>
            <w:tcW w:w="76"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 xml:space="preserve">法定代表人 </w:t>
            </w:r>
          </w:p>
          <w:p>
            <w:pPr>
              <w:spacing w:before="0" w:after="0"/>
              <w:jc w:val="center"/>
            </w:pPr>
            <w:r>
              <w:rPr>
                <w:rFonts w:ascii="宋体" w:hAnsi="宋体" w:eastAsia="宋体" w:cs="宋体"/>
                <w:b/>
                <w:color w:val="000000"/>
                <w:sz w:val="24"/>
              </w:rPr>
              <w:t>或其授权人：</w:t>
            </w: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 xml:space="preserve">法定代表人 </w:t>
            </w:r>
          </w:p>
          <w:p>
            <w:pPr>
              <w:spacing w:before="0" w:after="0"/>
              <w:jc w:val="center"/>
            </w:pPr>
            <w:r>
              <w:rPr>
                <w:rFonts w:ascii="宋体" w:hAnsi="宋体" w:eastAsia="宋体" w:cs="宋体"/>
                <w:b/>
                <w:color w:val="000000"/>
                <w:sz w:val="24"/>
              </w:rPr>
              <w:t>或其授权人：</w:t>
            </w: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r>
      <w:tr>
        <w:tblPrEx>
          <w:tblCellMar>
            <w:top w:w="0" w:type="dxa"/>
            <w:left w:w="108" w:type="dxa"/>
            <w:bottom w:w="0" w:type="dxa"/>
            <w:right w:w="108" w:type="dxa"/>
          </w:tblCellMar>
        </w:tblPrEx>
        <w:trPr>
          <w:trHeight w:val="285" w:hRule="atLeast"/>
        </w:trPr>
        <w:tc>
          <w:tcPr>
            <w:tcW w:w="76"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(签字或盖章)</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(签字或盖章)</w:t>
            </w:r>
          </w:p>
        </w:tc>
      </w:tr>
      <w:tr>
        <w:tblPrEx>
          <w:tblCellMar>
            <w:top w:w="0" w:type="dxa"/>
            <w:left w:w="108" w:type="dxa"/>
            <w:bottom w:w="0" w:type="dxa"/>
            <w:right w:w="108" w:type="dxa"/>
          </w:tblCellMar>
        </w:tblPrEx>
        <w:trPr>
          <w:trHeight w:val="2130" w:hRule="atLeast"/>
        </w:trPr>
        <w:tc>
          <w:tcPr>
            <w:tcW w:w="76"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编  制  人：</w:t>
            </w: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r>
              <w:rPr>
                <w:rFonts w:ascii="宋体" w:hAnsi="宋体" w:eastAsia="宋体" w:cs="宋体"/>
                <w:b/>
                <w:color w:val="000000"/>
                <w:sz w:val="24"/>
              </w:rPr>
              <w:t>复  核  人：</w:t>
            </w: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left"/>
              <w:rPr>
                <w:rFonts w:hint="default" w:eastAsiaTheme="minorEastAsia"/>
                <w:u w:val="single"/>
                <w:lang w:val="en-US" w:eastAsia="zh-CN"/>
              </w:rPr>
            </w:pPr>
            <w:r>
              <w:rPr>
                <w:rFonts w:hint="eastAsia"/>
                <w:u w:val="single"/>
                <w:lang w:val="en-US" w:eastAsia="zh-CN"/>
              </w:rPr>
              <w:t xml:space="preserve">                                           </w:t>
            </w:r>
          </w:p>
        </w:tc>
      </w:tr>
      <w:tr>
        <w:tblPrEx>
          <w:tblCellMar>
            <w:top w:w="0" w:type="dxa"/>
            <w:left w:w="108" w:type="dxa"/>
            <w:bottom w:w="0" w:type="dxa"/>
            <w:right w:w="108" w:type="dxa"/>
          </w:tblCellMar>
        </w:tblPrEx>
        <w:trPr>
          <w:trHeight w:val="285" w:hRule="atLeast"/>
        </w:trPr>
        <w:tc>
          <w:tcPr>
            <w:tcW w:w="76"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(造价人员签字盖专用章)</w:t>
            </w: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0"/>
              </w:rPr>
              <w:t>(造价工程师签字盖专用章)</w:t>
            </w:r>
          </w:p>
        </w:tc>
      </w:tr>
      <w:tr>
        <w:tblPrEx>
          <w:tblCellMar>
            <w:top w:w="0" w:type="dxa"/>
            <w:left w:w="108" w:type="dxa"/>
            <w:bottom w:w="0" w:type="dxa"/>
            <w:right w:w="108" w:type="dxa"/>
          </w:tblCellMar>
        </w:tblPrEx>
        <w:trPr>
          <w:trHeight w:val="315" w:hRule="atLeast"/>
        </w:trPr>
        <w:tc>
          <w:tcPr>
            <w:tcW w:w="76" w:type="dxa"/>
            <w:tcBorders>
              <w:top w:val="nil"/>
              <w:left w:val="nil"/>
              <w:bottom w:val="nil"/>
              <w:right w:val="nil"/>
            </w:tcBorders>
            <w:tcMar>
              <w:top w:w="15" w:type="dxa"/>
              <w:left w:w="15" w:type="dxa"/>
              <w:bottom w:w="0" w:type="dxa"/>
              <w:right w:w="15" w:type="dxa"/>
            </w:tcMar>
            <w:vAlign w:val="bottom"/>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33"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505"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bottom"/>
          </w:tcPr>
          <w:p>
            <w:pPr>
              <w:spacing w:before="0" w:after="0"/>
              <w:jc w:val="center"/>
            </w:pP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r>
      <w:tr>
        <w:tblPrEx>
          <w:tblCellMar>
            <w:top w:w="0" w:type="dxa"/>
            <w:left w:w="108" w:type="dxa"/>
            <w:bottom w:w="0" w:type="dxa"/>
            <w:right w:w="108" w:type="dxa"/>
          </w:tblCellMar>
        </w:tblPrEx>
        <w:trPr>
          <w:trHeight w:val="2140" w:hRule="atLeast"/>
        </w:trPr>
        <w:tc>
          <w:tcPr>
            <w:tcW w:w="76" w:type="dxa"/>
            <w:tcBorders>
              <w:top w:val="nil"/>
              <w:left w:val="nil"/>
              <w:bottom w:val="nil"/>
              <w:right w:val="nil"/>
            </w:tcBorders>
            <w:tcMar>
              <w:top w:w="15" w:type="dxa"/>
              <w:left w:w="15" w:type="dxa"/>
              <w:bottom w:w="0" w:type="dxa"/>
              <w:right w:w="15" w:type="dxa"/>
            </w:tcMar>
            <w:vAlign w:val="center"/>
          </w:tcPr>
          <w:p>
            <w:pPr>
              <w:spacing w:before="0" w:after="0"/>
              <w:jc w:val="center"/>
            </w:pPr>
          </w:p>
        </w:tc>
        <w:tc>
          <w:tcPr>
            <w:tcW w:w="1981"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b/>
                <w:color w:val="000000"/>
                <w:sz w:val="24"/>
              </w:rPr>
              <w:t>编 制 时 间：</w:t>
            </w:r>
          </w:p>
        </w:tc>
        <w:tc>
          <w:tcPr>
            <w:tcW w:w="133"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2254"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4"/>
              </w:rPr>
              <w:t>年   月   日</w:t>
            </w:r>
          </w:p>
        </w:tc>
        <w:tc>
          <w:tcPr>
            <w:tcW w:w="505"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p>
        </w:tc>
        <w:tc>
          <w:tcPr>
            <w:tcW w:w="1847" w:type="dxa"/>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b/>
                <w:color w:val="000000"/>
                <w:sz w:val="24"/>
              </w:rPr>
              <w:t>复 核 时 间：</w:t>
            </w:r>
          </w:p>
        </w:tc>
        <w:tc>
          <w:tcPr>
            <w:tcW w:w="2345" w:type="dxa"/>
            <w:gridSpan w:val="2"/>
            <w:tcBorders>
              <w:top w:val="nil"/>
              <w:left w:val="nil"/>
              <w:bottom w:val="nil"/>
              <w:right w:val="nil"/>
            </w:tcBorders>
            <w:shd w:val="clear" w:color="auto" w:fill="FFFFFF"/>
            <w:tcMar>
              <w:top w:w="15" w:type="dxa"/>
              <w:left w:w="15" w:type="dxa"/>
              <w:bottom w:w="0" w:type="dxa"/>
              <w:right w:w="15" w:type="dxa"/>
            </w:tcMar>
            <w:vAlign w:val="center"/>
          </w:tcPr>
          <w:p>
            <w:pPr>
              <w:spacing w:before="0" w:after="0"/>
              <w:jc w:val="center"/>
            </w:pPr>
            <w:r>
              <w:rPr>
                <w:rFonts w:ascii="宋体" w:hAnsi="宋体" w:eastAsia="宋体" w:cs="宋体"/>
                <w:color w:val="000000"/>
                <w:sz w:val="24"/>
              </w:rPr>
              <w:t>年   月   日</w:t>
            </w:r>
          </w:p>
        </w:tc>
      </w:tr>
    </w:tbl>
    <w:p>
      <w:pPr>
        <w:spacing w:before="0" w:after="0"/>
        <w:jc w:val="center"/>
        <w:rPr>
          <w:rFonts w:hint="eastAsia" w:ascii="微软雅黑" w:hAnsi="微软雅黑" w:eastAsia="微软雅黑" w:cs="微软雅黑"/>
          <w:color w:val="000000"/>
          <w:sz w:val="40"/>
          <w:lang w:val="en-US" w:eastAsia="zh-CN"/>
        </w:rPr>
      </w:pPr>
    </w:p>
    <w:p>
      <w:pPr>
        <w:spacing w:before="0" w:after="0"/>
        <w:jc w:val="center"/>
        <w:rPr>
          <w:highlight w:val="none"/>
        </w:rPr>
      </w:pPr>
      <w:r>
        <w:rPr>
          <w:rFonts w:hint="eastAsia" w:ascii="微软雅黑" w:hAnsi="微软雅黑" w:eastAsia="微软雅黑" w:cs="微软雅黑"/>
          <w:color w:val="000000"/>
          <w:sz w:val="40"/>
          <w:lang w:val="en-US" w:eastAsia="zh-CN"/>
        </w:rPr>
        <w:t>呼和浩特市蒙古族幼儿园金桥分园金地江山风华园</w:t>
      </w:r>
      <w:r>
        <w:rPr>
          <w:rFonts w:hint="eastAsia" w:ascii="微软雅黑" w:hAnsi="微软雅黑" w:eastAsia="微软雅黑" w:cs="微软雅黑"/>
          <w:color w:val="000000"/>
          <w:sz w:val="40"/>
          <w:highlight w:val="none"/>
          <w:lang w:val="en-US" w:eastAsia="zh-CN"/>
        </w:rPr>
        <w:t>招标控制价</w:t>
      </w:r>
    </w:p>
    <w:p>
      <w:pPr>
        <w:spacing w:before="0" w:after="0"/>
        <w:jc w:val="both"/>
        <w:rPr>
          <w:rFonts w:hint="eastAsia" w:ascii="宋体" w:hAnsi="宋体" w:eastAsia="宋体" w:cs="宋体"/>
          <w:color w:val="000000"/>
          <w:kern w:val="2"/>
          <w:sz w:val="28"/>
          <w:szCs w:val="28"/>
          <w:highlight w:val="none"/>
          <w:lang w:val="en-US" w:eastAsia="zh-CN" w:bidi="ar-SA"/>
        </w:rPr>
      </w:pPr>
      <w:r>
        <w:rPr>
          <w:rFonts w:hint="eastAsia" w:ascii="微软雅黑" w:hAnsi="微软雅黑" w:eastAsia="微软雅黑" w:cs="微软雅黑"/>
          <w:b/>
          <w:color w:val="000000"/>
          <w:sz w:val="30"/>
          <w:szCs w:val="30"/>
          <w:highlight w:val="none"/>
          <w:shd w:val="clear" w:color="auto" w:fill="auto"/>
          <w:lang w:eastAsia="zh-CN"/>
        </w:rPr>
        <w:t>呼和浩特市蒙古族幼儿园金桥分园</w:t>
      </w:r>
      <w:r>
        <w:rPr>
          <w:rFonts w:hint="eastAsia" w:ascii="微软雅黑" w:hAnsi="微软雅黑" w:eastAsia="微软雅黑" w:cs="微软雅黑"/>
          <w:b/>
          <w:color w:val="000000"/>
          <w:sz w:val="30"/>
          <w:szCs w:val="30"/>
          <w:highlight w:val="none"/>
          <w:shd w:val="clear" w:color="auto" w:fill="auto"/>
        </w:rPr>
        <w:t>：</w:t>
      </w:r>
    </w:p>
    <w:p>
      <w:pPr>
        <w:pStyle w:val="6"/>
        <w:keepNext w:val="0"/>
        <w:keepLines w:val="0"/>
        <w:widowControl/>
        <w:suppressLineNumbers w:val="0"/>
        <w:spacing w:before="0" w:beforeAutospacing="0" w:after="0" w:afterAutospacing="0"/>
        <w:ind w:left="0" w:right="0" w:firstLineChars="0"/>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 xml:space="preserve">   </w:t>
      </w:r>
      <w:r>
        <w:rPr>
          <w:rFonts w:hint="eastAsia" w:ascii="宋体" w:hAnsi="宋体" w:eastAsia="宋体" w:cs="宋体"/>
          <w:color w:val="000000"/>
          <w:sz w:val="28"/>
          <w:szCs w:val="28"/>
        </w:rPr>
        <w:t>本工程招标控制价依据</w:t>
      </w:r>
      <w:r>
        <w:rPr>
          <w:rFonts w:hint="eastAsia" w:ascii="宋体" w:hAnsi="宋体" w:eastAsia="宋体" w:cs="宋体"/>
          <w:color w:val="333333"/>
          <w:kern w:val="2"/>
          <w:sz w:val="28"/>
          <w:szCs w:val="28"/>
          <w:highlight w:val="none"/>
          <w:lang w:val="en-US" w:eastAsia="zh-CN" w:bidi="ar-SA"/>
        </w:rPr>
        <w:t>《建设工程工程量清单计价规范》GB50500-2013、《房屋建筑与装饰工程工程量清单计算规范》GB50854-2013、《通用安装工程工程量计算规范》GB50856-2013、《市政工程工程量计算规范》GB 50857-2013、《园林绿化工程工程量计算规范》GB 50858-2013</w:t>
      </w:r>
      <w:r>
        <w:rPr>
          <w:rFonts w:hint="eastAsia" w:ascii="宋体" w:hAnsi="宋体" w:eastAsia="宋体" w:cs="宋体"/>
          <w:color w:val="000000"/>
          <w:sz w:val="28"/>
          <w:szCs w:val="28"/>
          <w:lang w:eastAsia="zh-CN"/>
        </w:rPr>
        <w:t>；</w:t>
      </w:r>
      <w:r>
        <w:rPr>
          <w:rFonts w:hint="eastAsia" w:ascii="宋体" w:hAnsi="宋体" w:eastAsia="宋体" w:cs="宋体"/>
          <w:color w:val="333333"/>
          <w:kern w:val="2"/>
          <w:sz w:val="28"/>
          <w:szCs w:val="28"/>
          <w:highlight w:val="none"/>
          <w:lang w:val="en-US" w:eastAsia="zh-CN" w:bidi="ar-SA"/>
        </w:rPr>
        <w:t>电子版招标图纸、设计参数</w:t>
      </w:r>
      <w:r>
        <w:rPr>
          <w:rFonts w:hint="eastAsia" w:ascii="宋体" w:hAnsi="宋体" w:eastAsia="宋体" w:cs="宋体"/>
          <w:color w:val="000000"/>
          <w:sz w:val="28"/>
          <w:szCs w:val="28"/>
          <w:lang w:val="en-US" w:eastAsia="zh-CN"/>
        </w:rPr>
        <w:t>、</w:t>
      </w:r>
      <w:r>
        <w:rPr>
          <w:rFonts w:hint="eastAsia" w:ascii="宋体" w:hAnsi="宋体" w:eastAsia="宋体" w:cs="宋体"/>
          <w:color w:val="333333"/>
          <w:kern w:val="2"/>
          <w:sz w:val="28"/>
          <w:szCs w:val="28"/>
          <w:highlight w:val="none"/>
          <w:lang w:val="en-US" w:eastAsia="zh-CN" w:bidi="ar-SA"/>
        </w:rPr>
        <w:t>图纸中涉及的相关图集及设计图纸回复</w:t>
      </w:r>
      <w:r>
        <w:rPr>
          <w:rFonts w:hint="eastAsia" w:ascii="宋体" w:hAnsi="宋体" w:eastAsia="宋体" w:cs="宋体"/>
          <w:color w:val="000000"/>
          <w:sz w:val="28"/>
          <w:szCs w:val="28"/>
          <w:lang w:val="en-US" w:eastAsia="zh-CN"/>
        </w:rPr>
        <w:t>，</w:t>
      </w:r>
      <w:r>
        <w:rPr>
          <w:rFonts w:hint="eastAsia" w:ascii="宋体" w:hAnsi="宋体" w:eastAsia="宋体" w:cs="宋体"/>
          <w:color w:val="333333"/>
          <w:kern w:val="2"/>
          <w:sz w:val="28"/>
          <w:szCs w:val="28"/>
          <w:highlight w:val="none"/>
          <w:lang w:val="en-US" w:eastAsia="zh-CN" w:bidi="ar-SA"/>
        </w:rPr>
        <w:t>《内蒙古自治区房屋建筑与装饰工程预算定额（2017）》</w:t>
      </w:r>
      <w:r>
        <w:rPr>
          <w:rFonts w:hint="eastAsia" w:ascii="宋体" w:hAnsi="宋体" w:eastAsia="宋体" w:cs="宋体"/>
          <w:color w:val="000000"/>
          <w:sz w:val="28"/>
          <w:szCs w:val="28"/>
          <w:lang w:eastAsia="zh-CN"/>
        </w:rPr>
        <w:t>、</w:t>
      </w:r>
      <w:r>
        <w:rPr>
          <w:rFonts w:hint="eastAsia" w:ascii="宋体" w:hAnsi="宋体" w:eastAsia="宋体" w:cs="宋体"/>
          <w:color w:val="333333"/>
          <w:kern w:val="2"/>
          <w:sz w:val="28"/>
          <w:szCs w:val="28"/>
          <w:highlight w:val="none"/>
          <w:lang w:val="en-US" w:eastAsia="zh-CN" w:bidi="ar-SA"/>
        </w:rPr>
        <w:t>《内蒙古自治区通用安装工程预算定额（2017）》、《内蒙古自治区市政工程预算定额（2017）》、《内蒙古自治区园林绿化工程预算定额（2017）》、《内蒙古自治区园林绿化养护工程预算定额（2017）》、《内蒙古自治区建设工程费用定额（2017）》、</w:t>
      </w:r>
      <w:r>
        <w:rPr>
          <w:rFonts w:hint="eastAsia" w:ascii="宋体" w:hAnsi="宋体" w:eastAsia="宋体" w:cs="宋体"/>
          <w:color w:val="000000"/>
          <w:kern w:val="2"/>
          <w:sz w:val="28"/>
          <w:szCs w:val="28"/>
          <w:lang w:val="en-US" w:eastAsia="zh-CN" w:bidi="ar-SA"/>
        </w:rPr>
        <w:t>《内蒙古自治区房屋修缮工程预算定额(2021)》；内建标【2019】113号文件、内建标函【2019】468号文件、内建标函【2021】148号文件、《关于发布呼和浩特地区二〇二三年第六期建设工程造价信息的通知》、《工程造价信息》中没有的材料及设备，其规格、型号、参数参照工程量清单中项目特征描述进行市场询价计取</w:t>
      </w:r>
      <w:r>
        <w:rPr>
          <w:rFonts w:hint="eastAsia" w:ascii="宋体" w:hAnsi="宋体" w:eastAsia="宋体" w:cs="宋体"/>
          <w:color w:val="000000"/>
          <w:kern w:val="2"/>
          <w:sz w:val="28"/>
          <w:szCs w:val="28"/>
          <w:highlight w:val="none"/>
          <w:lang w:val="en-US" w:eastAsia="zh-CN" w:bidi="ar-SA"/>
        </w:rPr>
        <w:t>及2024年1月26日</w:t>
      </w:r>
      <w:r>
        <w:rPr>
          <w:rFonts w:hint="eastAsia" w:ascii="宋体" w:hAnsi="宋体" w:eastAsia="宋体" w:cs="宋体"/>
          <w:color w:val="000000"/>
          <w:kern w:val="2"/>
          <w:sz w:val="28"/>
          <w:szCs w:val="28"/>
          <w:lang w:val="en-US" w:eastAsia="zh-CN" w:bidi="ar-SA"/>
        </w:rPr>
        <w:t>前公布的有关政策性文件编制。</w:t>
      </w:r>
    </w:p>
    <w:p>
      <w:pPr>
        <w:pStyle w:val="2"/>
        <w:rPr>
          <w:rFonts w:hint="eastAsia"/>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val="0"/>
        <w:spacing w:after="120" w:line="420" w:lineRule="exact"/>
        <w:ind w:right="-620" w:rightChars="-282"/>
        <w:textAlignment w:val="auto"/>
        <w:rPr>
          <w:rFonts w:hint="eastAsia" w:ascii="宋体" w:hAnsi="宋体" w:eastAsia="宋体" w:cs="宋体"/>
          <w:b/>
          <w:bCs w:val="0"/>
          <w:color w:val="auto"/>
          <w:kern w:val="2"/>
          <w:sz w:val="28"/>
          <w:szCs w:val="22"/>
          <w:highlight w:val="none"/>
          <w:shd w:val="clear" w:color="auto" w:fill="auto"/>
          <w:lang w:val="en-US" w:eastAsia="zh-CN" w:bidi="ar-SA"/>
        </w:rPr>
      </w:pPr>
      <w:r>
        <w:rPr>
          <w:rFonts w:ascii="宋体" w:hAnsi="宋体" w:eastAsia="宋体" w:cs="宋体"/>
          <w:b/>
          <w:color w:val="auto"/>
          <w:sz w:val="28"/>
          <w:highlight w:val="none"/>
          <w:shd w:val="clear" w:color="auto" w:fill="auto"/>
        </w:rPr>
        <w:t xml:space="preserve">     现确定招标控制价</w:t>
      </w:r>
      <w:r>
        <w:rPr>
          <w:rFonts w:hint="eastAsia" w:ascii="宋体" w:hAnsi="宋体" w:eastAsia="宋体" w:cs="宋体"/>
          <w:b/>
          <w:color w:val="auto"/>
          <w:sz w:val="28"/>
          <w:highlight w:val="none"/>
          <w:shd w:val="clear" w:color="auto" w:fill="auto"/>
          <w:lang w:eastAsia="zh-CN"/>
        </w:rPr>
        <w:t>：（</w:t>
      </w:r>
      <w:r>
        <w:rPr>
          <w:rFonts w:hint="eastAsia" w:ascii="宋体" w:hAnsi="宋体" w:eastAsia="宋体" w:cs="宋体"/>
          <w:b/>
          <w:color w:val="auto"/>
          <w:sz w:val="28"/>
          <w:highlight w:val="none"/>
          <w:shd w:val="clear" w:color="auto" w:fill="auto"/>
          <w:lang w:val="en-US" w:eastAsia="zh-CN"/>
        </w:rPr>
        <w:t>小写</w:t>
      </w:r>
      <w:r>
        <w:rPr>
          <w:rFonts w:hint="eastAsia" w:ascii="宋体" w:hAnsi="宋体" w:eastAsia="宋体" w:cs="宋体"/>
          <w:b/>
          <w:bCs w:val="0"/>
          <w:color w:val="auto"/>
          <w:kern w:val="2"/>
          <w:sz w:val="28"/>
          <w:szCs w:val="22"/>
          <w:highlight w:val="none"/>
          <w:shd w:val="clear" w:color="auto" w:fill="auto"/>
          <w:lang w:val="en-US" w:eastAsia="zh-CN" w:bidi="ar-SA"/>
        </w:rPr>
        <w:t>）</w:t>
      </w:r>
      <w:r>
        <w:rPr>
          <w:rFonts w:hint="eastAsia" w:ascii="宋体" w:hAnsi="宋体" w:eastAsia="宋体" w:cs="宋体"/>
          <w:b/>
          <w:color w:val="auto"/>
          <w:sz w:val="28"/>
          <w:highlight w:val="none"/>
          <w:shd w:val="clear" w:color="auto" w:fill="auto"/>
          <w:lang w:val="en-US" w:eastAsia="zh-CN"/>
        </w:rPr>
        <w:t xml:space="preserve">10,328,339 </w:t>
      </w:r>
      <w:r>
        <w:rPr>
          <w:rFonts w:hint="eastAsia" w:ascii="宋体" w:hAnsi="宋体" w:eastAsia="宋体" w:cs="宋体"/>
          <w:b/>
          <w:bCs w:val="0"/>
          <w:color w:val="auto"/>
          <w:kern w:val="2"/>
          <w:sz w:val="28"/>
          <w:szCs w:val="22"/>
          <w:highlight w:val="none"/>
          <w:shd w:val="clear" w:color="auto" w:fill="auto"/>
          <w:lang w:val="en-US" w:eastAsia="zh-CN" w:bidi="ar-SA"/>
        </w:rPr>
        <w:t>元整</w:t>
      </w:r>
    </w:p>
    <w:p>
      <w:pPr>
        <w:keepNext w:val="0"/>
        <w:keepLines w:val="0"/>
        <w:pageBreakBefore w:val="0"/>
        <w:widowControl w:val="0"/>
        <w:kinsoku/>
        <w:wordWrap/>
        <w:overflowPunct/>
        <w:topLinePunct w:val="0"/>
        <w:autoSpaceDE/>
        <w:autoSpaceDN/>
        <w:bidi w:val="0"/>
        <w:adjustRightInd/>
        <w:snapToGrid w:val="0"/>
        <w:spacing w:after="120" w:line="420" w:lineRule="exact"/>
        <w:ind w:right="-620" w:rightChars="-282"/>
        <w:textAlignment w:val="auto"/>
        <w:rPr>
          <w:rFonts w:hint="eastAsia" w:ascii="宋体" w:hAnsi="宋体" w:eastAsia="宋体" w:cs="宋体"/>
          <w:b/>
          <w:bCs w:val="0"/>
          <w:color w:val="auto"/>
          <w:kern w:val="2"/>
          <w:sz w:val="28"/>
          <w:szCs w:val="22"/>
          <w:highlight w:val="none"/>
          <w:shd w:val="clear" w:color="auto" w:fill="auto"/>
          <w:lang w:val="en-US" w:eastAsia="zh-CN" w:bidi="ar-SA"/>
        </w:rPr>
      </w:pPr>
      <w:r>
        <w:rPr>
          <w:rFonts w:hint="eastAsia" w:ascii="宋体" w:hAnsi="宋体" w:eastAsia="宋体" w:cs="宋体"/>
          <w:b/>
          <w:color w:val="auto"/>
          <w:sz w:val="28"/>
          <w:highlight w:val="none"/>
          <w:shd w:val="clear" w:color="auto" w:fill="auto"/>
          <w:lang w:val="en-US" w:eastAsia="zh-CN"/>
        </w:rPr>
        <w:t xml:space="preserve">                   （大写）</w:t>
      </w:r>
      <w:r>
        <w:rPr>
          <w:rFonts w:hint="eastAsia" w:ascii="宋体" w:hAnsi="宋体" w:eastAsia="宋体" w:cs="宋体"/>
          <w:b/>
          <w:bCs w:val="0"/>
          <w:color w:val="auto"/>
          <w:kern w:val="2"/>
          <w:sz w:val="28"/>
          <w:szCs w:val="22"/>
          <w:highlight w:val="none"/>
          <w:shd w:val="clear" w:color="auto" w:fill="auto"/>
          <w:lang w:val="en-US" w:eastAsia="zh-CN" w:bidi="ar-SA"/>
        </w:rPr>
        <w:t xml:space="preserve"> 壹仟零叁拾贰万捌仟叁佰叁拾玖元整</w:t>
      </w:r>
    </w:p>
    <w:p>
      <w:pPr>
        <w:keepNext w:val="0"/>
        <w:keepLines w:val="0"/>
        <w:pageBreakBefore w:val="0"/>
        <w:widowControl w:val="0"/>
        <w:kinsoku/>
        <w:wordWrap/>
        <w:overflowPunct/>
        <w:topLinePunct w:val="0"/>
        <w:autoSpaceDE/>
        <w:autoSpaceDN/>
        <w:bidi w:val="0"/>
        <w:adjustRightInd/>
        <w:snapToGrid w:val="0"/>
        <w:spacing w:before="0" w:after="0" w:line="420" w:lineRule="exact"/>
        <w:ind w:firstLine="843" w:firstLineChars="300"/>
        <w:jc w:val="both"/>
        <w:textAlignment w:val="auto"/>
        <w:rPr>
          <w:rFonts w:ascii="宋体" w:hAnsi="宋体" w:eastAsia="宋体" w:cs="宋体"/>
          <w:color w:val="000000"/>
          <w:spacing w:val="20"/>
          <w:sz w:val="28"/>
          <w:highlight w:val="none"/>
          <w:shd w:val="clear" w:color="auto" w:fill="auto"/>
        </w:rPr>
      </w:pPr>
      <w:r>
        <w:rPr>
          <w:rFonts w:hint="eastAsia" w:ascii="宋体" w:hAnsi="宋体" w:eastAsia="宋体" w:cs="宋体"/>
          <w:b/>
          <w:bCs w:val="0"/>
          <w:color w:val="auto"/>
          <w:kern w:val="2"/>
          <w:sz w:val="28"/>
          <w:szCs w:val="22"/>
          <w:highlight w:val="none"/>
          <w:shd w:val="clear" w:color="auto" w:fill="auto"/>
          <w:lang w:val="en-US" w:eastAsia="zh-CN" w:bidi="ar-SA"/>
        </w:rPr>
        <w:t>其中：暂列金额：920,000元整（玖拾贰万元整）</w:t>
      </w:r>
    </w:p>
    <w:p>
      <w:pPr>
        <w:keepNext w:val="0"/>
        <w:keepLines w:val="0"/>
        <w:pageBreakBefore w:val="0"/>
        <w:widowControl w:val="0"/>
        <w:kinsoku/>
        <w:wordWrap/>
        <w:overflowPunct/>
        <w:topLinePunct w:val="0"/>
        <w:autoSpaceDE/>
        <w:autoSpaceDN/>
        <w:bidi w:val="0"/>
        <w:adjustRightInd/>
        <w:snapToGrid w:val="0"/>
        <w:spacing w:after="120" w:line="300" w:lineRule="exact"/>
        <w:ind w:right="-620" w:rightChars="-282"/>
        <w:jc w:val="both"/>
        <w:textAlignment w:val="auto"/>
        <w:rPr>
          <w:rFonts w:ascii="宋体" w:hAnsi="宋体" w:eastAsia="宋体" w:cs="宋体"/>
          <w:color w:val="000000"/>
          <w:spacing w:val="20"/>
          <w:sz w:val="28"/>
          <w:shd w:val="clear" w:color="auto" w:fill="auto"/>
        </w:rPr>
      </w:pPr>
    </w:p>
    <w:p>
      <w:pPr>
        <w:keepNext w:val="0"/>
        <w:keepLines w:val="0"/>
        <w:pageBreakBefore w:val="0"/>
        <w:widowControl w:val="0"/>
        <w:kinsoku/>
        <w:wordWrap/>
        <w:overflowPunct/>
        <w:topLinePunct w:val="0"/>
        <w:autoSpaceDE/>
        <w:autoSpaceDN/>
        <w:bidi w:val="0"/>
        <w:adjustRightInd/>
        <w:snapToGrid w:val="0"/>
        <w:spacing w:after="120" w:line="300" w:lineRule="exact"/>
        <w:ind w:right="-620" w:rightChars="-282"/>
        <w:jc w:val="both"/>
        <w:textAlignment w:val="auto"/>
        <w:rPr>
          <w:rFonts w:ascii="宋体" w:hAnsi="宋体" w:eastAsia="宋体" w:cs="宋体"/>
          <w:color w:val="000000"/>
          <w:spacing w:val="20"/>
          <w:sz w:val="28"/>
          <w:shd w:val="clear" w:color="auto" w:fill="auto"/>
        </w:rPr>
      </w:pPr>
    </w:p>
    <w:p>
      <w:pPr>
        <w:keepNext w:val="0"/>
        <w:keepLines w:val="0"/>
        <w:pageBreakBefore w:val="0"/>
        <w:widowControl w:val="0"/>
        <w:kinsoku/>
        <w:wordWrap/>
        <w:overflowPunct/>
        <w:topLinePunct w:val="0"/>
        <w:autoSpaceDE/>
        <w:autoSpaceDN/>
        <w:bidi w:val="0"/>
        <w:adjustRightInd/>
        <w:snapToGrid w:val="0"/>
        <w:spacing w:after="120" w:line="500" w:lineRule="exact"/>
        <w:ind w:right="-620" w:rightChars="-282" w:firstLine="2880" w:firstLineChars="900"/>
        <w:jc w:val="center"/>
        <w:textAlignment w:val="auto"/>
        <w:rPr>
          <w:highlight w:val="none"/>
          <w:shd w:val="clear" w:color="auto" w:fill="auto"/>
        </w:rPr>
      </w:pPr>
      <w:r>
        <w:rPr>
          <w:rFonts w:ascii="宋体" w:hAnsi="宋体" w:eastAsia="宋体" w:cs="宋体"/>
          <w:color w:val="000000"/>
          <w:spacing w:val="20"/>
          <w:sz w:val="28"/>
          <w:highlight w:val="none"/>
          <w:shd w:val="clear" w:color="auto" w:fill="auto"/>
        </w:rPr>
        <w:t>内蒙古佳世达工程项目管理有限公司</w:t>
      </w:r>
    </w:p>
    <w:p>
      <w:pPr>
        <w:keepNext w:val="0"/>
        <w:keepLines w:val="0"/>
        <w:pageBreakBefore w:val="0"/>
        <w:widowControl w:val="0"/>
        <w:kinsoku/>
        <w:wordWrap/>
        <w:overflowPunct/>
        <w:topLinePunct w:val="0"/>
        <w:autoSpaceDE/>
        <w:autoSpaceDN/>
        <w:bidi w:val="0"/>
        <w:adjustRightInd/>
        <w:snapToGrid w:val="0"/>
        <w:spacing w:after="120" w:line="500" w:lineRule="exact"/>
        <w:ind w:right="-620" w:rightChars="-282" w:firstLine="3060" w:firstLineChars="900"/>
        <w:jc w:val="center"/>
        <w:textAlignment w:val="auto"/>
        <w:rPr>
          <w:rFonts w:hint="eastAsia" w:ascii="宋体" w:hAnsi="宋体" w:eastAsia="宋体" w:cs="宋体"/>
          <w:b/>
          <w:color w:val="000000"/>
          <w:sz w:val="40"/>
          <w:lang w:val="en-US" w:eastAsia="zh-CN"/>
        </w:rPr>
      </w:pPr>
      <w:r>
        <w:rPr>
          <w:rFonts w:ascii="宋体" w:hAnsi="宋体" w:eastAsia="宋体" w:cs="宋体"/>
          <w:color w:val="000000"/>
          <w:spacing w:val="20"/>
          <w:sz w:val="30"/>
          <w:highlight w:val="none"/>
          <w:shd w:val="clear" w:color="auto" w:fill="auto"/>
        </w:rPr>
        <w:t>202</w:t>
      </w:r>
      <w:r>
        <w:rPr>
          <w:rFonts w:hint="eastAsia" w:ascii="宋体" w:hAnsi="宋体" w:eastAsia="宋体" w:cs="宋体"/>
          <w:color w:val="000000"/>
          <w:spacing w:val="20"/>
          <w:sz w:val="30"/>
          <w:highlight w:val="none"/>
          <w:shd w:val="clear" w:color="auto" w:fill="auto"/>
          <w:lang w:val="en-US" w:eastAsia="zh-CN"/>
        </w:rPr>
        <w:t>4</w:t>
      </w:r>
      <w:r>
        <w:rPr>
          <w:rFonts w:ascii="宋体" w:hAnsi="宋体" w:eastAsia="宋体" w:cs="宋体"/>
          <w:color w:val="000000"/>
          <w:spacing w:val="20"/>
          <w:sz w:val="30"/>
          <w:highlight w:val="none"/>
          <w:shd w:val="clear" w:color="auto" w:fill="auto"/>
        </w:rPr>
        <w:t>年</w:t>
      </w:r>
      <w:r>
        <w:rPr>
          <w:rFonts w:hint="eastAsia" w:ascii="宋体" w:hAnsi="宋体" w:eastAsia="宋体" w:cs="宋体"/>
          <w:color w:val="000000"/>
          <w:spacing w:val="20"/>
          <w:sz w:val="30"/>
          <w:highlight w:val="none"/>
          <w:shd w:val="clear" w:color="auto" w:fill="auto"/>
          <w:lang w:val="en-US" w:eastAsia="zh-CN"/>
        </w:rPr>
        <w:t>1</w:t>
      </w:r>
      <w:r>
        <w:rPr>
          <w:rFonts w:ascii="宋体" w:hAnsi="宋体" w:eastAsia="宋体" w:cs="宋体"/>
          <w:color w:val="000000"/>
          <w:spacing w:val="20"/>
          <w:sz w:val="30"/>
          <w:highlight w:val="none"/>
          <w:shd w:val="clear" w:color="auto" w:fill="auto"/>
        </w:rPr>
        <w:t>月</w:t>
      </w:r>
      <w:r>
        <w:rPr>
          <w:rFonts w:hint="eastAsia" w:ascii="宋体" w:hAnsi="宋体" w:eastAsia="宋体" w:cs="宋体"/>
          <w:color w:val="000000"/>
          <w:spacing w:val="20"/>
          <w:sz w:val="30"/>
          <w:highlight w:val="none"/>
          <w:shd w:val="clear" w:color="auto" w:fill="auto"/>
          <w:lang w:val="en-US" w:eastAsia="zh-CN"/>
        </w:rPr>
        <w:t>26</w:t>
      </w:r>
      <w:r>
        <w:rPr>
          <w:rFonts w:ascii="宋体" w:hAnsi="宋体" w:eastAsia="宋体" w:cs="宋体"/>
          <w:color w:val="000000"/>
          <w:spacing w:val="20"/>
          <w:sz w:val="30"/>
          <w:highlight w:val="none"/>
          <w:shd w:val="clear" w:color="auto" w:fill="auto"/>
        </w:rPr>
        <w:t>日</w:t>
      </w:r>
    </w:p>
    <w:p>
      <w:pPr>
        <w:spacing w:before="0" w:after="0"/>
        <w:jc w:val="center"/>
        <w:rPr>
          <w:rFonts w:hint="eastAsia" w:ascii="宋体" w:hAnsi="宋体" w:eastAsia="宋体" w:cs="宋体"/>
          <w:b/>
          <w:color w:val="000000"/>
          <w:sz w:val="40"/>
          <w:lang w:val="en-US" w:eastAsia="zh-CN"/>
        </w:rPr>
      </w:pPr>
    </w:p>
    <w:p>
      <w:pPr>
        <w:spacing w:before="0" w:after="0"/>
        <w:jc w:val="center"/>
        <w:rPr>
          <w:rFonts w:hint="eastAsia" w:ascii="宋体" w:hAnsi="宋体" w:eastAsia="宋体" w:cs="宋体"/>
          <w:b/>
          <w:color w:val="000000"/>
          <w:sz w:val="40"/>
        </w:rPr>
      </w:pPr>
      <w:r>
        <w:rPr>
          <w:rFonts w:hint="eastAsia" w:ascii="宋体" w:hAnsi="宋体" w:eastAsia="宋体" w:cs="宋体"/>
          <w:b/>
          <w:color w:val="000000"/>
          <w:sz w:val="40"/>
          <w:lang w:val="en-US" w:eastAsia="zh-CN"/>
        </w:rPr>
        <w:t>呼和浩特市蒙古族幼儿园金桥分园金地江山风华园</w:t>
      </w:r>
      <w:r>
        <w:rPr>
          <w:rFonts w:hint="eastAsia" w:ascii="宋体" w:hAnsi="宋体" w:eastAsia="宋体" w:cs="宋体"/>
          <w:b/>
          <w:color w:val="000000"/>
          <w:sz w:val="40"/>
        </w:rPr>
        <w:t>计取暂列金的说明</w:t>
      </w:r>
    </w:p>
    <w:p>
      <w:pPr>
        <w:ind w:firstLine="1321" w:firstLineChars="300"/>
        <w:jc w:val="center"/>
        <w:rPr>
          <w:rFonts w:hint="eastAsia"/>
          <w:b/>
          <w:sz w:val="44"/>
          <w:szCs w:val="44"/>
        </w:rPr>
      </w:pPr>
    </w:p>
    <w:p>
      <w:pPr>
        <w:ind w:firstLine="631" w:firstLineChars="197"/>
        <w:rPr>
          <w:rFonts w:hint="eastAsia"/>
          <w:b/>
          <w:sz w:val="32"/>
          <w:szCs w:val="32"/>
          <w:highlight w:val="none"/>
        </w:rPr>
      </w:pPr>
      <w:r>
        <w:rPr>
          <w:rFonts w:hint="eastAsia"/>
          <w:b/>
          <w:sz w:val="32"/>
          <w:szCs w:val="32"/>
        </w:rPr>
        <w:t>考虑本工程尚未确定或者不可预见所需材料、设备、服务的采购，施工中可能发生的工程变更，依据GB50500-2013《建设工程工程量清单计价规范》4.4.2条按本次招标项目工程造价计取，暂列金</w:t>
      </w:r>
      <w:r>
        <w:rPr>
          <w:rFonts w:hint="eastAsia"/>
          <w:b/>
          <w:color w:val="auto"/>
          <w:sz w:val="32"/>
          <w:szCs w:val="32"/>
          <w:highlight w:val="none"/>
        </w:rPr>
        <w:t>额为</w:t>
      </w:r>
      <w:r>
        <w:rPr>
          <w:rFonts w:hint="eastAsia"/>
          <w:b/>
          <w:color w:val="auto"/>
          <w:sz w:val="32"/>
          <w:szCs w:val="32"/>
          <w:highlight w:val="none"/>
          <w:lang w:val="en-US" w:eastAsia="zh-CN"/>
        </w:rPr>
        <w:t>920,000元</w:t>
      </w:r>
      <w:r>
        <w:rPr>
          <w:rFonts w:hint="eastAsia"/>
          <w:b/>
          <w:sz w:val="32"/>
          <w:szCs w:val="32"/>
          <w:highlight w:val="none"/>
          <w:lang w:val="en-US" w:eastAsia="zh-CN"/>
        </w:rPr>
        <w:t>整</w:t>
      </w:r>
      <w:r>
        <w:rPr>
          <w:rFonts w:hint="eastAsia"/>
          <w:b/>
          <w:sz w:val="32"/>
          <w:szCs w:val="32"/>
          <w:highlight w:val="none"/>
          <w:lang w:eastAsia="zh-CN"/>
        </w:rPr>
        <w:t>（</w:t>
      </w:r>
      <w:r>
        <w:rPr>
          <w:rFonts w:hint="eastAsia"/>
          <w:b/>
          <w:sz w:val="32"/>
          <w:szCs w:val="32"/>
          <w:highlight w:val="none"/>
          <w:lang w:val="en-US" w:eastAsia="zh-CN"/>
        </w:rPr>
        <w:t>含税、不可调整</w:t>
      </w:r>
      <w:r>
        <w:rPr>
          <w:rFonts w:hint="eastAsia"/>
          <w:b/>
          <w:sz w:val="32"/>
          <w:szCs w:val="32"/>
          <w:highlight w:val="none"/>
          <w:lang w:eastAsia="zh-CN"/>
        </w:rPr>
        <w:t>）</w:t>
      </w:r>
      <w:r>
        <w:rPr>
          <w:rFonts w:hint="eastAsia"/>
          <w:b/>
          <w:sz w:val="32"/>
          <w:szCs w:val="32"/>
          <w:highlight w:val="none"/>
        </w:rPr>
        <w:t>，此项费用按发生额据实结算。</w:t>
      </w:r>
    </w:p>
    <w:p>
      <w:pPr>
        <w:rPr>
          <w:rFonts w:hint="eastAsia"/>
          <w:b/>
          <w:sz w:val="32"/>
          <w:szCs w:val="32"/>
        </w:rPr>
      </w:pPr>
    </w:p>
    <w:p>
      <w:pPr>
        <w:rPr>
          <w:rFonts w:hint="eastAsia"/>
          <w:b/>
          <w:sz w:val="32"/>
          <w:szCs w:val="32"/>
        </w:rPr>
      </w:pPr>
    </w:p>
    <w:p>
      <w:pPr>
        <w:rPr>
          <w:rFonts w:hint="eastAsia"/>
          <w:b/>
          <w:sz w:val="44"/>
          <w:szCs w:val="44"/>
        </w:rPr>
      </w:pPr>
    </w:p>
    <w:p>
      <w:pPr>
        <w:rPr>
          <w:rFonts w:hint="eastAsia"/>
          <w:b/>
          <w:sz w:val="32"/>
          <w:szCs w:val="32"/>
        </w:rPr>
      </w:pPr>
    </w:p>
    <w:p>
      <w:pPr>
        <w:ind w:firstLine="1105" w:firstLineChars="345"/>
        <w:jc w:val="right"/>
        <w:rPr>
          <w:rFonts w:hint="eastAsia"/>
          <w:b/>
          <w:sz w:val="32"/>
          <w:szCs w:val="32"/>
        </w:rPr>
      </w:pPr>
      <w:r>
        <w:rPr>
          <w:rFonts w:hint="eastAsia"/>
          <w:b/>
          <w:sz w:val="32"/>
          <w:szCs w:val="32"/>
        </w:rPr>
        <w:t>内蒙古佳世达工程项目管理有限公司</w:t>
      </w:r>
    </w:p>
    <w:p>
      <w:pPr>
        <w:ind w:firstLine="5113" w:firstLineChars="1597"/>
        <w:rPr>
          <w:rFonts w:hint="eastAsia"/>
          <w:b/>
          <w:sz w:val="32"/>
          <w:szCs w:val="32"/>
          <w:highlight w:val="none"/>
        </w:rPr>
      </w:pPr>
      <w:r>
        <w:rPr>
          <w:rFonts w:hint="eastAsia"/>
          <w:b/>
          <w:sz w:val="32"/>
          <w:szCs w:val="32"/>
          <w:highlight w:val="none"/>
          <w:lang w:eastAsia="zh-CN"/>
        </w:rPr>
        <w:t>20</w:t>
      </w:r>
      <w:r>
        <w:rPr>
          <w:rFonts w:hint="eastAsia"/>
          <w:b/>
          <w:sz w:val="32"/>
          <w:szCs w:val="32"/>
          <w:highlight w:val="none"/>
          <w:lang w:val="en-US" w:eastAsia="zh-CN"/>
        </w:rPr>
        <w:t>24</w:t>
      </w:r>
      <w:r>
        <w:rPr>
          <w:rFonts w:hint="eastAsia"/>
          <w:b/>
          <w:sz w:val="32"/>
          <w:szCs w:val="32"/>
          <w:highlight w:val="none"/>
          <w:lang w:eastAsia="zh-CN"/>
        </w:rPr>
        <w:t>年</w:t>
      </w:r>
      <w:r>
        <w:rPr>
          <w:rFonts w:hint="eastAsia"/>
          <w:b/>
          <w:sz w:val="32"/>
          <w:szCs w:val="32"/>
          <w:highlight w:val="none"/>
          <w:lang w:val="en-US" w:eastAsia="zh-CN"/>
        </w:rPr>
        <w:t>1</w:t>
      </w:r>
      <w:r>
        <w:rPr>
          <w:rFonts w:hint="eastAsia"/>
          <w:b/>
          <w:sz w:val="32"/>
          <w:szCs w:val="32"/>
          <w:highlight w:val="none"/>
          <w:lang w:eastAsia="zh-CN"/>
        </w:rPr>
        <w:t>月</w:t>
      </w:r>
      <w:r>
        <w:rPr>
          <w:rFonts w:hint="eastAsia"/>
          <w:b/>
          <w:sz w:val="32"/>
          <w:szCs w:val="32"/>
          <w:highlight w:val="none"/>
          <w:lang w:val="en-US" w:eastAsia="zh-CN"/>
        </w:rPr>
        <w:t>26</w:t>
      </w:r>
      <w:r>
        <w:rPr>
          <w:rFonts w:hint="eastAsia"/>
          <w:b/>
          <w:sz w:val="32"/>
          <w:szCs w:val="32"/>
          <w:highlight w:val="none"/>
        </w:rPr>
        <w:t>日</w:t>
      </w:r>
    </w:p>
    <w:p>
      <w:pPr>
        <w:pStyle w:val="2"/>
        <w:rPr>
          <w:rFonts w:hint="eastAsia"/>
          <w:b/>
          <w:sz w:val="32"/>
          <w:szCs w:val="32"/>
          <w:highlight w:val="yellow"/>
        </w:rPr>
      </w:pPr>
    </w:p>
    <w:p>
      <w:pPr>
        <w:pStyle w:val="2"/>
        <w:rPr>
          <w:rFonts w:hint="eastAsia"/>
          <w:b/>
          <w:sz w:val="32"/>
          <w:szCs w:val="32"/>
          <w:highlight w:val="yellow"/>
        </w:rPr>
      </w:pPr>
    </w:p>
    <w:p>
      <w:pPr>
        <w:jc w:val="both"/>
        <w:rPr>
          <w:rFonts w:hint="eastAsia" w:ascii="宋体" w:hAnsi="宋体" w:eastAsia="宋体" w:cs="宋体"/>
          <w:b/>
          <w:i w:val="0"/>
          <w:color w:val="000000"/>
          <w:kern w:val="0"/>
          <w:sz w:val="36"/>
          <w:szCs w:val="36"/>
          <w:u w:val="none"/>
          <w:lang w:val="en-US" w:eastAsia="zh-CN" w:bidi="ar"/>
        </w:rPr>
      </w:pPr>
    </w:p>
    <w:p>
      <w:pPr>
        <w:jc w:val="center"/>
        <w:rPr>
          <w:rFonts w:ascii="宋体" w:hAnsi="宋体" w:eastAsia="宋体" w:cs="宋体"/>
          <w:b/>
          <w:bCs/>
          <w:sz w:val="32"/>
          <w:szCs w:val="32"/>
        </w:rPr>
      </w:pPr>
      <w:r>
        <w:rPr>
          <w:rFonts w:hint="eastAsia" w:ascii="宋体" w:hAnsi="宋体" w:eastAsia="宋体" w:cs="宋体"/>
          <w:b/>
          <w:color w:val="000000"/>
          <w:sz w:val="40"/>
          <w:lang w:val="en-US" w:eastAsia="zh-CN"/>
        </w:rPr>
        <w:t>呼和浩特市蒙古族幼儿园金桥分园金地江山风华园</w:t>
      </w:r>
      <w:r>
        <w:rPr>
          <w:rFonts w:hint="eastAsia" w:ascii="宋体" w:hAnsi="宋体" w:eastAsia="宋体" w:cs="宋体"/>
          <w:b/>
          <w:i w:val="0"/>
          <w:color w:val="000000"/>
          <w:kern w:val="0"/>
          <w:sz w:val="36"/>
          <w:szCs w:val="36"/>
          <w:u w:val="none"/>
          <w:lang w:val="en-US" w:eastAsia="zh-CN" w:bidi="ar"/>
        </w:rPr>
        <w:t>招标工程量清单编制说明</w:t>
      </w:r>
    </w:p>
    <w:p>
      <w:pPr>
        <w:pStyle w:val="11"/>
        <w:keepNext w:val="0"/>
        <w:keepLines w:val="0"/>
        <w:pageBreakBefore w:val="0"/>
        <w:numPr>
          <w:ilvl w:val="0"/>
          <w:numId w:val="1"/>
        </w:numPr>
        <w:kinsoku/>
        <w:wordWrap/>
        <w:overflowPunct/>
        <w:topLinePunct w:val="0"/>
        <w:autoSpaceDE/>
        <w:autoSpaceDN/>
        <w:bidi w:val="0"/>
        <w:adjustRightInd/>
        <w:snapToGrid/>
        <w:spacing w:line="540" w:lineRule="exact"/>
        <w:ind w:firstLine="0" w:firstLineChars="0"/>
        <w:textAlignment w:val="auto"/>
        <w:rPr>
          <w:rFonts w:ascii="宋体" w:hAnsi="宋体" w:eastAsia="宋体" w:cs="宋体"/>
          <w:b/>
          <w:sz w:val="28"/>
          <w:szCs w:val="28"/>
        </w:rPr>
      </w:pPr>
      <w:r>
        <w:rPr>
          <w:rFonts w:hint="eastAsia" w:ascii="宋体" w:hAnsi="宋体" w:eastAsia="宋体" w:cs="宋体"/>
          <w:b/>
          <w:sz w:val="28"/>
          <w:szCs w:val="28"/>
        </w:rPr>
        <w:t>工程概况</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工程名称：呼和浩特市蒙古族幼儿园金桥分园金地江山风华园</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highlight w:val="red"/>
          <w:lang w:val="en-US" w:eastAsia="zh-CN"/>
        </w:rPr>
      </w:pPr>
      <w:r>
        <w:rPr>
          <w:rFonts w:hint="eastAsia" w:ascii="宋体" w:hAnsi="宋体" w:eastAsia="宋体" w:cs="宋体"/>
          <w:sz w:val="28"/>
          <w:szCs w:val="28"/>
          <w:lang w:val="en-US" w:eastAsia="zh-CN"/>
        </w:rPr>
        <w:t>工程地点：</w:t>
      </w:r>
      <w:r>
        <w:rPr>
          <w:rFonts w:hint="eastAsia" w:ascii="宋体" w:hAnsi="宋体" w:eastAsia="宋体" w:cs="宋体"/>
          <w:sz w:val="28"/>
          <w:szCs w:val="28"/>
          <w:highlight w:val="none"/>
          <w:lang w:val="en-US" w:eastAsia="zh-CN"/>
        </w:rPr>
        <w:t>呼和浩特市赛罕区</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0000FF"/>
          <w:sz w:val="28"/>
          <w:szCs w:val="28"/>
          <w:highlight w:val="none"/>
          <w:lang w:val="en-US" w:eastAsia="zh-CN"/>
        </w:rPr>
      </w:pPr>
      <w:r>
        <w:rPr>
          <w:rFonts w:hint="eastAsia" w:ascii="宋体" w:hAnsi="宋体" w:eastAsia="宋体" w:cs="宋体"/>
          <w:color w:val="auto"/>
          <w:sz w:val="28"/>
          <w:szCs w:val="28"/>
          <w:highlight w:val="none"/>
        </w:rPr>
        <w:t>工程概况：</w:t>
      </w:r>
      <w:r>
        <w:rPr>
          <w:rFonts w:hint="eastAsia" w:ascii="宋体" w:hAnsi="宋体" w:eastAsia="宋体" w:cs="宋体"/>
          <w:color w:val="auto"/>
          <w:sz w:val="28"/>
          <w:szCs w:val="28"/>
          <w:highlight w:val="none"/>
          <w:lang w:val="en-US" w:eastAsia="zh-CN"/>
        </w:rPr>
        <w:t>建设内容主要包括本次招标图纸范围内幼儿园门房、幼儿园室内装修工程、室外工程。</w:t>
      </w:r>
    </w:p>
    <w:p>
      <w:pPr>
        <w:pStyle w:val="11"/>
        <w:keepNext w:val="0"/>
        <w:keepLines w:val="0"/>
        <w:pageBreakBefore w:val="0"/>
        <w:kinsoku/>
        <w:wordWrap/>
        <w:overflowPunct/>
        <w:topLinePunct w:val="0"/>
        <w:autoSpaceDE/>
        <w:autoSpaceDN/>
        <w:bidi w:val="0"/>
        <w:adjustRightInd/>
        <w:snapToGrid/>
        <w:spacing w:line="540" w:lineRule="exact"/>
        <w:ind w:firstLine="0" w:firstLineChars="0"/>
        <w:textAlignment w:val="auto"/>
        <w:rPr>
          <w:rFonts w:ascii="宋体" w:hAnsi="宋体" w:eastAsia="宋体" w:cs="宋体"/>
          <w:b/>
          <w:sz w:val="28"/>
          <w:szCs w:val="28"/>
          <w:highlight w:val="none"/>
        </w:rPr>
      </w:pPr>
      <w:r>
        <w:rPr>
          <w:rFonts w:hint="eastAsia" w:ascii="宋体" w:hAnsi="宋体" w:eastAsia="宋体" w:cs="宋体"/>
          <w:b/>
          <w:sz w:val="28"/>
          <w:szCs w:val="28"/>
          <w:highlight w:val="none"/>
        </w:rPr>
        <w:t>二、编制范围</w:t>
      </w:r>
    </w:p>
    <w:p>
      <w:pPr>
        <w:pStyle w:val="11"/>
        <w:keepNext w:val="0"/>
        <w:keepLines w:val="0"/>
        <w:pageBreakBefore w:val="0"/>
        <w:kinsoku/>
        <w:wordWrap/>
        <w:overflowPunct/>
        <w:topLinePunct w:val="0"/>
        <w:autoSpaceDE/>
        <w:autoSpaceDN/>
        <w:bidi w:val="0"/>
        <w:adjustRightInd/>
        <w:snapToGrid/>
        <w:spacing w:line="540" w:lineRule="exact"/>
        <w:ind w:firstLine="562"/>
        <w:jc w:val="left"/>
        <w:textAlignment w:val="auto"/>
        <w:rPr>
          <w:rFonts w:ascii="宋体" w:hAnsi="宋体" w:eastAsia="宋体" w:cs="宋体"/>
          <w:b/>
          <w:sz w:val="28"/>
          <w:szCs w:val="28"/>
          <w:highlight w:val="none"/>
        </w:rPr>
      </w:pPr>
      <w:r>
        <w:rPr>
          <w:rFonts w:hint="eastAsia" w:ascii="宋体" w:hAnsi="宋体" w:eastAsia="宋体" w:cs="宋体"/>
          <w:b/>
          <w:sz w:val="28"/>
          <w:szCs w:val="28"/>
          <w:highlight w:val="none"/>
        </w:rPr>
        <w:t>（一）土建部分：</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本次</w:t>
      </w:r>
      <w:r>
        <w:rPr>
          <w:rFonts w:hint="eastAsia" w:ascii="宋体" w:hAnsi="宋体" w:eastAsia="宋体" w:cs="宋体"/>
          <w:color w:val="auto"/>
          <w:sz w:val="28"/>
          <w:szCs w:val="28"/>
          <w:shd w:val="clear" w:color="auto" w:fill="auto"/>
          <w:lang w:val="en-US" w:eastAsia="zh-CN"/>
        </w:rPr>
        <w:t>清单编</w:t>
      </w:r>
      <w:r>
        <w:rPr>
          <w:rFonts w:hint="eastAsia" w:ascii="宋体" w:hAnsi="宋体" w:eastAsia="宋体" w:cs="宋体"/>
          <w:color w:val="auto"/>
          <w:sz w:val="28"/>
          <w:szCs w:val="28"/>
          <w:highlight w:val="none"/>
          <w:lang w:val="en-US" w:eastAsia="zh-CN"/>
        </w:rPr>
        <w:t>制范围包括：图纸范围内的幼儿园门房土石方工程、门房建筑装饰工程、幼儿园室内</w:t>
      </w:r>
      <w:r>
        <w:rPr>
          <w:rFonts w:hint="eastAsia" w:ascii="宋体" w:hAnsi="宋体" w:eastAsia="宋体" w:cs="宋体"/>
          <w:color w:val="auto"/>
          <w:sz w:val="28"/>
          <w:szCs w:val="28"/>
          <w:shd w:val="clear" w:color="auto" w:fill="FFFFFF"/>
          <w:lang w:val="en-US" w:eastAsia="zh-CN"/>
        </w:rPr>
        <w:t>装饰装修工程</w:t>
      </w:r>
      <w:r>
        <w:rPr>
          <w:rFonts w:hint="eastAsia" w:ascii="宋体" w:hAnsi="宋体" w:eastAsia="宋体" w:cs="宋体"/>
          <w:color w:val="auto"/>
          <w:sz w:val="28"/>
          <w:szCs w:val="28"/>
          <w:highlight w:val="none"/>
          <w:lang w:val="en-US" w:eastAsia="zh-CN"/>
        </w:rPr>
        <w:t>等。</w:t>
      </w:r>
    </w:p>
    <w:p>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w:t>
      </w:r>
      <w:r>
        <w:rPr>
          <w:rFonts w:hint="eastAsia" w:ascii="宋体" w:hAnsi="宋体" w:eastAsia="宋体" w:cs="宋体"/>
          <w:b/>
          <w:bCs/>
          <w:color w:val="auto"/>
          <w:sz w:val="28"/>
          <w:szCs w:val="28"/>
          <w:highlight w:val="none"/>
          <w:lang w:val="en-US" w:eastAsia="zh-CN"/>
        </w:rPr>
        <w:t>安装部分：</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sz w:val="28"/>
          <w:szCs w:val="28"/>
          <w:highlight w:val="none"/>
        </w:rPr>
        <w:t>本</w:t>
      </w:r>
      <w:r>
        <w:rPr>
          <w:rFonts w:hint="eastAsia" w:ascii="宋体" w:hAnsi="宋体" w:eastAsia="宋体" w:cs="宋体"/>
          <w:sz w:val="28"/>
          <w:szCs w:val="28"/>
          <w:highlight w:val="none"/>
          <w:shd w:val="clear" w:color="auto" w:fill="auto"/>
        </w:rPr>
        <w:t>次清单编</w:t>
      </w:r>
      <w:r>
        <w:rPr>
          <w:rFonts w:hint="eastAsia" w:ascii="宋体" w:hAnsi="宋体" w:eastAsia="宋体" w:cs="宋体"/>
          <w:sz w:val="28"/>
          <w:szCs w:val="28"/>
          <w:highlight w:val="none"/>
        </w:rPr>
        <w:t>制范围包括</w:t>
      </w:r>
      <w:r>
        <w:rPr>
          <w:rFonts w:hint="eastAsia" w:ascii="宋体" w:hAnsi="宋体" w:eastAsia="宋体" w:cs="宋体"/>
          <w:sz w:val="28"/>
          <w:szCs w:val="28"/>
          <w:highlight w:val="none"/>
          <w:lang w:eastAsia="zh-CN"/>
        </w:rPr>
        <w:t>：</w:t>
      </w:r>
      <w:r>
        <w:rPr>
          <w:rFonts w:hint="eastAsia" w:ascii="宋体" w:hAnsi="宋体" w:eastAsia="宋体" w:cs="宋体"/>
          <w:color w:val="auto"/>
          <w:sz w:val="28"/>
          <w:szCs w:val="28"/>
          <w:highlight w:val="none"/>
          <w:lang w:val="en-US" w:eastAsia="zh-CN"/>
        </w:rPr>
        <w:t>图纸范围内的幼儿园</w:t>
      </w:r>
      <w:bookmarkStart w:id="0" w:name="_GoBack"/>
      <w:bookmarkEnd w:id="0"/>
      <w:r>
        <w:rPr>
          <w:rFonts w:hint="eastAsia" w:ascii="宋体" w:hAnsi="宋体" w:eastAsia="宋体" w:cs="宋体"/>
          <w:color w:val="auto"/>
          <w:sz w:val="28"/>
          <w:szCs w:val="28"/>
          <w:highlight w:val="none"/>
          <w:lang w:val="en-US" w:eastAsia="zh-CN"/>
        </w:rPr>
        <w:t>门房安装工程、幼儿园室内</w:t>
      </w:r>
      <w:r>
        <w:rPr>
          <w:rFonts w:hint="eastAsia" w:ascii="宋体" w:hAnsi="宋体" w:eastAsia="宋体" w:cs="宋体"/>
          <w:color w:val="auto"/>
          <w:sz w:val="28"/>
          <w:szCs w:val="28"/>
          <w:highlight w:val="none"/>
          <w:shd w:val="clear" w:color="auto" w:fill="FFFFFF"/>
          <w:lang w:val="en-US" w:eastAsia="zh-CN"/>
        </w:rPr>
        <w:t>电气、弱电、给排水、土方工程</w:t>
      </w:r>
      <w:r>
        <w:rPr>
          <w:rFonts w:hint="eastAsia" w:ascii="宋体" w:hAnsi="宋体" w:eastAsia="宋体" w:cs="宋体"/>
          <w:color w:val="auto"/>
          <w:sz w:val="28"/>
          <w:szCs w:val="28"/>
          <w:highlight w:val="none"/>
          <w:lang w:val="en-US" w:eastAsia="zh-CN"/>
        </w:rPr>
        <w:t>等</w:t>
      </w:r>
      <w:r>
        <w:rPr>
          <w:rFonts w:hint="eastAsia" w:ascii="宋体" w:hAnsi="宋体" w:eastAsia="宋体" w:cs="宋体"/>
          <w:sz w:val="28"/>
          <w:szCs w:val="28"/>
          <w:highlight w:val="none"/>
          <w:lang w:eastAsia="zh-CN"/>
        </w:rPr>
        <w:t>。</w:t>
      </w:r>
    </w:p>
    <w:p>
      <w:pPr>
        <w:keepNext w:val="0"/>
        <w:keepLines w:val="0"/>
        <w:pageBreakBefore w:val="0"/>
        <w:kinsoku/>
        <w:wordWrap/>
        <w:overflowPunct/>
        <w:topLinePunct w:val="0"/>
        <w:autoSpaceDE/>
        <w:autoSpaceDN/>
        <w:bidi w:val="0"/>
        <w:adjustRightInd/>
        <w:snapToGrid/>
        <w:spacing w:line="540" w:lineRule="exact"/>
        <w:ind w:firstLine="562" w:firstLineChars="200"/>
        <w:jc w:val="left"/>
        <w:textAlignment w:val="auto"/>
        <w:rPr>
          <w:rFonts w:ascii="宋体" w:hAnsi="宋体" w:eastAsia="宋体" w:cs="宋体"/>
          <w:b/>
          <w:bCs/>
          <w:sz w:val="28"/>
          <w:szCs w:val="28"/>
          <w:highlight w:val="none"/>
        </w:rPr>
      </w:pPr>
      <w:r>
        <w:rPr>
          <w:rFonts w:hint="eastAsia" w:ascii="宋体" w:hAnsi="宋体" w:eastAsia="宋体" w:cs="宋体"/>
          <w:b/>
          <w:bCs/>
          <w:sz w:val="28"/>
          <w:szCs w:val="28"/>
        </w:rPr>
        <w:t>（三）室外部分：</w:t>
      </w:r>
    </w:p>
    <w:p>
      <w:pPr>
        <w:keepNext w:val="0"/>
        <w:keepLines w:val="0"/>
        <w:pageBreakBefore w:val="0"/>
        <w:pBdr>
          <w:bottom w:val="none" w:color="auto" w:sz="0" w:space="0"/>
        </w:pBdr>
        <w:kinsoku/>
        <w:wordWrap/>
        <w:overflowPunct/>
        <w:topLinePunct w:val="0"/>
        <w:autoSpaceDE/>
        <w:autoSpaceDN/>
        <w:bidi w:val="0"/>
        <w:adjustRightInd/>
        <w:snapToGrid/>
        <w:spacing w:line="540" w:lineRule="exact"/>
        <w:ind w:firstLine="560" w:firstLineChars="200"/>
        <w:jc w:val="left"/>
        <w:textAlignment w:val="auto"/>
        <w:rPr>
          <w:rFonts w:hint="eastAsia" w:ascii="宋体" w:hAnsi="宋体" w:eastAsia="宋体" w:cs="宋体"/>
          <w:sz w:val="28"/>
          <w:szCs w:val="28"/>
          <w:shd w:val="clear" w:color="auto" w:fill="FFFFFF"/>
          <w:lang w:eastAsia="zh-CN"/>
        </w:rPr>
      </w:pPr>
      <w:r>
        <w:rPr>
          <w:rFonts w:hint="eastAsia" w:ascii="宋体" w:hAnsi="宋体" w:eastAsia="宋体" w:cs="宋体"/>
          <w:sz w:val="28"/>
          <w:szCs w:val="28"/>
          <w:shd w:val="clear" w:color="auto" w:fill="FFFFFF"/>
          <w:lang w:eastAsia="zh-CN"/>
        </w:rPr>
        <w:t>本次清单编制范围包括：图纸范围内绿化工程、绿化养护工程、景观铺装土方工程、景观铺装工程、大门文化墙、弱电等工程。</w:t>
      </w:r>
    </w:p>
    <w:p>
      <w:pPr>
        <w:keepNext w:val="0"/>
        <w:keepLines w:val="0"/>
        <w:pageBreakBefore w:val="0"/>
        <w:kinsoku/>
        <w:wordWrap/>
        <w:overflowPunct/>
        <w:topLinePunct w:val="0"/>
        <w:autoSpaceDE/>
        <w:autoSpaceDN/>
        <w:bidi w:val="0"/>
        <w:adjustRightInd/>
        <w:snapToGrid/>
        <w:spacing w:line="540" w:lineRule="exact"/>
        <w:jc w:val="left"/>
        <w:textAlignment w:val="auto"/>
        <w:rPr>
          <w:rFonts w:ascii="宋体" w:hAnsi="宋体" w:eastAsia="宋体" w:cs="宋体"/>
          <w:b/>
          <w:sz w:val="28"/>
          <w:szCs w:val="28"/>
        </w:rPr>
      </w:pPr>
      <w:r>
        <w:rPr>
          <w:rFonts w:hint="eastAsia" w:ascii="宋体" w:hAnsi="宋体" w:eastAsia="宋体" w:cs="宋体"/>
          <w:b/>
          <w:sz w:val="28"/>
          <w:szCs w:val="28"/>
        </w:rPr>
        <w:t>三、编制依据</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highlight w:val="yellow"/>
        </w:rPr>
      </w:pPr>
      <w:r>
        <w:rPr>
          <w:rFonts w:hint="eastAsia" w:ascii="宋体" w:hAnsi="宋体" w:eastAsia="宋体" w:cs="宋体"/>
          <w:sz w:val="28"/>
          <w:szCs w:val="28"/>
        </w:rPr>
        <w:t>1</w:t>
      </w:r>
      <w:r>
        <w:rPr>
          <w:rFonts w:hint="eastAsia" w:ascii="宋体" w:hAnsi="宋体" w:cs="宋体"/>
          <w:sz w:val="28"/>
          <w:szCs w:val="28"/>
          <w:lang w:eastAsia="zh-CN"/>
        </w:rPr>
        <w:t>、</w:t>
      </w:r>
      <w:r>
        <w:rPr>
          <w:rFonts w:hint="eastAsia" w:ascii="宋体" w:hAnsi="宋体" w:eastAsia="宋体" w:cs="宋体"/>
          <w:sz w:val="28"/>
          <w:szCs w:val="28"/>
        </w:rPr>
        <w:t>《建设工程工程</w:t>
      </w:r>
      <w:r>
        <w:rPr>
          <w:rFonts w:hint="eastAsia" w:ascii="宋体" w:hAnsi="宋体" w:eastAsia="宋体" w:cs="宋体"/>
          <w:sz w:val="28"/>
          <w:szCs w:val="28"/>
          <w:lang w:val="en-US" w:eastAsia="zh-CN"/>
        </w:rPr>
        <w:t>量</w:t>
      </w:r>
      <w:r>
        <w:rPr>
          <w:rFonts w:hint="eastAsia" w:ascii="宋体" w:hAnsi="宋体" w:eastAsia="宋体" w:cs="宋体"/>
          <w:sz w:val="28"/>
          <w:szCs w:val="28"/>
        </w:rPr>
        <w:t>清单计价规范》GB50500-2013、《房屋建筑与装饰工程工程量清单计算规范》GB50854-2013、《通用安装工程工程量计算规范》GB50856-2013、《市政工程工程量计算规范》GB 50857-2013</w:t>
      </w:r>
      <w:r>
        <w:rPr>
          <w:rFonts w:hint="eastAsia" w:ascii="宋体" w:hAnsi="宋体" w:eastAsia="宋体" w:cs="宋体"/>
          <w:sz w:val="28"/>
          <w:szCs w:val="28"/>
          <w:highlight w:val="none"/>
          <w:lang w:eastAsia="zh-CN"/>
        </w:rPr>
        <w:t>、《园林绿化工程工程量计算规范》GB 5085</w:t>
      </w:r>
      <w:r>
        <w:rPr>
          <w:rFonts w:hint="eastAsia" w:ascii="宋体" w:hAnsi="宋体" w:eastAsia="宋体" w:cs="宋体"/>
          <w:sz w:val="28"/>
          <w:szCs w:val="28"/>
          <w:highlight w:val="none"/>
          <w:lang w:val="en-US" w:eastAsia="zh-CN"/>
        </w:rPr>
        <w:t>8</w:t>
      </w:r>
      <w:r>
        <w:rPr>
          <w:rFonts w:hint="eastAsia" w:ascii="宋体" w:hAnsi="宋体" w:eastAsia="宋体" w:cs="宋体"/>
          <w:sz w:val="28"/>
          <w:szCs w:val="28"/>
          <w:highlight w:val="none"/>
          <w:lang w:eastAsia="zh-CN"/>
        </w:rPr>
        <w:t>-2013</w:t>
      </w:r>
      <w:r>
        <w:rPr>
          <w:rFonts w:hint="eastAsia" w:ascii="宋体" w:hAnsi="宋体" w:eastAsia="宋体" w:cs="宋体"/>
          <w:sz w:val="28"/>
          <w:szCs w:val="28"/>
          <w:highlight w:val="none"/>
          <w:lang w:val="en-US" w:eastAsia="zh-CN"/>
        </w:rPr>
        <w:t>及相关的清单计价编制依据</w:t>
      </w:r>
      <w:r>
        <w:rPr>
          <w:rFonts w:hint="eastAsia" w:ascii="宋体" w:hAnsi="宋体" w:eastAsia="宋体" w:cs="宋体"/>
          <w:sz w:val="28"/>
          <w:szCs w:val="28"/>
          <w:highlight w:val="none"/>
        </w:rPr>
        <w:t>。</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color w:val="auto"/>
          <w:sz w:val="28"/>
          <w:szCs w:val="28"/>
          <w:highlight w:val="none"/>
          <w:lang w:val="en-US" w:eastAsia="zh-CN"/>
        </w:rPr>
        <w:t>电子版招标图纸及</w:t>
      </w:r>
      <w:r>
        <w:rPr>
          <w:rFonts w:hint="eastAsia" w:ascii="宋体" w:hAnsi="宋体" w:eastAsia="宋体" w:cs="宋体"/>
          <w:color w:val="333333"/>
          <w:kern w:val="2"/>
          <w:sz w:val="28"/>
          <w:szCs w:val="28"/>
          <w:highlight w:val="none"/>
          <w:lang w:val="en-US" w:eastAsia="zh-CN" w:bidi="ar-SA"/>
        </w:rPr>
        <w:t>设计图纸回复</w:t>
      </w:r>
      <w:r>
        <w:rPr>
          <w:rFonts w:hint="eastAsia" w:ascii="宋体" w:hAnsi="宋体" w:eastAsia="宋体" w:cs="宋体"/>
          <w:sz w:val="28"/>
          <w:szCs w:val="28"/>
          <w:lang w:eastAsia="zh-CN"/>
        </w:rPr>
        <w:t>。</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color w:val="auto"/>
          <w:sz w:val="28"/>
          <w:szCs w:val="28"/>
          <w:highlight w:val="none"/>
          <w:lang w:val="en-US" w:eastAsia="zh-CN"/>
        </w:rPr>
        <w:t>图纸中</w:t>
      </w:r>
      <w:r>
        <w:rPr>
          <w:rFonts w:hint="eastAsia" w:ascii="宋体" w:hAnsi="宋体" w:eastAsia="宋体" w:cs="宋体"/>
          <w:sz w:val="28"/>
          <w:szCs w:val="28"/>
          <w:highlight w:val="none"/>
        </w:rPr>
        <w:t>涉及的相关图集。</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、《内蒙古自治区房屋建筑与装饰工程预算定额（2017）》。</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、《内蒙古自治区通用安装工程预算定额（2017）》。</w:t>
      </w:r>
    </w:p>
    <w:p>
      <w:pPr>
        <w:keepNext w:val="0"/>
        <w:keepLines w:val="0"/>
        <w:pageBreakBefore w:val="0"/>
        <w:tabs>
          <w:tab w:val="left" w:pos="426"/>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lang w:eastAsia="zh-CN"/>
        </w:rPr>
        <w:t>《内蒙古自治区市政工程预算定额（2017）》。</w:t>
      </w:r>
    </w:p>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lang w:eastAsia="zh-CN"/>
        </w:rPr>
        <w:t>《内蒙古自治区园林绿化工程预算定额（2017）》。</w:t>
      </w:r>
    </w:p>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8</w:t>
      </w:r>
      <w:r>
        <w:rPr>
          <w:rFonts w:hint="eastAsia" w:ascii="宋体" w:hAnsi="宋体" w:eastAsia="宋体" w:cs="宋体"/>
          <w:sz w:val="28"/>
          <w:szCs w:val="28"/>
          <w:highlight w:val="none"/>
          <w:lang w:eastAsia="zh-CN"/>
        </w:rPr>
        <w:t>、《内蒙古自治区园林</w:t>
      </w:r>
      <w:r>
        <w:rPr>
          <w:rFonts w:hint="eastAsia" w:ascii="宋体" w:hAnsi="宋体" w:eastAsia="宋体" w:cs="宋体"/>
          <w:sz w:val="28"/>
          <w:szCs w:val="28"/>
          <w:highlight w:val="none"/>
          <w:lang w:val="en-US" w:eastAsia="zh-CN"/>
        </w:rPr>
        <w:t>绿化</w:t>
      </w:r>
      <w:r>
        <w:rPr>
          <w:rFonts w:hint="eastAsia" w:ascii="宋体" w:hAnsi="宋体" w:eastAsia="宋体" w:cs="宋体"/>
          <w:sz w:val="28"/>
          <w:szCs w:val="28"/>
          <w:highlight w:val="none"/>
          <w:lang w:eastAsia="zh-CN"/>
        </w:rPr>
        <w:t>养护工程预算定额（2017）》。</w:t>
      </w:r>
    </w:p>
    <w:p>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highlight w:val="none"/>
          <w:lang w:val="en-US" w:eastAsia="zh-CN"/>
        </w:rPr>
        <w:t>9、</w:t>
      </w:r>
      <w:r>
        <w:rPr>
          <w:rFonts w:hint="eastAsia" w:ascii="宋体" w:hAnsi="宋体" w:eastAsia="宋体" w:cs="宋体"/>
          <w:sz w:val="28"/>
          <w:szCs w:val="28"/>
          <w:lang w:eastAsia="zh-CN"/>
        </w:rPr>
        <w:t>《内蒙古自治区建设工程费用定额（2017）》。</w:t>
      </w:r>
    </w:p>
    <w:p>
      <w:pPr>
        <w:keepNext w:val="0"/>
        <w:keepLines w:val="0"/>
        <w:pageBreakBefore w:val="0"/>
        <w:numPr>
          <w:ilvl w:val="0"/>
          <w:numId w:val="0"/>
        </w:numPr>
        <w:kinsoku/>
        <w:wordWrap/>
        <w:overflowPunct/>
        <w:topLinePunct w:val="0"/>
        <w:autoSpaceDE/>
        <w:autoSpaceDN/>
        <w:bidi w:val="0"/>
        <w:adjustRightInd/>
        <w:snapToGrid/>
        <w:spacing w:line="540" w:lineRule="exact"/>
        <w:ind w:left="56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10、</w:t>
      </w:r>
      <w:r>
        <w:rPr>
          <w:rFonts w:hint="eastAsia" w:ascii="宋体" w:hAnsi="宋体" w:eastAsia="宋体" w:cs="宋体"/>
          <w:sz w:val="28"/>
          <w:szCs w:val="28"/>
          <w:lang w:eastAsia="zh-CN"/>
        </w:rPr>
        <w:t>《内蒙古自治区房屋修缮工程预算定额(2021)》</w:t>
      </w:r>
    </w:p>
    <w:p>
      <w:pPr>
        <w:keepNext w:val="0"/>
        <w:keepLines w:val="0"/>
        <w:pageBreakBefore w:val="0"/>
        <w:numPr>
          <w:ilvl w:val="0"/>
          <w:numId w:val="0"/>
        </w:numPr>
        <w:kinsoku/>
        <w:wordWrap/>
        <w:overflowPunct/>
        <w:topLinePunct w:val="0"/>
        <w:autoSpaceDE/>
        <w:autoSpaceDN/>
        <w:bidi w:val="0"/>
        <w:adjustRightInd/>
        <w:snapToGrid/>
        <w:spacing w:line="540" w:lineRule="exact"/>
        <w:ind w:left="56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eastAsia="zh-CN"/>
        </w:rPr>
        <w:t>内建标【2019】113号关于调整内蒙古自治区建设工程计价依据增值税税率的通知。</w:t>
      </w:r>
    </w:p>
    <w:p>
      <w:pPr>
        <w:keepNext w:val="0"/>
        <w:keepLines w:val="0"/>
        <w:pageBreakBefore w:val="0"/>
        <w:numPr>
          <w:ilvl w:val="0"/>
          <w:numId w:val="0"/>
        </w:numPr>
        <w:tabs>
          <w:tab w:val="left" w:pos="426"/>
        </w:tabs>
        <w:kinsoku/>
        <w:wordWrap/>
        <w:overflowPunct/>
        <w:topLinePunct w:val="0"/>
        <w:autoSpaceDE/>
        <w:autoSpaceDN/>
        <w:bidi w:val="0"/>
        <w:adjustRightInd/>
        <w:snapToGrid/>
        <w:spacing w:line="540" w:lineRule="exact"/>
        <w:ind w:left="560" w:leftChars="0"/>
        <w:textAlignment w:val="auto"/>
        <w:rPr>
          <w:rFonts w:hint="eastAsia"/>
          <w:lang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eastAsia="zh-CN"/>
        </w:rPr>
        <w:t>内建标函【2019】468号文件关于调整内蒙古自治区建设工程计价依据规费中养老保险费率的通知。</w:t>
      </w:r>
    </w:p>
    <w:p>
      <w:pPr>
        <w:keepNext w:val="0"/>
        <w:keepLines w:val="0"/>
        <w:pageBreakBefore w:val="0"/>
        <w:numPr>
          <w:ilvl w:val="0"/>
          <w:numId w:val="0"/>
        </w:numPr>
        <w:pBdr>
          <w:bottom w:val="none" w:color="auto" w:sz="0" w:space="0"/>
        </w:pBdr>
        <w:kinsoku/>
        <w:wordWrap/>
        <w:overflowPunct/>
        <w:topLinePunct w:val="0"/>
        <w:autoSpaceDE/>
        <w:autoSpaceDN/>
        <w:bidi w:val="0"/>
        <w:adjustRightInd/>
        <w:snapToGrid/>
        <w:spacing w:line="540" w:lineRule="exact"/>
        <w:ind w:left="56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rPr>
        <w:t>内建</w:t>
      </w:r>
      <w:r>
        <w:rPr>
          <w:rFonts w:hint="eastAsia" w:ascii="宋体" w:hAnsi="宋体" w:eastAsia="宋体" w:cs="宋体"/>
          <w:sz w:val="28"/>
          <w:szCs w:val="28"/>
          <w:lang w:eastAsia="zh-CN"/>
        </w:rPr>
        <w:t>标函【2021】148号内蒙古自治区住房和城乡建设厅关于调整内蒙古自治区建设工程现行</w:t>
      </w:r>
      <w:r>
        <w:rPr>
          <w:rFonts w:hint="eastAsia" w:ascii="宋体" w:hAnsi="宋体" w:eastAsia="宋体" w:cs="宋体"/>
          <w:sz w:val="28"/>
          <w:szCs w:val="28"/>
        </w:rPr>
        <w:t>预算定额人工费的通知</w:t>
      </w:r>
      <w:r>
        <w:rPr>
          <w:rFonts w:hint="eastAsia" w:ascii="宋体" w:hAnsi="宋体" w:eastAsia="宋体" w:cs="宋体"/>
          <w:sz w:val="28"/>
          <w:szCs w:val="28"/>
          <w:lang w:eastAsia="zh-CN"/>
        </w:rPr>
        <w:t>。</w:t>
      </w:r>
    </w:p>
    <w:p>
      <w:pPr>
        <w:keepNext w:val="0"/>
        <w:keepLines w:val="0"/>
        <w:pageBreakBefore w:val="0"/>
        <w:numPr>
          <w:ilvl w:val="0"/>
          <w:numId w:val="0"/>
        </w:numPr>
        <w:pBdr>
          <w:bottom w:val="none" w:color="auto" w:sz="0" w:space="0"/>
        </w:pBdr>
        <w:kinsoku/>
        <w:wordWrap/>
        <w:overflowPunct/>
        <w:topLinePunct w:val="0"/>
        <w:autoSpaceDE/>
        <w:autoSpaceDN/>
        <w:bidi w:val="0"/>
        <w:adjustRightInd/>
        <w:snapToGrid/>
        <w:spacing w:line="540" w:lineRule="exact"/>
        <w:ind w:left="560" w:leftChars="0"/>
        <w:textAlignment w:val="auto"/>
        <w:rPr>
          <w:rFonts w:hint="default"/>
          <w:lang w:val="en-US" w:eastAsia="zh-CN"/>
        </w:rPr>
      </w:pPr>
      <w:r>
        <w:rPr>
          <w:rFonts w:hint="eastAsia" w:ascii="宋体" w:hAnsi="宋体" w:eastAsia="宋体" w:cs="宋体"/>
          <w:sz w:val="28"/>
          <w:szCs w:val="28"/>
          <w:lang w:val="en-US" w:eastAsia="zh-CN"/>
        </w:rPr>
        <w:t>14、</w:t>
      </w:r>
      <w:r>
        <w:rPr>
          <w:rFonts w:hint="eastAsia" w:ascii="宋体" w:hAnsi="宋体" w:eastAsia="宋体" w:cs="宋体"/>
          <w:color w:val="auto"/>
          <w:sz w:val="28"/>
          <w:szCs w:val="28"/>
          <w:highlight w:val="none"/>
          <w:lang w:val="en-US" w:eastAsia="zh-CN"/>
        </w:rPr>
        <w:t>其他内蒙古现行计价定额标准及政策性调整文件。</w:t>
      </w:r>
    </w:p>
    <w:p>
      <w:pPr>
        <w:keepNext w:val="0"/>
        <w:keepLines w:val="0"/>
        <w:pageBreakBefore w:val="0"/>
        <w:kinsoku/>
        <w:wordWrap/>
        <w:overflowPunct/>
        <w:topLinePunct w:val="0"/>
        <w:autoSpaceDE/>
        <w:autoSpaceDN/>
        <w:bidi w:val="0"/>
        <w:adjustRightInd/>
        <w:snapToGrid/>
        <w:spacing w:line="540" w:lineRule="exact"/>
        <w:textAlignment w:val="auto"/>
        <w:rPr>
          <w:rFonts w:ascii="宋体" w:hAnsi="宋体" w:eastAsia="宋体" w:cs="宋体"/>
          <w:b/>
          <w:sz w:val="28"/>
          <w:szCs w:val="28"/>
        </w:rPr>
      </w:pPr>
      <w:r>
        <w:rPr>
          <w:rFonts w:hint="eastAsia" w:ascii="宋体" w:hAnsi="宋体" w:eastAsia="宋体" w:cs="宋体"/>
          <w:b/>
          <w:sz w:val="28"/>
          <w:szCs w:val="28"/>
        </w:rPr>
        <w:t>四、材料计取</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eastAsia="zh-CN"/>
        </w:rPr>
      </w:pPr>
      <w:r>
        <w:rPr>
          <w:rFonts w:hint="eastAsia" w:ascii="宋体" w:hAnsi="宋体" w:cs="宋体"/>
          <w:sz w:val="28"/>
          <w:szCs w:val="28"/>
          <w:highlight w:val="none"/>
          <w:lang w:val="en-US" w:eastAsia="zh-CN"/>
        </w:rPr>
        <w:t>1、</w:t>
      </w:r>
      <w:r>
        <w:rPr>
          <w:rFonts w:hint="eastAsia" w:ascii="宋体" w:hAnsi="宋体" w:eastAsia="宋体" w:cs="宋体"/>
          <w:sz w:val="28"/>
          <w:szCs w:val="28"/>
        </w:rPr>
        <w:t>本</w:t>
      </w:r>
      <w:r>
        <w:rPr>
          <w:rFonts w:hint="eastAsia" w:ascii="宋体" w:hAnsi="宋体" w:eastAsia="宋体" w:cs="宋体"/>
          <w:sz w:val="28"/>
          <w:szCs w:val="28"/>
          <w:lang w:val="en-US" w:eastAsia="zh-CN"/>
        </w:rPr>
        <w:t>次</w:t>
      </w:r>
      <w:r>
        <w:rPr>
          <w:rFonts w:hint="eastAsia" w:ascii="宋体" w:hAnsi="宋体" w:eastAsia="宋体" w:cs="宋体"/>
          <w:sz w:val="28"/>
          <w:szCs w:val="28"/>
        </w:rPr>
        <w:t>招标</w:t>
      </w:r>
      <w:r>
        <w:rPr>
          <w:rFonts w:hint="eastAsia" w:ascii="宋体" w:hAnsi="宋体" w:eastAsia="宋体" w:cs="宋体"/>
          <w:sz w:val="28"/>
          <w:szCs w:val="28"/>
          <w:lang w:val="en-US" w:eastAsia="zh-CN"/>
        </w:rPr>
        <w:t>项目</w:t>
      </w:r>
      <w:r>
        <w:rPr>
          <w:rFonts w:hint="eastAsia" w:ascii="宋体" w:hAnsi="宋体" w:eastAsia="宋体" w:cs="宋体"/>
          <w:sz w:val="28"/>
          <w:szCs w:val="28"/>
        </w:rPr>
        <w:t>中主要材料按</w:t>
      </w:r>
      <w:r>
        <w:rPr>
          <w:rFonts w:hint="eastAsia" w:ascii="宋体" w:hAnsi="宋体" w:eastAsia="宋体" w:cs="宋体"/>
          <w:sz w:val="28"/>
          <w:szCs w:val="28"/>
          <w:lang w:val="en-US" w:eastAsia="zh-CN"/>
        </w:rPr>
        <w:t>《关于发布呼和浩特</w:t>
      </w:r>
      <w:r>
        <w:rPr>
          <w:rFonts w:hint="eastAsia" w:ascii="宋体" w:hAnsi="宋体" w:eastAsia="宋体" w:cs="宋体"/>
          <w:sz w:val="28"/>
          <w:szCs w:val="28"/>
        </w:rPr>
        <w:t>地区二〇二</w:t>
      </w:r>
      <w:r>
        <w:rPr>
          <w:rFonts w:hint="eastAsia" w:ascii="宋体" w:hAnsi="宋体" w:eastAsia="宋体" w:cs="宋体"/>
          <w:sz w:val="28"/>
          <w:szCs w:val="28"/>
          <w:lang w:val="en-US" w:eastAsia="zh-CN"/>
        </w:rPr>
        <w:t>三</w:t>
      </w:r>
      <w:r>
        <w:rPr>
          <w:rFonts w:hint="eastAsia" w:ascii="宋体" w:hAnsi="宋体" w:eastAsia="宋体" w:cs="宋体"/>
          <w:sz w:val="28"/>
          <w:szCs w:val="28"/>
        </w:rPr>
        <w:t>年第</w:t>
      </w:r>
      <w:r>
        <w:rPr>
          <w:rFonts w:hint="eastAsia" w:ascii="宋体" w:hAnsi="宋体" w:eastAsia="宋体" w:cs="宋体"/>
          <w:sz w:val="28"/>
          <w:szCs w:val="28"/>
          <w:lang w:val="en-US" w:eastAsia="zh-CN"/>
        </w:rPr>
        <w:t>六</w:t>
      </w:r>
      <w:r>
        <w:rPr>
          <w:rFonts w:hint="eastAsia" w:ascii="宋体" w:hAnsi="宋体" w:eastAsia="宋体" w:cs="宋体"/>
          <w:sz w:val="28"/>
          <w:szCs w:val="28"/>
        </w:rPr>
        <w:t>期</w:t>
      </w:r>
      <w:r>
        <w:rPr>
          <w:rFonts w:hint="eastAsia" w:ascii="宋体" w:hAnsi="宋体" w:eastAsia="宋体" w:cs="宋体"/>
          <w:sz w:val="28"/>
          <w:szCs w:val="28"/>
          <w:lang w:val="en-US" w:eastAsia="zh-CN"/>
        </w:rPr>
        <w:t>建设工程造价信息的通知》</w:t>
      </w:r>
      <w:r>
        <w:rPr>
          <w:rFonts w:hint="eastAsia" w:ascii="宋体" w:hAnsi="宋体" w:eastAsia="宋体" w:cs="宋体"/>
          <w:sz w:val="28"/>
          <w:szCs w:val="28"/>
        </w:rPr>
        <w:t>计取</w:t>
      </w:r>
      <w:r>
        <w:rPr>
          <w:rFonts w:hint="eastAsia" w:ascii="宋体" w:hAnsi="宋体" w:eastAsia="宋体" w:cs="宋体"/>
          <w:sz w:val="28"/>
          <w:szCs w:val="28"/>
          <w:lang w:eastAsia="zh-CN"/>
        </w:rPr>
        <w:t>；</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2、《工程造价信息》</w:t>
      </w:r>
      <w:r>
        <w:rPr>
          <w:rFonts w:hint="eastAsia" w:ascii="宋体" w:hAnsi="宋体" w:eastAsia="宋体" w:cs="宋体"/>
          <w:sz w:val="28"/>
          <w:szCs w:val="28"/>
          <w:highlight w:val="none"/>
          <w:lang w:eastAsia="zh-CN"/>
        </w:rPr>
        <w:t>中没有的</w:t>
      </w:r>
      <w:r>
        <w:rPr>
          <w:rFonts w:hint="eastAsia" w:ascii="宋体" w:hAnsi="宋体" w:eastAsia="宋体" w:cs="宋体"/>
          <w:color w:val="auto"/>
          <w:sz w:val="28"/>
          <w:szCs w:val="28"/>
          <w:highlight w:val="none"/>
          <w:lang w:val="en-US" w:eastAsia="zh-CN"/>
        </w:rPr>
        <w:t>主要材料及设备，其规格、型号、参数参照工程量清单中项目特征描述进行市场询价计取</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宋体" w:hAnsi="宋体" w:eastAsia="宋体" w:cs="宋体"/>
          <w:b/>
          <w:sz w:val="28"/>
          <w:szCs w:val="28"/>
          <w:highlight w:val="none"/>
          <w:lang w:eastAsia="zh-CN"/>
        </w:rPr>
      </w:pPr>
      <w:r>
        <w:rPr>
          <w:rFonts w:hint="eastAsia" w:ascii="宋体" w:hAnsi="宋体" w:eastAsia="宋体" w:cs="宋体"/>
          <w:b/>
          <w:sz w:val="28"/>
          <w:szCs w:val="28"/>
          <w:lang w:val="en-US" w:eastAsia="zh-CN"/>
        </w:rPr>
        <w:t>五</w:t>
      </w:r>
      <w:r>
        <w:rPr>
          <w:rFonts w:hint="eastAsia" w:ascii="宋体" w:hAnsi="宋体" w:eastAsia="宋体" w:cs="宋体"/>
          <w:b/>
          <w:sz w:val="28"/>
          <w:szCs w:val="28"/>
          <w:lang w:eastAsia="zh-CN"/>
        </w:rPr>
        <w:t>、其他项目费说明</w:t>
      </w:r>
    </w:p>
    <w:p>
      <w:pPr>
        <w:pStyle w:val="2"/>
        <w:keepNext w:val="0"/>
        <w:keepLines w:val="0"/>
        <w:pageBreakBefore w:val="0"/>
        <w:kinsoku/>
        <w:wordWrap/>
        <w:overflowPunct/>
        <w:topLinePunct w:val="0"/>
        <w:autoSpaceDE/>
        <w:autoSpaceDN/>
        <w:bidi w:val="0"/>
        <w:adjustRightInd/>
        <w:snapToGrid/>
        <w:spacing w:line="540" w:lineRule="exact"/>
        <w:ind w:left="0" w:leftChars="0" w:firstLine="560" w:firstLineChars="2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1、本次招标项目暂列金额：92</w:t>
      </w:r>
      <w:r>
        <w:rPr>
          <w:rFonts w:hint="eastAsia" w:ascii="宋体" w:hAnsi="宋体" w:eastAsia="宋体" w:cs="宋体"/>
          <w:color w:val="333333"/>
          <w:kern w:val="2"/>
          <w:sz w:val="28"/>
          <w:szCs w:val="28"/>
          <w:highlight w:val="none"/>
          <w:shd w:val="clear" w:color="auto" w:fill="auto"/>
          <w:lang w:val="en-US" w:eastAsia="zh-CN" w:bidi="ar-SA"/>
        </w:rPr>
        <w:t>万元</w:t>
      </w:r>
      <w:r>
        <w:rPr>
          <w:rFonts w:hint="eastAsia" w:ascii="宋体" w:hAnsi="宋体" w:eastAsia="宋体" w:cs="宋体"/>
          <w:color w:val="333333"/>
          <w:kern w:val="2"/>
          <w:sz w:val="28"/>
          <w:szCs w:val="28"/>
          <w:highlight w:val="none"/>
          <w:lang w:val="en-US" w:eastAsia="zh-CN" w:bidi="ar-SA"/>
        </w:rPr>
        <w:t>（含税、不可调整），在汇总表中计列；</w:t>
      </w:r>
    </w:p>
    <w:p>
      <w:pPr>
        <w:pStyle w:val="2"/>
        <w:keepNext w:val="0"/>
        <w:keepLines w:val="0"/>
        <w:pageBreakBefore w:val="0"/>
        <w:kinsoku/>
        <w:wordWrap/>
        <w:overflowPunct/>
        <w:topLinePunct w:val="0"/>
        <w:autoSpaceDE/>
        <w:autoSpaceDN/>
        <w:bidi w:val="0"/>
        <w:adjustRightInd/>
        <w:snapToGrid/>
        <w:spacing w:line="540" w:lineRule="exact"/>
        <w:ind w:left="0" w:leftChars="0" w:firstLine="560" w:firstLineChars="2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lang w:val="en-US" w:eastAsia="zh-CN" w:bidi="ar-SA"/>
        </w:rPr>
        <w:t>2、</w:t>
      </w:r>
      <w:r>
        <w:rPr>
          <w:rFonts w:hint="eastAsia" w:ascii="宋体" w:hAnsi="宋体" w:eastAsia="宋体" w:cs="宋体"/>
          <w:color w:val="333333"/>
          <w:kern w:val="2"/>
          <w:sz w:val="28"/>
          <w:szCs w:val="28"/>
          <w:highlight w:val="none"/>
          <w:lang w:val="en-US" w:eastAsia="zh-CN" w:bidi="ar-SA"/>
        </w:rPr>
        <w:t>专业工程暂估项：</w:t>
      </w:r>
    </w:p>
    <w:p>
      <w:pPr>
        <w:pStyle w:val="2"/>
        <w:keepNext w:val="0"/>
        <w:keepLines w:val="0"/>
        <w:pageBreakBefore w:val="0"/>
        <w:kinsoku/>
        <w:wordWrap/>
        <w:overflowPunct/>
        <w:topLinePunct w:val="0"/>
        <w:autoSpaceDE/>
        <w:autoSpaceDN/>
        <w:bidi w:val="0"/>
        <w:adjustRightInd/>
        <w:snapToGrid/>
        <w:spacing w:line="540" w:lineRule="exact"/>
        <w:ind w:left="0" w:leftChars="0" w:firstLine="1120" w:firstLineChars="4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（1）门房外墙铝板(包括铝板及型钢龙骨制作、安装)金额为57,000元（不含税、不可调整），详见其他项目专业工程暂估价表；</w:t>
      </w:r>
    </w:p>
    <w:p>
      <w:pPr>
        <w:pStyle w:val="2"/>
        <w:keepNext w:val="0"/>
        <w:keepLines w:val="0"/>
        <w:pageBreakBefore w:val="0"/>
        <w:kinsoku/>
        <w:wordWrap/>
        <w:overflowPunct/>
        <w:topLinePunct w:val="0"/>
        <w:autoSpaceDE/>
        <w:autoSpaceDN/>
        <w:bidi w:val="0"/>
        <w:adjustRightInd/>
        <w:snapToGrid/>
        <w:spacing w:line="540" w:lineRule="exact"/>
        <w:ind w:left="0" w:leftChars="0" w:firstLine="1120" w:firstLineChars="4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（2）夹胶钢化玻璃顶(包括玻璃及型钢龙骨制作、安装)金额为81,000元（不含税、不可调整），详见其他项目专业工程暂估价表；</w:t>
      </w:r>
    </w:p>
    <w:p>
      <w:pPr>
        <w:pStyle w:val="2"/>
        <w:keepNext w:val="0"/>
        <w:keepLines w:val="0"/>
        <w:pageBreakBefore w:val="0"/>
        <w:kinsoku/>
        <w:wordWrap/>
        <w:overflowPunct/>
        <w:topLinePunct w:val="0"/>
        <w:autoSpaceDE/>
        <w:autoSpaceDN/>
        <w:bidi w:val="0"/>
        <w:adjustRightInd/>
        <w:snapToGrid/>
        <w:spacing w:line="540" w:lineRule="exact"/>
        <w:ind w:left="0" w:leftChars="0" w:firstLine="1120" w:firstLineChars="4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（3）大门文化墙外墙铝板(包括铝板及型钢龙骨制作、安装)金额为35,000元（不含税、不可调整），详见其他项目专业工程暂估价表。</w:t>
      </w:r>
    </w:p>
    <w:p>
      <w:pPr>
        <w:pStyle w:val="2"/>
        <w:keepNext w:val="0"/>
        <w:keepLines w:val="0"/>
        <w:pageBreakBefore w:val="0"/>
        <w:kinsoku/>
        <w:wordWrap/>
        <w:overflowPunct/>
        <w:topLinePunct w:val="0"/>
        <w:autoSpaceDE/>
        <w:autoSpaceDN/>
        <w:bidi w:val="0"/>
        <w:adjustRightInd/>
        <w:snapToGrid/>
        <w:spacing w:line="540" w:lineRule="exact"/>
        <w:ind w:left="0" w:leftChars="0" w:firstLine="1120" w:firstLineChars="4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（4）弱电设备工程金额为300,000元（不含税、不可调整），详见其他项目专业工程暂估价表。</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lang w:val="en-US" w:eastAsia="zh-CN" w:bidi="ar-SA"/>
        </w:rPr>
        <w:t>3</w:t>
      </w:r>
      <w:r>
        <w:rPr>
          <w:rFonts w:hint="eastAsia" w:ascii="宋体" w:hAnsi="宋体" w:eastAsia="宋体" w:cs="宋体"/>
          <w:color w:val="333333"/>
          <w:kern w:val="2"/>
          <w:sz w:val="28"/>
          <w:szCs w:val="28"/>
          <w:highlight w:val="none"/>
          <w:lang w:val="en-US" w:eastAsia="zh-CN" w:bidi="ar-SA"/>
        </w:rPr>
        <w:t>、</w:t>
      </w:r>
      <w:r>
        <w:rPr>
          <w:rFonts w:hint="eastAsia" w:ascii="宋体" w:hAnsi="宋体" w:eastAsia="宋体" w:cs="宋体"/>
          <w:color w:val="333333"/>
          <w:kern w:val="2"/>
          <w:sz w:val="28"/>
          <w:szCs w:val="28"/>
          <w:shd w:val="clear" w:color="auto" w:fill="FFFFFF"/>
          <w:lang w:val="en-US" w:eastAsia="zh-CN" w:bidi="ar-SA"/>
        </w:rPr>
        <w:t>本次招标项目不计取材料检验试验费；</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333333"/>
          <w:kern w:val="2"/>
          <w:sz w:val="28"/>
          <w:szCs w:val="28"/>
          <w:lang w:val="en-US" w:eastAsia="zh-CN" w:bidi="ar-SA"/>
        </w:rPr>
      </w:pPr>
      <w:r>
        <w:rPr>
          <w:rFonts w:hint="eastAsia" w:ascii="宋体" w:hAnsi="宋体" w:eastAsia="宋体" w:cs="宋体"/>
          <w:color w:val="333333"/>
          <w:kern w:val="2"/>
          <w:sz w:val="28"/>
          <w:szCs w:val="28"/>
          <w:lang w:val="en-US" w:eastAsia="zh-CN" w:bidi="ar-SA"/>
        </w:rPr>
        <w:t xml:space="preserve">4、企业自有工人培训管理费，本次招标依据费用定额规定，计入各单位工程其他项目费；竣工结算时，实际施工使用的自有技术工人未达到15％，结算时扣除此项费用（企业自有技术工人的认定按住建厅相关规定执行）； </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color w:val="333333"/>
          <w:kern w:val="2"/>
          <w:sz w:val="28"/>
          <w:szCs w:val="28"/>
          <w:lang w:val="en-US" w:eastAsia="zh-CN" w:bidi="ar-SA"/>
        </w:rPr>
      </w:pPr>
      <w:r>
        <w:rPr>
          <w:rFonts w:hint="eastAsia" w:ascii="宋体" w:hAnsi="宋体" w:eastAsia="宋体" w:cs="宋体"/>
          <w:color w:val="333333"/>
          <w:kern w:val="2"/>
          <w:sz w:val="28"/>
          <w:szCs w:val="28"/>
          <w:lang w:val="en-US" w:eastAsia="zh-CN" w:bidi="ar-SA"/>
        </w:rPr>
        <w:t>5、建筑工人实名制费，本次招标依据内建标[2020]71号文件相关的标准依照建设项目</w:t>
      </w:r>
      <w:r>
        <w:rPr>
          <w:rFonts w:hint="eastAsia" w:ascii="宋体" w:hAnsi="宋体" w:eastAsia="宋体" w:cs="宋体"/>
          <w:color w:val="333333"/>
          <w:kern w:val="2"/>
          <w:sz w:val="28"/>
          <w:szCs w:val="28"/>
          <w:shd w:val="clear" w:color="auto" w:fill="FFFFFF"/>
          <w:lang w:val="en-US" w:eastAsia="zh-CN" w:bidi="ar-SA"/>
        </w:rPr>
        <w:t>招标工期1年计取</w:t>
      </w:r>
      <w:r>
        <w:rPr>
          <w:rFonts w:hint="eastAsia" w:ascii="宋体" w:hAnsi="宋体" w:eastAsia="宋体" w:cs="宋体"/>
          <w:color w:val="333333"/>
          <w:kern w:val="2"/>
          <w:sz w:val="28"/>
          <w:szCs w:val="28"/>
          <w:lang w:val="en-US" w:eastAsia="zh-CN" w:bidi="ar-SA"/>
        </w:rPr>
        <w:t>，计入幼儿园室内装饰装修工程中其他项目费；竣工结算时，应按建设、监理单位批准的实施方案及</w:t>
      </w:r>
      <w:r>
        <w:rPr>
          <w:rFonts w:hint="eastAsia" w:ascii="宋体" w:hAnsi="宋体" w:eastAsia="宋体" w:cs="宋体"/>
          <w:color w:val="333333"/>
          <w:kern w:val="2"/>
          <w:sz w:val="28"/>
          <w:szCs w:val="28"/>
          <w:shd w:val="clear" w:color="auto" w:fill="FFFFFF"/>
          <w:lang w:val="en-US" w:eastAsia="zh-CN" w:bidi="ar-SA"/>
        </w:rPr>
        <w:t>提供相关缴费凭证据实调整，如施工现场未按相关标准安装建筑工人实名制系统及未提供相关缴费凭证的，结算时扣除此项费用。</w:t>
      </w:r>
      <w:r>
        <w:rPr>
          <w:rFonts w:hint="eastAsia" w:ascii="宋体" w:hAnsi="宋体" w:eastAsia="宋体" w:cs="宋体"/>
          <w:color w:val="333333"/>
          <w:kern w:val="2"/>
          <w:sz w:val="28"/>
          <w:szCs w:val="28"/>
          <w:lang w:val="en-US" w:eastAsia="zh-CN" w:bidi="ar-SA"/>
        </w:rPr>
        <w:t xml:space="preserve">  </w:t>
      </w:r>
    </w:p>
    <w:p>
      <w:pPr>
        <w:numPr>
          <w:ilvl w:val="0"/>
          <w:numId w:val="0"/>
        </w:numPr>
        <w:ind w:firstLine="560" w:firstLineChars="200"/>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lang w:val="en-US" w:eastAsia="zh-CN" w:bidi="ar-SA"/>
        </w:rPr>
        <w:t>6、不在本次招标范围内的室外设施：（1）小景墙：造型树杆；（2）攀爬游戏一、二区：攀岩脚印、儿童独木桥、儿童攀爬架；攀爬锁链；（3）攀爬游戏三区：儿童攀爬架、攀岩脚印、儿童网爬架；（4）攀爬游戏四区：儿童网爬架、攀爬锁链；（5）室外桌凳；幼儿篮球架。</w:t>
      </w:r>
    </w:p>
    <w:p>
      <w:pPr>
        <w:keepNext w:val="0"/>
        <w:keepLines w:val="0"/>
        <w:pageBreakBefore w:val="0"/>
        <w:tabs>
          <w:tab w:val="left" w:pos="312"/>
        </w:tabs>
        <w:kinsoku/>
        <w:wordWrap/>
        <w:overflowPunct/>
        <w:topLinePunct w:val="0"/>
        <w:autoSpaceDE/>
        <w:autoSpaceDN/>
        <w:bidi w:val="0"/>
        <w:adjustRightInd/>
        <w:snapToGrid/>
        <w:spacing w:line="540" w:lineRule="exact"/>
        <w:ind w:firstLine="560" w:firstLineChars="200"/>
        <w:textAlignment w:val="auto"/>
        <w:rPr>
          <w:rFonts w:hint="eastAsia" w:ascii="宋体" w:hAnsi="宋体" w:cs="宋体"/>
          <w:b/>
          <w:bCs/>
          <w:sz w:val="28"/>
          <w:szCs w:val="28"/>
          <w:highlight w:val="none"/>
          <w:lang w:val="en-US" w:eastAsia="zh-CN"/>
        </w:rPr>
      </w:pPr>
      <w:r>
        <w:rPr>
          <w:rFonts w:hint="eastAsia" w:ascii="宋体" w:hAnsi="宋体" w:cs="宋体"/>
          <w:b/>
          <w:bCs/>
          <w:sz w:val="28"/>
          <w:szCs w:val="28"/>
          <w:lang w:val="en-US" w:eastAsia="zh-CN"/>
        </w:rPr>
        <w:t>六</w:t>
      </w:r>
      <w:r>
        <w:rPr>
          <w:rFonts w:hint="eastAsia" w:ascii="宋体" w:hAnsi="宋体" w:cs="宋体"/>
          <w:b/>
          <w:bCs/>
          <w:sz w:val="28"/>
          <w:szCs w:val="28"/>
          <w:highlight w:val="none"/>
          <w:lang w:val="en-US" w:eastAsia="zh-CN"/>
        </w:rPr>
        <w:t>、投标人须知</w:t>
      </w:r>
    </w:p>
    <w:p>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ascii="宋体" w:hAnsi="宋体" w:eastAsia="宋体" w:cs="宋体"/>
          <w:color w:val="333333"/>
          <w:spacing w:val="-13"/>
          <w:sz w:val="28"/>
          <w:szCs w:val="28"/>
          <w:highlight w:val="none"/>
        </w:rPr>
      </w:pPr>
      <w:r>
        <w:rPr>
          <w:rFonts w:ascii="宋体" w:hAnsi="宋体" w:eastAsia="宋体" w:cs="宋体"/>
          <w:color w:val="333333"/>
          <w:spacing w:val="-13"/>
          <w:sz w:val="28"/>
          <w:szCs w:val="28"/>
          <w:highlight w:val="none"/>
        </w:rPr>
        <w:t>1、招标图纸与工程量清单描述不符时，以工程量清单描述为准；</w:t>
      </w:r>
    </w:p>
    <w:p>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ascii="宋体" w:hAnsi="宋体" w:eastAsia="宋体" w:cs="宋体"/>
          <w:color w:val="333333"/>
          <w:spacing w:val="-13"/>
          <w:sz w:val="28"/>
          <w:szCs w:val="28"/>
          <w:highlight w:val="none"/>
        </w:rPr>
      </w:pPr>
      <w:r>
        <w:rPr>
          <w:rFonts w:ascii="宋体" w:hAnsi="宋体" w:eastAsia="宋体" w:cs="宋体"/>
          <w:color w:val="333333"/>
          <w:spacing w:val="-13"/>
          <w:sz w:val="28"/>
          <w:szCs w:val="28"/>
          <w:highlight w:val="none"/>
        </w:rPr>
        <w:t>2、工程量清单中的项目特征描述、工程量不得调整；</w:t>
      </w:r>
    </w:p>
    <w:p>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ascii="宋体" w:hAnsi="宋体" w:eastAsia="宋体" w:cs="宋体"/>
          <w:color w:val="333333"/>
          <w:spacing w:val="-13"/>
          <w:sz w:val="28"/>
          <w:szCs w:val="28"/>
          <w:highlight w:val="none"/>
        </w:rPr>
      </w:pPr>
      <w:r>
        <w:rPr>
          <w:rFonts w:ascii="宋体" w:hAnsi="宋体" w:eastAsia="宋体" w:cs="宋体"/>
          <w:color w:val="333333"/>
          <w:spacing w:val="-13"/>
          <w:sz w:val="28"/>
          <w:szCs w:val="28"/>
          <w:highlight w:val="none"/>
        </w:rPr>
        <w:t>3、专业工程暂估价均不得调整；</w:t>
      </w:r>
    </w:p>
    <w:p>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ascii="宋体" w:hAnsi="宋体" w:eastAsia="宋体" w:cs="宋体"/>
          <w:color w:val="333333"/>
          <w:spacing w:val="-13"/>
          <w:sz w:val="28"/>
          <w:szCs w:val="28"/>
          <w:highlight w:val="none"/>
        </w:rPr>
      </w:pPr>
      <w:r>
        <w:rPr>
          <w:rFonts w:hint="eastAsia" w:ascii="宋体" w:hAnsi="宋体" w:eastAsia="宋体" w:cs="宋体"/>
          <w:color w:val="333333"/>
          <w:spacing w:val="-13"/>
          <w:sz w:val="28"/>
          <w:szCs w:val="28"/>
          <w:highlight w:val="none"/>
          <w:lang w:val="en-US" w:eastAsia="zh-CN"/>
        </w:rPr>
        <w:t>4</w:t>
      </w:r>
      <w:r>
        <w:rPr>
          <w:rFonts w:ascii="宋体" w:hAnsi="宋体" w:eastAsia="宋体" w:cs="宋体"/>
          <w:color w:val="333333"/>
          <w:spacing w:val="-13"/>
          <w:sz w:val="28"/>
          <w:szCs w:val="28"/>
          <w:highlight w:val="none"/>
        </w:rPr>
        <w:t>、清单中涉及内容需要场外运输的须考虑在综合单价内；</w:t>
      </w:r>
    </w:p>
    <w:p>
      <w:pPr>
        <w:keepNext w:val="0"/>
        <w:keepLines w:val="0"/>
        <w:pageBreakBefore w:val="0"/>
        <w:widowControl w:val="0"/>
        <w:kinsoku/>
        <w:wordWrap/>
        <w:overflowPunct/>
        <w:topLinePunct w:val="0"/>
        <w:autoSpaceDE/>
        <w:autoSpaceDN/>
        <w:bidi w:val="0"/>
        <w:adjustRightInd w:val="0"/>
        <w:snapToGrid w:val="0"/>
        <w:spacing w:before="92" w:line="500" w:lineRule="exact"/>
        <w:ind w:left="1" w:right="72" w:firstLine="563"/>
        <w:textAlignment w:val="auto"/>
        <w:rPr>
          <w:rFonts w:ascii="宋体" w:hAnsi="宋体" w:eastAsia="宋体" w:cs="宋体"/>
          <w:color w:val="333333"/>
          <w:spacing w:val="-2"/>
          <w:sz w:val="28"/>
          <w:szCs w:val="28"/>
          <w:highlight w:val="none"/>
        </w:rPr>
      </w:pPr>
      <w:r>
        <w:rPr>
          <w:rFonts w:hint="eastAsia" w:ascii="宋体" w:hAnsi="宋体" w:eastAsia="宋体" w:cs="宋体"/>
          <w:color w:val="333333"/>
          <w:spacing w:val="-2"/>
          <w:sz w:val="28"/>
          <w:szCs w:val="28"/>
          <w:highlight w:val="none"/>
          <w:lang w:val="en-US" w:eastAsia="zh-CN"/>
        </w:rPr>
        <w:t>5</w:t>
      </w:r>
      <w:r>
        <w:rPr>
          <w:rFonts w:ascii="宋体" w:hAnsi="宋体" w:eastAsia="宋体" w:cs="宋体"/>
          <w:color w:val="333333"/>
          <w:spacing w:val="-2"/>
          <w:sz w:val="28"/>
          <w:szCs w:val="28"/>
          <w:highlight w:val="none"/>
        </w:rPr>
        <w:t>、分部分项工程量清单中项目特征及具体做法只做重点描述，组价时应结合图纸、技术规范书及现场勘查情况，包含现场所有工序、工作内容的全部费用。</w:t>
      </w:r>
    </w:p>
    <w:p>
      <w:pPr>
        <w:pStyle w:val="2"/>
        <w:rPr>
          <w:rFonts w:hint="eastAsia" w:eastAsia="宋体"/>
          <w:lang w:val="en-US" w:eastAsia="zh-CN"/>
        </w:rPr>
      </w:pPr>
      <w:r>
        <w:rPr>
          <w:rFonts w:hint="eastAsia" w:ascii="宋体" w:hAnsi="宋体" w:eastAsia="宋体" w:cs="宋体"/>
          <w:color w:val="333333"/>
          <w:spacing w:val="-2"/>
          <w:sz w:val="28"/>
          <w:szCs w:val="28"/>
          <w:highlight w:val="none"/>
          <w:lang w:val="en-US" w:eastAsia="zh-CN"/>
        </w:rPr>
        <w:t>6、</w:t>
      </w:r>
      <w:r>
        <w:rPr>
          <w:rFonts w:hint="eastAsia" w:ascii="宋体" w:hAnsi="宋体" w:eastAsia="宋体" w:cs="宋体"/>
          <w:color w:val="333333"/>
          <w:kern w:val="2"/>
          <w:sz w:val="28"/>
          <w:szCs w:val="28"/>
          <w:lang w:val="en-US" w:eastAsia="zh-CN" w:bidi="ar-SA"/>
        </w:rPr>
        <w:t>本次招标项目室外绿化养护按新工养护1年、后期养护2年计入；</w:t>
      </w:r>
    </w:p>
    <w:p>
      <w:pPr>
        <w:pStyle w:val="2"/>
        <w:ind w:left="0" w:leftChars="0" w:firstLine="0" w:firstLineChars="0"/>
        <w:rPr>
          <w:highlight w:val="red"/>
          <w:lang w:val="en-US" w:eastAsia="zh-CN"/>
        </w:rPr>
      </w:pPr>
    </w:p>
    <w:sectPr>
      <w:pgSz w:w="11905" w:h="16838"/>
      <w:pgMar w:top="1361" w:right="1417" w:bottom="1361" w:left="1417" w:header="720" w:footer="72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等线">
    <w:altName w:val="微软雅黑"/>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p>
  </w:footnote>
  <w:footnote w:type="continuationSeparator" w:id="1">
    <w:p>
      <w:pPr>
        <w:spacing w:before="0" w:after="0" w:line="312"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DEE28"/>
    <w:multiLevelType w:val="singleLevel"/>
    <w:tmpl w:val="5AADEE2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1MGZlZjJiNGQwYzdjMTYyNTQwNjc5ZDgxYTkwMDcifQ=="/>
  </w:docVars>
  <w:rsids>
    <w:rsidRoot w:val="009D6944"/>
    <w:rsid w:val="00212611"/>
    <w:rsid w:val="0037752A"/>
    <w:rsid w:val="004C184F"/>
    <w:rsid w:val="004F7C0E"/>
    <w:rsid w:val="006654FA"/>
    <w:rsid w:val="006B6D1F"/>
    <w:rsid w:val="00786AC4"/>
    <w:rsid w:val="00883E21"/>
    <w:rsid w:val="009742D3"/>
    <w:rsid w:val="009D6944"/>
    <w:rsid w:val="00A53D90"/>
    <w:rsid w:val="00B758C5"/>
    <w:rsid w:val="00D27933"/>
    <w:rsid w:val="00D8793D"/>
    <w:rsid w:val="00E16C68"/>
    <w:rsid w:val="0246401D"/>
    <w:rsid w:val="02D45050"/>
    <w:rsid w:val="031F3DF1"/>
    <w:rsid w:val="04666290"/>
    <w:rsid w:val="04E84DE3"/>
    <w:rsid w:val="05997E8B"/>
    <w:rsid w:val="06A04558"/>
    <w:rsid w:val="06E31807"/>
    <w:rsid w:val="06F85F55"/>
    <w:rsid w:val="075F336A"/>
    <w:rsid w:val="08312076"/>
    <w:rsid w:val="08AE00F1"/>
    <w:rsid w:val="08D9696C"/>
    <w:rsid w:val="097D47A3"/>
    <w:rsid w:val="09E57FEA"/>
    <w:rsid w:val="0A911A78"/>
    <w:rsid w:val="0B154457"/>
    <w:rsid w:val="0BD66E27"/>
    <w:rsid w:val="0DA10224"/>
    <w:rsid w:val="0DC31439"/>
    <w:rsid w:val="0F8F699F"/>
    <w:rsid w:val="10310952"/>
    <w:rsid w:val="10CD79C6"/>
    <w:rsid w:val="10FB40F0"/>
    <w:rsid w:val="114D7C6F"/>
    <w:rsid w:val="11905DE0"/>
    <w:rsid w:val="12225E3D"/>
    <w:rsid w:val="12C5641C"/>
    <w:rsid w:val="143947BA"/>
    <w:rsid w:val="14AE45AC"/>
    <w:rsid w:val="159A4B58"/>
    <w:rsid w:val="16CA383D"/>
    <w:rsid w:val="17BD4D34"/>
    <w:rsid w:val="19406B43"/>
    <w:rsid w:val="19713B3C"/>
    <w:rsid w:val="1A0F5460"/>
    <w:rsid w:val="1A2E2E40"/>
    <w:rsid w:val="1AAB4490"/>
    <w:rsid w:val="1E3D7AF5"/>
    <w:rsid w:val="1EB7274A"/>
    <w:rsid w:val="20450EE3"/>
    <w:rsid w:val="204C75F5"/>
    <w:rsid w:val="20FA2F01"/>
    <w:rsid w:val="222803CA"/>
    <w:rsid w:val="22DF57F7"/>
    <w:rsid w:val="22F159E4"/>
    <w:rsid w:val="237734F7"/>
    <w:rsid w:val="23B755D9"/>
    <w:rsid w:val="244330AF"/>
    <w:rsid w:val="271E0008"/>
    <w:rsid w:val="2743098E"/>
    <w:rsid w:val="29EA5969"/>
    <w:rsid w:val="2A0A1FC2"/>
    <w:rsid w:val="2A341826"/>
    <w:rsid w:val="2AC1385C"/>
    <w:rsid w:val="2AD0584D"/>
    <w:rsid w:val="2D6A1CAA"/>
    <w:rsid w:val="2E5868F3"/>
    <w:rsid w:val="2FF43D8C"/>
    <w:rsid w:val="31A135DC"/>
    <w:rsid w:val="321B7CF6"/>
    <w:rsid w:val="33851301"/>
    <w:rsid w:val="35571045"/>
    <w:rsid w:val="37427140"/>
    <w:rsid w:val="376153D7"/>
    <w:rsid w:val="384F41A0"/>
    <w:rsid w:val="389C29AE"/>
    <w:rsid w:val="38A65E3F"/>
    <w:rsid w:val="38D54826"/>
    <w:rsid w:val="3950611C"/>
    <w:rsid w:val="3A7A7AAB"/>
    <w:rsid w:val="3CB21257"/>
    <w:rsid w:val="3CFE29A0"/>
    <w:rsid w:val="3DF265CF"/>
    <w:rsid w:val="3E1D643F"/>
    <w:rsid w:val="3E6F1BA5"/>
    <w:rsid w:val="3F55692A"/>
    <w:rsid w:val="40F727E7"/>
    <w:rsid w:val="411476C5"/>
    <w:rsid w:val="415F7EC5"/>
    <w:rsid w:val="41B05FC1"/>
    <w:rsid w:val="42E30E0A"/>
    <w:rsid w:val="441E78CC"/>
    <w:rsid w:val="44454EE4"/>
    <w:rsid w:val="44D8188B"/>
    <w:rsid w:val="4531633F"/>
    <w:rsid w:val="47124EFC"/>
    <w:rsid w:val="476A40CC"/>
    <w:rsid w:val="47B506BF"/>
    <w:rsid w:val="48E4183C"/>
    <w:rsid w:val="48E87D4A"/>
    <w:rsid w:val="4BEA4E78"/>
    <w:rsid w:val="4DA44BEC"/>
    <w:rsid w:val="4DC94652"/>
    <w:rsid w:val="4DEC6E00"/>
    <w:rsid w:val="4E141CCA"/>
    <w:rsid w:val="50E62426"/>
    <w:rsid w:val="51CC5B02"/>
    <w:rsid w:val="53C83F18"/>
    <w:rsid w:val="54600F79"/>
    <w:rsid w:val="54F82C0F"/>
    <w:rsid w:val="57A654EE"/>
    <w:rsid w:val="584B591B"/>
    <w:rsid w:val="58F702C5"/>
    <w:rsid w:val="58FA2406"/>
    <w:rsid w:val="5A773D8D"/>
    <w:rsid w:val="5A982DB8"/>
    <w:rsid w:val="5B081E1C"/>
    <w:rsid w:val="5B102136"/>
    <w:rsid w:val="5B517E11"/>
    <w:rsid w:val="5C5E3DB7"/>
    <w:rsid w:val="5C6C458D"/>
    <w:rsid w:val="5C8D37C7"/>
    <w:rsid w:val="5D164899"/>
    <w:rsid w:val="5DA20C02"/>
    <w:rsid w:val="60674154"/>
    <w:rsid w:val="60F84095"/>
    <w:rsid w:val="61160B4B"/>
    <w:rsid w:val="61656152"/>
    <w:rsid w:val="63100D1A"/>
    <w:rsid w:val="640D0E35"/>
    <w:rsid w:val="650F0CF2"/>
    <w:rsid w:val="690C47BD"/>
    <w:rsid w:val="693D60AB"/>
    <w:rsid w:val="69E46644"/>
    <w:rsid w:val="6A7E7B5D"/>
    <w:rsid w:val="6AED4D44"/>
    <w:rsid w:val="6C3D028D"/>
    <w:rsid w:val="6D6A56EB"/>
    <w:rsid w:val="6F7D6A5B"/>
    <w:rsid w:val="6F834B31"/>
    <w:rsid w:val="7016507D"/>
    <w:rsid w:val="705A5E6C"/>
    <w:rsid w:val="71297032"/>
    <w:rsid w:val="7340033E"/>
    <w:rsid w:val="739906A4"/>
    <w:rsid w:val="73C14381"/>
    <w:rsid w:val="73EC2A60"/>
    <w:rsid w:val="748E5EBF"/>
    <w:rsid w:val="764011B2"/>
    <w:rsid w:val="76CE0EBB"/>
    <w:rsid w:val="7736177B"/>
    <w:rsid w:val="773D55E5"/>
    <w:rsid w:val="77493F8A"/>
    <w:rsid w:val="78800C20"/>
    <w:rsid w:val="79217561"/>
    <w:rsid w:val="7924633C"/>
    <w:rsid w:val="7ACF47A6"/>
    <w:rsid w:val="7AF75AAB"/>
    <w:rsid w:val="7C20370D"/>
    <w:rsid w:val="7C30077B"/>
    <w:rsid w:val="7DDB16B4"/>
    <w:rsid w:val="7E6856C9"/>
    <w:rsid w:val="7EDB0CE4"/>
    <w:rsid w:val="7F020597"/>
    <w:rsid w:val="7F9D1F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qFormat/>
    <w:uiPriority w:val="99"/>
    <w:pPr>
      <w:widowControl w:val="0"/>
      <w:snapToGrid w:val="0"/>
      <w:spacing w:before="60" w:after="120" w:line="312" w:lineRule="auto"/>
      <w:ind w:firstLine="420"/>
    </w:pPr>
    <w:rPr>
      <w:rFonts w:asciiTheme="minorHAnsi" w:hAnsiTheme="minorHAnsi" w:eastAsiaTheme="minorEastAsia" w:cstheme="minorBidi"/>
      <w:color w:val="333333"/>
      <w:kern w:val="2"/>
      <w:sz w:val="22"/>
      <w:szCs w:val="24"/>
      <w:lang w:val="en-US" w:eastAsia="zh-CN" w:bidi="ar-SA"/>
    </w:rPr>
  </w:style>
  <w:style w:type="paragraph" w:styleId="3">
    <w:name w:val="Body Text"/>
    <w:basedOn w:val="1"/>
    <w:autoRedefine/>
    <w:qFormat/>
    <w:uiPriority w:val="0"/>
    <w:pPr>
      <w:spacing w:after="120"/>
    </w:pPr>
    <w:rPr>
      <w:szCs w:val="24"/>
    </w:rPr>
  </w:style>
  <w:style w:type="paragraph" w:styleId="4">
    <w:name w:val="footer"/>
    <w:basedOn w:val="1"/>
    <w:link w:val="18"/>
    <w:autoRedefine/>
    <w:unhideWhenUsed/>
    <w:qFormat/>
    <w:uiPriority w:val="99"/>
    <w:pPr>
      <w:tabs>
        <w:tab w:val="center" w:pos="4153"/>
        <w:tab w:val="right" w:pos="8306"/>
      </w:tabs>
      <w:spacing w:line="240" w:lineRule="auto"/>
    </w:pPr>
    <w:rPr>
      <w:sz w:val="18"/>
      <w:szCs w:val="18"/>
    </w:rPr>
  </w:style>
  <w:style w:type="paragraph" w:styleId="5">
    <w:name w:val="header"/>
    <w:basedOn w:val="1"/>
    <w:link w:val="20"/>
    <w:autoRedefine/>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6">
    <w:name w:val="Normal (Web)"/>
    <w:autoRedefine/>
    <w:semiHidden/>
    <w:unhideWhenUsed/>
    <w:qFormat/>
    <w:uiPriority w:val="99"/>
    <w:pPr>
      <w:widowControl w:val="0"/>
      <w:snapToGrid w:val="0"/>
      <w:spacing w:before="0" w:beforeAutospacing="1" w:after="0" w:afterAutospacing="1" w:line="312" w:lineRule="auto"/>
      <w:ind w:left="0" w:right="0"/>
      <w:jc w:val="left"/>
    </w:pPr>
    <w:rPr>
      <w:rFonts w:asciiTheme="minorHAnsi" w:hAnsiTheme="minorHAnsi" w:eastAsiaTheme="minorEastAsia" w:cstheme="minorBidi"/>
      <w:color w:val="333333"/>
      <w:kern w:val="0"/>
      <w:sz w:val="24"/>
      <w:szCs w:val="22"/>
      <w:lang w:val="en-US" w:eastAsia="zh-CN" w:bidi="ar"/>
    </w:rPr>
  </w:style>
  <w:style w:type="paragraph" w:styleId="7">
    <w:name w:val="Title"/>
    <w:basedOn w:val="1"/>
    <w:next w:val="1"/>
    <w:autoRedefine/>
    <w:qFormat/>
    <w:uiPriority w:val="9"/>
    <w:pPr>
      <w:keepNext/>
      <w:keepLines/>
      <w:spacing w:before="0" w:after="0" w:line="408" w:lineRule="auto"/>
      <w:jc w:val="center"/>
      <w:outlineLvl w:val="0"/>
    </w:pPr>
    <w:rPr>
      <w:b/>
      <w:bCs/>
      <w:color w:val="1A1A1A"/>
      <w:sz w:val="48"/>
      <w:szCs w:val="48"/>
    </w:rPr>
  </w:style>
  <w:style w:type="table" w:styleId="9">
    <w:name w:val="Table Grid"/>
    <w:basedOn w:val="8"/>
    <w:autoRedefine/>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 w:type="paragraph" w:customStyle="1" w:styleId="11">
    <w:name w:val="列出段落1"/>
    <w:autoRedefine/>
    <w:qFormat/>
    <w:uiPriority w:val="0"/>
    <w:pPr>
      <w:widowControl w:val="0"/>
      <w:snapToGrid w:val="0"/>
      <w:spacing w:before="60" w:after="60" w:line="312" w:lineRule="auto"/>
      <w:ind w:firstLine="420" w:firstLineChars="200"/>
    </w:pPr>
    <w:rPr>
      <w:rFonts w:asciiTheme="minorHAnsi" w:hAnsiTheme="minorHAnsi" w:eastAsiaTheme="minorEastAsia" w:cstheme="minorBidi"/>
      <w:color w:val="333333"/>
      <w:kern w:val="2"/>
      <w:sz w:val="22"/>
      <w:szCs w:val="22"/>
      <w:lang w:val="en-US" w:eastAsia="zh-CN" w:bidi="ar-SA"/>
    </w:rPr>
  </w:style>
  <w:style w:type="character" w:customStyle="1" w:styleId="12">
    <w:name w:val="font21"/>
    <w:basedOn w:val="10"/>
    <w:autoRedefine/>
    <w:qFormat/>
    <w:uiPriority w:val="0"/>
    <w:rPr>
      <w:rFonts w:hint="eastAsia" w:ascii="仿宋" w:hAnsi="仿宋" w:eastAsia="仿宋" w:cs="仿宋"/>
      <w:color w:val="333333"/>
      <w:sz w:val="20"/>
      <w:szCs w:val="20"/>
      <w:u w:val="none"/>
    </w:rPr>
  </w:style>
  <w:style w:type="character" w:customStyle="1" w:styleId="13">
    <w:name w:val="font51"/>
    <w:basedOn w:val="10"/>
    <w:autoRedefine/>
    <w:qFormat/>
    <w:uiPriority w:val="0"/>
    <w:rPr>
      <w:rFonts w:ascii="仿宋" w:hAnsi="仿宋" w:eastAsia="仿宋" w:cs="仿宋"/>
      <w:color w:val="000000"/>
      <w:sz w:val="28"/>
      <w:szCs w:val="28"/>
      <w:u w:val="none"/>
    </w:rPr>
  </w:style>
  <w:style w:type="character" w:customStyle="1" w:styleId="14">
    <w:name w:val="font112"/>
    <w:basedOn w:val="10"/>
    <w:autoRedefine/>
    <w:qFormat/>
    <w:uiPriority w:val="0"/>
    <w:rPr>
      <w:rFonts w:ascii="仿宋" w:hAnsi="仿宋" w:eastAsia="仿宋" w:cs="仿宋"/>
      <w:color w:val="000000"/>
      <w:sz w:val="28"/>
      <w:szCs w:val="28"/>
      <w:u w:val="none"/>
    </w:rPr>
  </w:style>
  <w:style w:type="character" w:customStyle="1" w:styleId="15">
    <w:name w:val="font01"/>
    <w:basedOn w:val="10"/>
    <w:autoRedefine/>
    <w:qFormat/>
    <w:uiPriority w:val="0"/>
    <w:rPr>
      <w:rFonts w:hint="eastAsia" w:ascii="宋体" w:hAnsi="宋体" w:eastAsia="宋体" w:cs="宋体"/>
      <w:color w:val="000000"/>
      <w:sz w:val="22"/>
      <w:szCs w:val="22"/>
      <w:u w:val="none"/>
    </w:rPr>
  </w:style>
  <w:style w:type="character" w:customStyle="1" w:styleId="16">
    <w:name w:val="font41"/>
    <w:basedOn w:val="10"/>
    <w:autoRedefine/>
    <w:qFormat/>
    <w:uiPriority w:val="0"/>
    <w:rPr>
      <w:rFonts w:hint="eastAsia" w:ascii="仿宋" w:hAnsi="仿宋" w:eastAsia="仿宋" w:cs="仿宋"/>
      <w:color w:val="333333"/>
      <w:sz w:val="20"/>
      <w:szCs w:val="20"/>
      <w:u w:val="none"/>
    </w:rPr>
  </w:style>
  <w:style w:type="character" w:customStyle="1" w:styleId="17">
    <w:name w:val="font11"/>
    <w:basedOn w:val="10"/>
    <w:autoRedefine/>
    <w:qFormat/>
    <w:uiPriority w:val="0"/>
    <w:rPr>
      <w:rFonts w:hint="eastAsia" w:ascii="仿宋" w:hAnsi="仿宋" w:eastAsia="仿宋" w:cs="仿宋"/>
      <w:color w:val="000000"/>
      <w:sz w:val="24"/>
      <w:szCs w:val="24"/>
      <w:u w:val="none"/>
    </w:rPr>
  </w:style>
  <w:style w:type="character" w:customStyle="1" w:styleId="18">
    <w:name w:val="页脚 字符"/>
    <w:basedOn w:val="10"/>
    <w:link w:val="4"/>
    <w:autoRedefine/>
    <w:qFormat/>
    <w:uiPriority w:val="99"/>
    <w:rPr>
      <w:sz w:val="18"/>
      <w:szCs w:val="18"/>
    </w:rPr>
  </w:style>
  <w:style w:type="character" w:customStyle="1" w:styleId="19">
    <w:name w:val="font121"/>
    <w:basedOn w:val="10"/>
    <w:autoRedefine/>
    <w:qFormat/>
    <w:uiPriority w:val="0"/>
    <w:rPr>
      <w:rFonts w:hint="eastAsia" w:ascii="仿宋" w:hAnsi="仿宋" w:eastAsia="仿宋" w:cs="仿宋"/>
      <w:color w:val="000000"/>
      <w:sz w:val="24"/>
      <w:szCs w:val="24"/>
      <w:u w:val="none"/>
    </w:rPr>
  </w:style>
  <w:style w:type="character" w:customStyle="1" w:styleId="20">
    <w:name w:val="页眉 字符"/>
    <w:basedOn w:val="10"/>
    <w:link w:val="5"/>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9130</Words>
  <Characters>9852</Characters>
  <TotalTime>0</TotalTime>
  <ScaleCrop>false</ScaleCrop>
  <LinksUpToDate>false</LinksUpToDate>
  <CharactersWithSpaces>10703</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2023-09-06T15:14:00Z</dcterms:created>
  <dc:creator>Administrator</dc:creator>
  <cp:lastModifiedBy>Administrator</cp:lastModifiedBy>
  <dcterms:modified xsi:type="dcterms:W3CDTF">2024-01-26T08:21:16Z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2138BCA7E08746BAB22E911DC895069E_12</vt:lpwstr>
  </property>
</Properties>
</file>