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460" w:lineRule="exact"/>
        <w:jc w:val="left"/>
        <w:rPr>
          <w:rFonts w:cs="方正小标宋简体" w:asciiTheme="minorEastAsia" w:hAnsiTheme="minorEastAsia" w:eastAsiaTheme="minorEastAsia"/>
          <w:bCs/>
          <w:sz w:val="28"/>
          <w:szCs w:val="28"/>
        </w:rPr>
      </w:pPr>
    </w:p>
    <w:p>
      <w:pPr>
        <w:pStyle w:val="3"/>
        <w:spacing w:before="0" w:after="0" w:line="700" w:lineRule="exact"/>
        <w:rPr>
          <w:rFonts w:hint="default"/>
          <w:sz w:val="44"/>
          <w:szCs w:val="44"/>
        </w:rPr>
      </w:pPr>
      <w:r>
        <w:rPr>
          <w:sz w:val="44"/>
          <w:szCs w:val="44"/>
        </w:rPr>
        <w:t>呼和浩特市赛罕区教育局</w:t>
      </w:r>
    </w:p>
    <w:p>
      <w:pPr>
        <w:pStyle w:val="3"/>
        <w:spacing w:before="0" w:after="0" w:line="700" w:lineRule="exact"/>
        <w:rPr>
          <w:rFonts w:hint="default" w:ascii="宋体" w:hAnsi="宋体" w:cs="宋体"/>
          <w:bCs w:val="0"/>
          <w:sz w:val="44"/>
          <w:szCs w:val="44"/>
        </w:rPr>
      </w:pPr>
      <w:r>
        <w:rPr>
          <w:sz w:val="44"/>
          <w:szCs w:val="44"/>
        </w:rPr>
        <w:t>校园安保服务合同</w:t>
      </w:r>
    </w:p>
    <w:p>
      <w:pPr>
        <w:spacing w:line="700" w:lineRule="exact"/>
        <w:rPr>
          <w:rFonts w:cs="微软雅黑" w:asciiTheme="minorEastAsia" w:hAnsiTheme="minorEastAsia" w:eastAsiaTheme="minorEastAsia"/>
          <w:b/>
          <w:sz w:val="28"/>
          <w:szCs w:val="28"/>
          <w:u w:val="single"/>
        </w:rPr>
      </w:pPr>
      <w:r>
        <w:rPr>
          <w:rFonts w:hint="eastAsia" w:cs="微软雅黑" w:asciiTheme="minorEastAsia" w:hAnsiTheme="minorEastAsia" w:eastAsiaTheme="minorEastAsia"/>
          <w:b/>
          <w:sz w:val="28"/>
          <w:szCs w:val="28"/>
        </w:rPr>
        <w:t>甲方：</w:t>
      </w:r>
      <w:r>
        <w:rPr>
          <w:rFonts w:hint="eastAsia" w:cs="微软雅黑" w:asciiTheme="minorEastAsia" w:hAnsiTheme="minorEastAsia" w:eastAsiaTheme="minorEastAsia"/>
          <w:b/>
          <w:sz w:val="28"/>
          <w:szCs w:val="28"/>
          <w:u w:val="single"/>
        </w:rPr>
        <w:t xml:space="preserve">  赛罕区教育局   </w:t>
      </w:r>
    </w:p>
    <w:p>
      <w:pPr>
        <w:spacing w:line="460" w:lineRule="exact"/>
        <w:rPr>
          <w:rFonts w:cs="微软雅黑" w:asciiTheme="minorEastAsia" w:hAnsiTheme="minorEastAsia" w:eastAsiaTheme="minorEastAsia"/>
          <w:b/>
          <w:sz w:val="28"/>
          <w:szCs w:val="28"/>
        </w:rPr>
      </w:pPr>
      <w:r>
        <w:rPr>
          <w:rFonts w:hint="eastAsia" w:cs="微软雅黑" w:asciiTheme="minorEastAsia" w:hAnsiTheme="minorEastAsia" w:eastAsiaTheme="minorEastAsia"/>
          <w:b/>
          <w:sz w:val="28"/>
          <w:szCs w:val="28"/>
        </w:rPr>
        <w:t>法定代表人：</w:t>
      </w:r>
      <w:r>
        <w:rPr>
          <w:rFonts w:hint="eastAsia" w:cs="微软雅黑" w:asciiTheme="minorEastAsia" w:hAnsiTheme="minorEastAsia" w:eastAsiaTheme="minorEastAsia"/>
          <w:b/>
          <w:sz w:val="28"/>
          <w:szCs w:val="28"/>
          <w:u w:val="single"/>
        </w:rPr>
        <w:t xml:space="preserve">  张宝珍    </w:t>
      </w:r>
    </w:p>
    <w:p>
      <w:pPr>
        <w:spacing w:line="460" w:lineRule="exact"/>
        <w:rPr>
          <w:rFonts w:cs="微软雅黑" w:asciiTheme="minorEastAsia" w:hAnsiTheme="minorEastAsia" w:eastAsiaTheme="minorEastAsia"/>
          <w:b/>
          <w:sz w:val="28"/>
          <w:szCs w:val="28"/>
          <w:u w:val="single"/>
        </w:rPr>
      </w:pPr>
      <w:r>
        <w:rPr>
          <w:rFonts w:hint="eastAsia" w:cs="微软雅黑" w:asciiTheme="minorEastAsia" w:hAnsiTheme="minorEastAsia" w:eastAsiaTheme="minorEastAsia"/>
          <w:b/>
          <w:sz w:val="28"/>
          <w:szCs w:val="28"/>
        </w:rPr>
        <w:t>委托代理人：</w:t>
      </w:r>
      <w:r>
        <w:rPr>
          <w:rFonts w:hint="eastAsia" w:cs="微软雅黑" w:asciiTheme="minorEastAsia" w:hAnsiTheme="minorEastAsia" w:eastAsiaTheme="minorEastAsia"/>
          <w:b/>
          <w:sz w:val="28"/>
          <w:szCs w:val="28"/>
          <w:u w:val="single"/>
        </w:rPr>
        <w:t xml:space="preserve">       </w:t>
      </w:r>
    </w:p>
    <w:p>
      <w:pPr>
        <w:spacing w:line="460" w:lineRule="exact"/>
        <w:ind w:left="420"/>
        <w:rPr>
          <w:rFonts w:cs="微软雅黑" w:asciiTheme="minorEastAsia" w:hAnsiTheme="minorEastAsia" w:eastAsiaTheme="minorEastAsia"/>
          <w:b/>
          <w:sz w:val="28"/>
          <w:szCs w:val="28"/>
          <w:u w:val="single"/>
        </w:rPr>
      </w:pPr>
    </w:p>
    <w:p>
      <w:pPr>
        <w:spacing w:line="460" w:lineRule="exact"/>
        <w:rPr>
          <w:rFonts w:cs="微软雅黑" w:asciiTheme="minorEastAsia" w:hAnsiTheme="minorEastAsia" w:eastAsiaTheme="minorEastAsia"/>
          <w:b/>
          <w:sz w:val="28"/>
          <w:szCs w:val="28"/>
          <w:u w:val="single"/>
        </w:rPr>
      </w:pPr>
      <w:r>
        <w:rPr>
          <w:rFonts w:hint="eastAsia" w:cs="微软雅黑" w:asciiTheme="minorEastAsia" w:hAnsiTheme="minorEastAsia" w:eastAsiaTheme="minorEastAsia"/>
          <w:b/>
          <w:sz w:val="28"/>
          <w:szCs w:val="28"/>
        </w:rPr>
        <w:t>乙方：</w:t>
      </w:r>
      <w:r>
        <w:rPr>
          <w:rFonts w:hint="eastAsia" w:cs="微软雅黑" w:asciiTheme="minorEastAsia" w:hAnsiTheme="minorEastAsia" w:eastAsiaTheme="minorEastAsia"/>
          <w:b/>
          <w:sz w:val="28"/>
          <w:szCs w:val="28"/>
          <w:u w:val="single"/>
        </w:rPr>
        <w:t xml:space="preserve">                    </w:t>
      </w:r>
    </w:p>
    <w:p>
      <w:pPr>
        <w:spacing w:line="460" w:lineRule="exact"/>
        <w:rPr>
          <w:rFonts w:cs="微软雅黑" w:asciiTheme="minorEastAsia" w:hAnsiTheme="minorEastAsia" w:eastAsiaTheme="minorEastAsia"/>
          <w:b/>
          <w:sz w:val="28"/>
          <w:szCs w:val="28"/>
        </w:rPr>
      </w:pPr>
      <w:r>
        <w:rPr>
          <w:rFonts w:hint="eastAsia" w:cs="微软雅黑" w:asciiTheme="minorEastAsia" w:hAnsiTheme="minorEastAsia" w:eastAsiaTheme="minorEastAsia"/>
          <w:b/>
          <w:sz w:val="28"/>
          <w:szCs w:val="28"/>
        </w:rPr>
        <w:t>法定代表人：</w:t>
      </w:r>
      <w:r>
        <w:rPr>
          <w:rFonts w:hint="eastAsia" w:cs="微软雅黑" w:asciiTheme="minorEastAsia" w:hAnsiTheme="minorEastAsia" w:eastAsiaTheme="minorEastAsia"/>
          <w:b/>
          <w:sz w:val="28"/>
          <w:szCs w:val="28"/>
          <w:u w:val="single"/>
        </w:rPr>
        <w:t xml:space="preserve">      </w:t>
      </w:r>
    </w:p>
    <w:p>
      <w:pPr>
        <w:spacing w:line="460" w:lineRule="exact"/>
        <w:rPr>
          <w:rFonts w:cs="微软雅黑" w:asciiTheme="minorEastAsia" w:hAnsiTheme="minorEastAsia" w:eastAsiaTheme="minorEastAsia"/>
          <w:b/>
          <w:sz w:val="28"/>
          <w:szCs w:val="28"/>
          <w:u w:val="single"/>
        </w:rPr>
      </w:pPr>
      <w:r>
        <w:rPr>
          <w:rFonts w:hint="eastAsia" w:cs="微软雅黑" w:asciiTheme="minorEastAsia" w:hAnsiTheme="minorEastAsia" w:eastAsiaTheme="minorEastAsia"/>
          <w:b/>
          <w:sz w:val="28"/>
          <w:szCs w:val="28"/>
        </w:rPr>
        <w:t>委托代理人：</w:t>
      </w:r>
      <w:r>
        <w:rPr>
          <w:rFonts w:hint="eastAsia" w:cs="微软雅黑" w:asciiTheme="minorEastAsia" w:hAnsiTheme="minorEastAsia" w:eastAsiaTheme="minorEastAsia"/>
          <w:b/>
          <w:sz w:val="28"/>
          <w:szCs w:val="28"/>
          <w:u w:val="single"/>
        </w:rPr>
        <w:t xml:space="preserve">      </w:t>
      </w:r>
    </w:p>
    <w:p>
      <w:pPr>
        <w:spacing w:line="460" w:lineRule="exact"/>
        <w:rPr>
          <w:rFonts w:cs="微软雅黑" w:asciiTheme="minorEastAsia" w:hAnsiTheme="minorEastAsia" w:eastAsiaTheme="minorEastAsia"/>
          <w:b/>
          <w:sz w:val="28"/>
          <w:szCs w:val="28"/>
        </w:rPr>
      </w:pPr>
      <w:r>
        <w:rPr>
          <w:rFonts w:hint="eastAsia" w:cs="微软雅黑" w:asciiTheme="minorEastAsia" w:hAnsiTheme="minorEastAsia" w:eastAsiaTheme="minorEastAsia"/>
          <w:b/>
          <w:sz w:val="28"/>
          <w:szCs w:val="28"/>
        </w:rPr>
        <w:t xml:space="preserve">办公地址: </w:t>
      </w:r>
      <w:r>
        <w:rPr>
          <w:rFonts w:hint="eastAsia" w:cs="微软雅黑" w:asciiTheme="minorEastAsia" w:hAnsiTheme="minorEastAsia" w:eastAsiaTheme="minorEastAsia"/>
          <w:b/>
          <w:sz w:val="28"/>
          <w:szCs w:val="28"/>
          <w:u w:val="single"/>
        </w:rPr>
        <w:t xml:space="preserve"> </w:t>
      </w:r>
      <w:r>
        <w:rPr>
          <w:rFonts w:hint="eastAsia" w:ascii="仿宋_GB2312" w:eastAsia="仿宋_GB2312"/>
          <w:b/>
          <w:bCs/>
          <w:color w:val="000000"/>
          <w:sz w:val="32"/>
          <w:szCs w:val="32"/>
          <w:u w:val="single"/>
        </w:rPr>
        <w:t xml:space="preserve">                      </w:t>
      </w:r>
      <w:r>
        <w:rPr>
          <w:rFonts w:hint="eastAsia" w:cs="微软雅黑" w:asciiTheme="minorEastAsia" w:hAnsiTheme="minorEastAsia" w:eastAsiaTheme="minorEastAsia"/>
          <w:b/>
          <w:sz w:val="28"/>
          <w:szCs w:val="28"/>
          <w:u w:val="single"/>
        </w:rPr>
        <w:t xml:space="preserve"> </w:t>
      </w:r>
      <w:r>
        <w:rPr>
          <w:rFonts w:hint="eastAsia" w:cs="微软雅黑" w:asciiTheme="minorEastAsia" w:hAnsiTheme="minorEastAsia" w:eastAsiaTheme="minorEastAsia"/>
          <w:b/>
          <w:sz w:val="28"/>
          <w:szCs w:val="28"/>
        </w:rPr>
        <w:t xml:space="preserve">          </w:t>
      </w:r>
    </w:p>
    <w:p>
      <w:pPr>
        <w:spacing w:line="460" w:lineRule="exact"/>
        <w:rPr>
          <w:rFonts w:cs="微软雅黑" w:asciiTheme="minorEastAsia" w:hAnsiTheme="minorEastAsia" w:eastAsiaTheme="minorEastAsia"/>
          <w:b/>
          <w:sz w:val="28"/>
          <w:szCs w:val="28"/>
        </w:rPr>
      </w:pPr>
      <w:r>
        <w:rPr>
          <w:rFonts w:hint="eastAsia" w:cs="微软雅黑" w:asciiTheme="minorEastAsia" w:hAnsiTheme="minorEastAsia" w:eastAsiaTheme="minorEastAsia"/>
          <w:b/>
          <w:sz w:val="28"/>
          <w:szCs w:val="28"/>
        </w:rPr>
        <w:t xml:space="preserve">开户行:   </w:t>
      </w:r>
      <w:r>
        <w:rPr>
          <w:rFonts w:hint="eastAsia" w:cs="微软雅黑" w:asciiTheme="minorEastAsia" w:hAnsiTheme="minorEastAsia" w:eastAsiaTheme="minorEastAsia"/>
          <w:b/>
          <w:sz w:val="28"/>
          <w:szCs w:val="28"/>
          <w:u w:val="single"/>
        </w:rPr>
        <w:t xml:space="preserve">                           </w:t>
      </w:r>
      <w:r>
        <w:rPr>
          <w:rFonts w:hint="eastAsia" w:cs="微软雅黑" w:asciiTheme="minorEastAsia" w:hAnsiTheme="minorEastAsia" w:eastAsiaTheme="minorEastAsia"/>
          <w:b/>
          <w:sz w:val="28"/>
          <w:szCs w:val="28"/>
        </w:rPr>
        <w:t xml:space="preserve">            </w:t>
      </w:r>
    </w:p>
    <w:p>
      <w:pPr>
        <w:spacing w:line="460" w:lineRule="exact"/>
        <w:rPr>
          <w:rFonts w:cs="宋体" w:asciiTheme="minorEastAsia" w:hAnsiTheme="minorEastAsia" w:eastAsiaTheme="minorEastAsia"/>
          <w:b/>
          <w:sz w:val="28"/>
          <w:szCs w:val="28"/>
        </w:rPr>
      </w:pPr>
      <w:r>
        <w:rPr>
          <w:rFonts w:hint="eastAsia" w:cs="微软雅黑" w:asciiTheme="minorEastAsia" w:hAnsiTheme="minorEastAsia" w:eastAsiaTheme="minorEastAsia"/>
          <w:b/>
          <w:sz w:val="28"/>
          <w:szCs w:val="28"/>
        </w:rPr>
        <w:t xml:space="preserve">账  号: </w:t>
      </w:r>
      <w:r>
        <w:rPr>
          <w:rFonts w:hint="eastAsia" w:cs="微软雅黑" w:asciiTheme="minorEastAsia" w:hAnsiTheme="minorEastAsia" w:eastAsiaTheme="minorEastAsia"/>
          <w:b/>
          <w:sz w:val="28"/>
          <w:szCs w:val="28"/>
          <w:u w:val="single"/>
        </w:rPr>
        <w:t xml:space="preserve">                             </w:t>
      </w:r>
      <w:r>
        <w:rPr>
          <w:rFonts w:hint="eastAsia" w:cs="宋体" w:asciiTheme="minorEastAsia" w:hAnsiTheme="minorEastAsia" w:eastAsiaTheme="minorEastAsia"/>
          <w:b/>
          <w:sz w:val="28"/>
          <w:szCs w:val="28"/>
        </w:rPr>
        <w:t xml:space="preserve">    </w:t>
      </w:r>
    </w:p>
    <w:p>
      <w:pPr>
        <w:spacing w:line="46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 xml:space="preserve">      </w:t>
      </w:r>
    </w:p>
    <w:p>
      <w:pPr>
        <w:spacing w:line="4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sz w:val="28"/>
          <w:szCs w:val="28"/>
        </w:rPr>
        <w:t>为了保护甲方校园人身财产安全、维护校园秩序和教育工作的顺利开展，乙方向甲方提供校园安保服务。</w:t>
      </w:r>
      <w:r>
        <w:rPr>
          <w:rFonts w:hint="eastAsia" w:cs="宋体" w:asciiTheme="minorEastAsia" w:hAnsiTheme="minorEastAsia" w:eastAsiaTheme="minorEastAsia"/>
          <w:bCs/>
          <w:sz w:val="28"/>
          <w:szCs w:val="28"/>
        </w:rPr>
        <w:t>依据我国有关法律法规的规定，甲乙双方友好协商，就乙方为甲方提供校园安保服务事宜，在自愿、平等的基础上签订本合同条款如下：</w:t>
      </w:r>
    </w:p>
    <w:p>
      <w:pPr>
        <w:spacing w:line="46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xml:space="preserve">一、服务范围和内容 </w:t>
      </w:r>
    </w:p>
    <w:p>
      <w:pPr>
        <w:spacing w:line="46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1、服务范围：赛罕区教育局所属各中小学、幼儿园校园内外可控范围内涉及师生人身安全和财产安全事项委托乙方管理。</w:t>
      </w:r>
    </w:p>
    <w:p>
      <w:pPr>
        <w:spacing w:line="46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2、服务内容： 在岗时间内安全隐患排查和安全保卫工作 。  </w:t>
      </w:r>
    </w:p>
    <w:p>
      <w:pPr>
        <w:spacing w:line="46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二、服务期限及派驻保安人数</w:t>
      </w:r>
    </w:p>
    <w:p>
      <w:pPr>
        <w:spacing w:line="460" w:lineRule="exact"/>
        <w:ind w:left="560" w:hanging="560" w:hanging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1、服务期限为一年，从2024年4月1日起至2025年</w:t>
      </w:r>
      <w:r>
        <w:rPr>
          <w:rFonts w:hint="eastAsia" w:cs="宋体" w:asciiTheme="minorEastAsia" w:hAnsiTheme="minorEastAsia" w:eastAsiaTheme="minorEastAsia"/>
          <w:sz w:val="28"/>
          <w:szCs w:val="28"/>
          <w:lang w:val="en-US" w:eastAsia="zh-CN"/>
        </w:rPr>
        <w:t>3</w:t>
      </w:r>
      <w:r>
        <w:rPr>
          <w:rFonts w:hint="eastAsia" w:cs="宋体" w:asciiTheme="minorEastAsia" w:hAnsiTheme="minorEastAsia" w:eastAsiaTheme="minorEastAsia"/>
          <w:sz w:val="28"/>
          <w:szCs w:val="28"/>
        </w:rPr>
        <w:t>月</w:t>
      </w:r>
      <w:r>
        <w:rPr>
          <w:rFonts w:hint="eastAsia" w:cs="宋体" w:asciiTheme="minorEastAsia" w:hAnsiTheme="minorEastAsia" w:eastAsiaTheme="minorEastAsia"/>
          <w:sz w:val="28"/>
          <w:szCs w:val="28"/>
          <w:lang w:val="en-US" w:eastAsia="zh-CN"/>
        </w:rPr>
        <w:t>3</w:t>
      </w:r>
      <w:r>
        <w:rPr>
          <w:rFonts w:hint="eastAsia" w:cs="宋体" w:asciiTheme="minorEastAsia" w:hAnsiTheme="minorEastAsia" w:eastAsiaTheme="minorEastAsia"/>
          <w:sz w:val="28"/>
          <w:szCs w:val="28"/>
        </w:rPr>
        <w:t>1日止。</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2、按照甲方需求，乙方需派驻保安人员394人。在履行合同过程中，根据甲方的实际需要，由甲方决定增减。</w:t>
      </w:r>
    </w:p>
    <w:p>
      <w:pPr>
        <w:spacing w:line="46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三、服务费及支付方式</w:t>
      </w:r>
    </w:p>
    <w:p>
      <w:pPr>
        <w:spacing w:line="460" w:lineRule="exact"/>
        <w:ind w:left="560" w:hanging="560" w:hanging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1、依据招标结果，服务费为每人每月  元（¥  元/人/月）。</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2、甲方需临时增派安保人员的，需提前通知乙方，服务费定为12小时以内（全天）每人每次200元整，6小时以内（半天）每人每次150元整。</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3、乙方结算上述费用时须开具正式发票。</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4、服务费按月结算，结算程序：甲方所属各教育机构每月底对保安进行考评（后附《赛罕区教育局校园保安工作目标管理考核表》），并将保安人员的工作情况汇总上报甲方安全办（后附《赛罕区教育局校园保安工作目标管理考核汇总表》），甲方安全办将保安工作情况汇总，并在例会上与乙方进行通报，然后进行结算，经过双方相关人员核准后一次性支付乙方。</w:t>
      </w:r>
    </w:p>
    <w:p>
      <w:pPr>
        <w:spacing w:line="46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四、相关规定</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1、甲、乙双方均要明确专职联络人员，便于业务沟通和相关事项的处理，确保工作顺利进行。乙方应为甲方建立健全管理团队，安排1名专职经理、6名专职队长，凡是4人及4人以上的网点，都要安排1名组长。</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2、乙方派驻的保安人员必须政治合格、业务精通、思想健康、五官端正、身体健壮，初中或初中以上文化程度，身高1.60米以上，年龄在18至55周岁之间 ，必须经过正规培训（岗前培训），未经培训不允许上岗，上岗人员应持有正规部门颁发的保安证，否则甲方有权按照考核条例扣除相应的分值及服务费。乙方应积极为保安人员办理保安证，并且为每位队员配备必要的安防器材（头盔、防刺背心、防割手套、T型警棍、盾牌、钢叉、防暴棍等）。</w:t>
      </w:r>
    </w:p>
    <w:p>
      <w:pPr>
        <w:spacing w:line="460" w:lineRule="exact"/>
        <w:ind w:firstLine="645"/>
        <w:rPr>
          <w:rFonts w:asciiTheme="minorEastAsia" w:hAnsiTheme="minorEastAsia" w:eastAsiaTheme="minorEastAsia"/>
          <w:sz w:val="28"/>
          <w:szCs w:val="28"/>
        </w:rPr>
      </w:pPr>
      <w:r>
        <w:rPr>
          <w:rFonts w:hint="eastAsia" w:asciiTheme="minorEastAsia" w:hAnsiTheme="minorEastAsia" w:eastAsiaTheme="minorEastAsia"/>
          <w:sz w:val="28"/>
          <w:szCs w:val="28"/>
        </w:rPr>
        <w:t>3、保安人员应按时到岗、努力工作、团结互助、尽职尽责、不迟到、不早退、不旷工、不擅自离岗。岗前不饮酒，在岗期间应保持良好形象，注重文明礼貌，不吸烟，不闲聊，不玩手机游戏。严格执行轮流立岗制度（单岗除外），立岗时应穿戴整齐，并佩戴必要的安防器材，保证对讲机通话有效畅通。定期进行常规检查和夜间巡查，特别对学生宿舍楼、监控室、总务后勤、电教室、实验室等场所重点巡视，并做好记录。严格执行校园门开关制度，禁止学生幼儿随意出入校园。严禁外来人员擅自进入校园，对确需进入的，应问明来由，查验身份，待校园领导或相关人员批准后，先登记再放行。遇有形迹可疑人员和物品时要及时处理。对强行进入校园者予以坚决打击，主动将其控制，及时报告学校或保安公司，积极报告公安机关依法严惩。门卫室应干净整洁。安防器材应摆放在适当的位置，并经常检查维护，如发现损坏，应及时向保安公司反映，尽快更换。</w:t>
      </w:r>
    </w:p>
    <w:p>
      <w:pPr>
        <w:spacing w:line="460" w:lineRule="exact"/>
        <w:ind w:firstLine="645"/>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乙方派驻甲方的保安人员或其他工作人员与甲方及其所属教育机构均无劳动关系，上述人员在甲方及其所属教育机构的工作履行的是乙方的职务行为，上述工作人员在履行乙方的职务中，造成自己或他人人身财产损害的，由乙方承担责任，与甲方及其所属教育机构无关。</w:t>
      </w:r>
    </w:p>
    <w:p>
      <w:pPr>
        <w:spacing w:line="460" w:lineRule="exact"/>
        <w:ind w:firstLine="57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5、乙方负责校园内部和校园外可控范围内的安全保卫工作，因乙方原因造成学校财产损失和人员伤亡等事项，乙方承担相应责任。</w:t>
      </w:r>
    </w:p>
    <w:p>
      <w:pPr>
        <w:spacing w:line="460" w:lineRule="exact"/>
        <w:ind w:firstLine="57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6、乙方负责对学校内部和校园周边进行经常性排查，发现存在安全隐患立即告知所服务的教育机构。</w:t>
      </w:r>
    </w:p>
    <w:p>
      <w:pPr>
        <w:spacing w:line="460" w:lineRule="exact"/>
        <w:ind w:firstLine="57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7、严禁甲方所属教育机构安排保安完成其他非本职工作，尤其是高危工作，乙方有权拒绝，以保证保安职责的完成效果和质量，否则，由此产生的不良后果，由乙方和甲方所属教育机构共同承担。</w:t>
      </w:r>
    </w:p>
    <w:p>
      <w:pPr>
        <w:spacing w:line="460" w:lineRule="exact"/>
        <w:ind w:firstLine="57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8、甲方所属教育机构与乙方保安人员个人发生雇佣关系，与甲乙双方无关。</w:t>
      </w:r>
    </w:p>
    <w:p>
      <w:pPr>
        <w:spacing w:line="4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9、</w:t>
      </w:r>
      <w:r>
        <w:rPr>
          <w:rFonts w:hint="eastAsia" w:asciiTheme="minorEastAsia" w:hAnsiTheme="minorEastAsia" w:eastAsiaTheme="minorEastAsia"/>
          <w:sz w:val="28"/>
          <w:szCs w:val="28"/>
        </w:rPr>
        <w:t>每月乙方应主动联系甲方，向甲方汇报工作情况，并于每月底组织双方召开工作例会。</w:t>
      </w:r>
    </w:p>
    <w:p>
      <w:pPr>
        <w:spacing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10、乙方和甲方及所属教育机构，都有监管保安工作情况的职责。</w:t>
      </w:r>
    </w:p>
    <w:p>
      <w:pPr>
        <w:spacing w:line="46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五、双方的权利与义务</w:t>
      </w:r>
    </w:p>
    <w:p>
      <w:pPr>
        <w:spacing w:line="460" w:lineRule="exact"/>
        <w:ind w:firstLine="6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1、甲方及其所属教育机构有权制定合理的校园安保相关制度，乙方有义务遵守相关制度。    </w:t>
      </w:r>
    </w:p>
    <w:p>
      <w:pPr>
        <w:spacing w:line="460" w:lineRule="exact"/>
        <w:ind w:firstLine="6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2、乙方对学校存在的安全隐患未排查到或已排查到而未立即告知所服务的教育机构的，甲方有权按照考核条例扣除乙方的服务费。</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3、甲方的教育机构认为保安人员不称职或保安人员违反相关制度，教育机构有权按照考核条例扣除相应分值或要求乙方调换、解聘相关保安人员。</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4、因乙方安保人员工作失误造成事故，事故所造成的全部责任及损失的赔偿由乙方承担，同时甲方有权单方解除本合同，</w:t>
      </w:r>
      <w:r>
        <w:rPr>
          <w:rFonts w:hint="eastAsia" w:cs="微软雅黑" w:asciiTheme="minorEastAsia" w:hAnsiTheme="minorEastAsia" w:eastAsiaTheme="minorEastAsia"/>
          <w:sz w:val="28"/>
          <w:szCs w:val="28"/>
        </w:rPr>
        <w:t>甲方不承担违约责任。</w:t>
      </w:r>
    </w:p>
    <w:p>
      <w:pPr>
        <w:spacing w:line="460" w:lineRule="exact"/>
        <w:ind w:firstLine="57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5、乙方派驻的保安人员的工作时间：全天班8小时，星期六日和节假日休息；半天班6小时，星期六日和节假日不休息。超出工作时间部分，由甲方所属教育机构与乙方人员协商同意后，按照每小时20元支付相应费用，不得强制加班或胁迫工作。保安人员保证按时上岗、离岗。甲方所属非寄宿制学校不得安排保安上夜班。    </w:t>
      </w:r>
    </w:p>
    <w:p>
      <w:pPr>
        <w:spacing w:line="460" w:lineRule="exact"/>
        <w:ind w:firstLine="57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6、乙方按照各个教育机构的具体情况和实际工作需求配置合适的保安人员,并且要经常性地检查、指导保安工作，切实做好岗中培训和集中培训，以提高服务质量。</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7、甲方所属教育机构及甲方安全办对保安的考核奖惩，在符合实际情况的前提下，乙方应保证落实到相应保安人员的工资中，否则甲方有权单方解除合同，且</w:t>
      </w:r>
      <w:r>
        <w:rPr>
          <w:rFonts w:hint="eastAsia" w:cs="微软雅黑" w:asciiTheme="minorEastAsia" w:hAnsiTheme="minorEastAsia" w:eastAsiaTheme="minorEastAsia"/>
          <w:sz w:val="28"/>
          <w:szCs w:val="28"/>
        </w:rPr>
        <w:t>不承担违约责任。</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8、乙方有权对甲方的安全隐患提出改进意见和建议，甲方应认真研究改进，增设相应的安全防范措施。如甲方改进滞后，因此造成的损失与乙方无关。</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9、乙方协助甲方及有关部门做好预防和打击责任区的违法犯罪活动，有义务配合学校进行的应急疏散、突发事件演练。</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10、乙方派驻的保安人员如出现违法犯罪行为，与甲方及所属教育机构无关。</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11、乙方必须保证与派驻甲方所属教育机构的保安人员签订合法的劳动合同，并依法缴纳有关保险，留存人事档案，方便甲方调阅。</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12、乙方派驻人员的工资、绩效、保险福利等费用由乙方承担，与甲方无关。</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13、乙方应对派驻人员有无违法犯罪前科的情况进行核查，并向甲方提供保安人员的人事档案（身份证和保安证复印件、体检报告、</w:t>
      </w:r>
      <w:r>
        <w:rPr>
          <w:rFonts w:hint="eastAsia"/>
          <w:sz w:val="28"/>
          <w:szCs w:val="28"/>
        </w:rPr>
        <w:t>无犯罪记录证明</w:t>
      </w:r>
      <w:r>
        <w:rPr>
          <w:rFonts w:hint="eastAsia" w:cs="宋体" w:asciiTheme="minorEastAsia" w:hAnsiTheme="minorEastAsia" w:eastAsiaTheme="minorEastAsia"/>
          <w:sz w:val="28"/>
          <w:szCs w:val="28"/>
        </w:rPr>
        <w:t>等）。</w:t>
      </w:r>
    </w:p>
    <w:p>
      <w:pPr>
        <w:spacing w:line="460" w:lineRule="exact"/>
        <w:ind w:firstLine="57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乙方应努力保障派驻保安人员的入职稳定，如人员调整应提前通知甲方及所服务的教育机构，乙方对甲方要求调换的违反规章制度的派驻人员，应在两周内调换完毕，在调换期间，应及时安排顶岗，不得出现缺岗现象。顶岗人员不认真工作，违反相关规定的，扣除本岗位相应考核分值。如临时顶岗超过两周，甲方有权按照每天（超过两周的天数）2分扣除该岗位的考核分值及相应的服务费。</w:t>
      </w:r>
    </w:p>
    <w:p>
      <w:pPr>
        <w:spacing w:line="460" w:lineRule="exact"/>
        <w:ind w:firstLine="57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15、乙方依据甲方及所属教育机构的意见，调换保安人员时，应设法避免保安人员与所在教育机构产生矛盾，以免引起消极反应。如果因此造成不良后果，乙方应承担相应的责任。</w:t>
      </w:r>
    </w:p>
    <w:p>
      <w:pPr>
        <w:spacing w:line="460" w:lineRule="exact"/>
        <w:ind w:firstLine="57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16、乙方派驻甲方的保安人员，在岗期间发生矛盾影响工作的，乙方应严格惩戒，给予实质性处罚。</w:t>
      </w:r>
    </w:p>
    <w:p>
      <w:pPr>
        <w:spacing w:line="46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六、违约责任</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1、在履行本合同期内，任何一方不准无故违约，否则由违约方承担违约责任，违约方向守约方承担年服务费的5%作为违约金，同时对造成的损失予以赔偿。如遇不可抗拒的因素，甲方未能按时给乙方支付服务费，可免除甲方应承担的违约金。</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2、在履行本合同期内，如单方解除合同，需要以书面形式函告对方，在对方同意后方可终止合同（上述条款中有特别强调的可单方解除合同的情况除外）。</w:t>
      </w:r>
    </w:p>
    <w:p>
      <w:pPr>
        <w:spacing w:line="46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bCs/>
          <w:sz w:val="28"/>
          <w:szCs w:val="28"/>
        </w:rPr>
        <w:t>七</w:t>
      </w:r>
      <w:r>
        <w:rPr>
          <w:rFonts w:hint="eastAsia" w:cs="宋体" w:asciiTheme="minorEastAsia" w:hAnsiTheme="minorEastAsia" w:eastAsiaTheme="minorEastAsia"/>
          <w:sz w:val="28"/>
          <w:szCs w:val="28"/>
        </w:rPr>
        <w:t>、本合同未尽事宜，甲乙双方另行协商，签订《补充协议》，《补充协议》与本合同具有同等效力。</w:t>
      </w:r>
    </w:p>
    <w:p>
      <w:pPr>
        <w:spacing w:line="460" w:lineRule="exact"/>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八、本合同在履行过程中发生争议纠纷，双方及时协商解决，协商不成时，向甲方所在地人民法院提起诉讼。</w:t>
      </w:r>
    </w:p>
    <w:p>
      <w:pPr>
        <w:spacing w:line="460" w:lineRule="exact"/>
        <w:ind w:firstLine="560" w:firstLineChars="200"/>
        <w:rPr>
          <w:rFonts w:hint="eastAsia" w:cs="宋体" w:asciiTheme="minorEastAsia" w:hAnsiTheme="minorEastAsia" w:eastAsiaTheme="minorEastAsia"/>
          <w:sz w:val="28"/>
          <w:szCs w:val="28"/>
          <w:lang w:val="en-US" w:eastAsia="zh-CN"/>
        </w:rPr>
      </w:pPr>
      <w:r>
        <w:rPr>
          <w:rFonts w:hint="eastAsia" w:cs="宋体" w:asciiTheme="minorEastAsia" w:hAnsiTheme="minorEastAsia" w:eastAsiaTheme="minorEastAsia"/>
          <w:sz w:val="28"/>
          <w:szCs w:val="28"/>
        </w:rPr>
        <w:t>九、</w:t>
      </w:r>
      <w:r>
        <w:rPr>
          <w:rFonts w:hint="eastAsia" w:cs="宋体" w:asciiTheme="minorEastAsia" w:hAnsiTheme="minorEastAsia" w:eastAsiaTheme="minorEastAsia"/>
          <w:sz w:val="28"/>
          <w:szCs w:val="28"/>
          <w:lang w:eastAsia="zh-CN"/>
        </w:rPr>
        <w:t>依照《</w:t>
      </w:r>
      <w:r>
        <w:rPr>
          <w:rFonts w:hint="eastAsia" w:cs="宋体" w:asciiTheme="minorEastAsia" w:hAnsiTheme="minorEastAsia" w:eastAsiaTheme="minorEastAsia"/>
          <w:sz w:val="28"/>
          <w:szCs w:val="28"/>
          <w:lang w:val="en-US" w:eastAsia="zh-CN"/>
        </w:rPr>
        <w:t>政府购买服务管理办法》（</w:t>
      </w:r>
      <w:r>
        <w:rPr>
          <w:rFonts w:hint="eastAsia" w:cs="宋体" w:asciiTheme="minorEastAsia" w:hAnsiTheme="minorEastAsia" w:eastAsiaTheme="minorEastAsia"/>
          <w:sz w:val="28"/>
          <w:szCs w:val="28"/>
          <w:lang w:eastAsia="zh-CN"/>
        </w:rPr>
        <w:t>中华人民共和国财政部令第</w:t>
      </w:r>
      <w:r>
        <w:rPr>
          <w:rFonts w:hint="eastAsia" w:cs="宋体" w:asciiTheme="minorEastAsia" w:hAnsiTheme="minorEastAsia" w:eastAsiaTheme="minorEastAsia"/>
          <w:sz w:val="28"/>
          <w:szCs w:val="28"/>
          <w:lang w:val="en-US" w:eastAsia="zh-CN"/>
        </w:rPr>
        <w:t>102号）第二十四条</w:t>
      </w:r>
      <w:r>
        <w:rPr>
          <w:rFonts w:hint="eastAsia" w:cs="宋体" w:asciiTheme="minorEastAsia" w:hAnsiTheme="minorEastAsia" w:eastAsiaTheme="minorEastAsia"/>
          <w:sz w:val="28"/>
          <w:szCs w:val="28"/>
        </w:rPr>
        <w:t>，政府购买服务合同履行期限一般不超过1年；在预算保障的前提下，对于购买内容相对固定、连续性强、经费来源稳定、价格变化幅度小的政府购买服务项目，可以签订履行期限不超过3年的政府购买服务合同。</w:t>
      </w:r>
      <w:r>
        <w:rPr>
          <w:rFonts w:hint="eastAsia" w:cs="宋体" w:asciiTheme="minorEastAsia" w:hAnsiTheme="minorEastAsia" w:eastAsiaTheme="minorEastAsia"/>
          <w:sz w:val="28"/>
          <w:szCs w:val="28"/>
          <w:lang w:val="en-US" w:eastAsia="zh-CN"/>
        </w:rPr>
        <w:t>如本次中标单位满足以上条件，且双方无异议，可以续签服务合同，每次续签一年，最多续签两次。</w:t>
      </w:r>
      <w:bookmarkStart w:id="0" w:name="_GoBack"/>
      <w:bookmarkEnd w:id="0"/>
    </w:p>
    <w:p>
      <w:pPr>
        <w:spacing w:line="460" w:lineRule="exact"/>
        <w:ind w:firstLine="316" w:firstLineChars="100"/>
        <w:rPr>
          <w:rFonts w:cs="宋体" w:asciiTheme="minorEastAsia" w:hAnsiTheme="minorEastAsia" w:eastAsiaTheme="minorEastAsia"/>
          <w:sz w:val="28"/>
          <w:szCs w:val="28"/>
        </w:rPr>
      </w:pPr>
      <w:r>
        <w:rPr>
          <w:rFonts w:hint="eastAsia" w:ascii="宋体" w:hAnsi="宋体" w:eastAsia="宋体" w:cs="宋体"/>
          <w:b w:val="0"/>
          <w:bCs w:val="0"/>
          <w:i w:val="0"/>
          <w:iCs w:val="0"/>
          <w:caps w:val="0"/>
          <w:color w:val="333333"/>
          <w:spacing w:val="8"/>
          <w:sz w:val="30"/>
          <w:szCs w:val="30"/>
          <w:shd w:val="clear" w:fill="FFFFFF"/>
        </w:rPr>
        <w:t>　</w:t>
      </w:r>
      <w:r>
        <w:rPr>
          <w:rFonts w:hint="eastAsia" w:cs="宋体" w:asciiTheme="minorEastAsia" w:hAnsiTheme="minorEastAsia" w:eastAsiaTheme="minorEastAsia"/>
          <w:sz w:val="28"/>
          <w:szCs w:val="28"/>
        </w:rPr>
        <w:t>十、本合同一式二份，双方签字、盖章后生效，甲方、乙方各执一份。</w:t>
      </w:r>
    </w:p>
    <w:p>
      <w:pPr>
        <w:spacing w:line="460" w:lineRule="exact"/>
        <w:rPr>
          <w:rFonts w:cs="宋体" w:asciiTheme="minorEastAsia" w:hAnsiTheme="minorEastAsia" w:eastAsiaTheme="minorEastAsia"/>
          <w:sz w:val="28"/>
          <w:szCs w:val="28"/>
        </w:rPr>
      </w:pP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甲方（盖章）：赛罕区教育局   </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乙方（盖章）：</w:t>
      </w:r>
    </w:p>
    <w:p>
      <w:pPr>
        <w:spacing w:line="460" w:lineRule="exact"/>
        <w:rPr>
          <w:rFonts w:cs="宋体" w:asciiTheme="minorEastAsia" w:hAnsiTheme="minorEastAsia" w:eastAsiaTheme="minorEastAsia"/>
          <w:sz w:val="28"/>
          <w:szCs w:val="28"/>
        </w:rPr>
      </w:pP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法定代表人：                 </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法定代表人：</w:t>
      </w:r>
    </w:p>
    <w:p>
      <w:pPr>
        <w:spacing w:line="4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授权委托人：                 </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授权委托人：</w:t>
      </w:r>
    </w:p>
    <w:p>
      <w:pPr>
        <w:widowControl/>
        <w:shd w:val="clear" w:color="auto" w:fill="FFFFFF"/>
        <w:spacing w:line="460" w:lineRule="exact"/>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签订日期：   年  月  日      </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签订日期：   年  月  日</w:t>
      </w:r>
    </w:p>
    <w:p>
      <w:pP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br w:type="page"/>
      </w:r>
    </w:p>
    <w:p>
      <w:pPr>
        <w:spacing w:line="480" w:lineRule="exact"/>
        <w:rPr>
          <w:rFonts w:ascii="宋体" w:hAnsi="宋体" w:cs="宋体"/>
          <w:color w:val="000000"/>
          <w:kern w:val="0"/>
          <w:sz w:val="28"/>
          <w:szCs w:val="28"/>
        </w:rPr>
      </w:pPr>
      <w:r>
        <w:rPr>
          <w:rFonts w:hint="eastAsia" w:ascii="宋体" w:hAnsi="宋体" w:cs="宋体"/>
          <w:sz w:val="28"/>
          <w:szCs w:val="28"/>
        </w:rPr>
        <w:t>附件一：</w:t>
      </w:r>
    </w:p>
    <w:tbl>
      <w:tblPr>
        <w:tblStyle w:val="9"/>
        <w:tblW w:w="11860" w:type="dxa"/>
        <w:tblInd w:w="0" w:type="dxa"/>
        <w:tblLayout w:type="fixed"/>
        <w:tblCellMar>
          <w:top w:w="0" w:type="dxa"/>
          <w:left w:w="108" w:type="dxa"/>
          <w:bottom w:w="0" w:type="dxa"/>
          <w:right w:w="108" w:type="dxa"/>
        </w:tblCellMar>
      </w:tblPr>
      <w:tblGrid>
        <w:gridCol w:w="545"/>
        <w:gridCol w:w="202"/>
        <w:gridCol w:w="212"/>
        <w:gridCol w:w="305"/>
        <w:gridCol w:w="404"/>
        <w:gridCol w:w="459"/>
        <w:gridCol w:w="391"/>
        <w:gridCol w:w="1591"/>
        <w:gridCol w:w="1552"/>
        <w:gridCol w:w="684"/>
        <w:gridCol w:w="709"/>
        <w:gridCol w:w="159"/>
        <w:gridCol w:w="2109"/>
        <w:gridCol w:w="1310"/>
        <w:gridCol w:w="533"/>
        <w:gridCol w:w="459"/>
        <w:gridCol w:w="236"/>
      </w:tblGrid>
      <w:tr>
        <w:tblPrEx>
          <w:tblCellMar>
            <w:top w:w="0" w:type="dxa"/>
            <w:left w:w="108" w:type="dxa"/>
            <w:bottom w:w="0" w:type="dxa"/>
            <w:right w:w="108" w:type="dxa"/>
          </w:tblCellMar>
        </w:tblPrEx>
        <w:trPr>
          <w:gridAfter w:val="4"/>
          <w:wAfter w:w="2538" w:type="dxa"/>
          <w:trHeight w:val="675" w:hRule="atLeast"/>
        </w:trPr>
        <w:tc>
          <w:tcPr>
            <w:tcW w:w="9322" w:type="dxa"/>
            <w:gridSpan w:val="13"/>
            <w:tcBorders>
              <w:top w:val="nil"/>
              <w:left w:val="nil"/>
              <w:bottom w:val="nil"/>
              <w:right w:val="nil"/>
            </w:tcBorders>
            <w:shd w:val="clear" w:color="auto" w:fill="auto"/>
            <w:noWrap/>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赛罕区教育局校园保安工作目标管理考核表</w:t>
            </w:r>
          </w:p>
        </w:tc>
      </w:tr>
      <w:tr>
        <w:tblPrEx>
          <w:tblCellMar>
            <w:top w:w="0" w:type="dxa"/>
            <w:left w:w="108" w:type="dxa"/>
            <w:bottom w:w="0" w:type="dxa"/>
            <w:right w:w="108" w:type="dxa"/>
          </w:tblCellMar>
        </w:tblPrEx>
        <w:trPr>
          <w:gridAfter w:val="4"/>
          <w:wAfter w:w="2538" w:type="dxa"/>
          <w:trHeight w:val="585" w:hRule="atLeast"/>
        </w:trPr>
        <w:tc>
          <w:tcPr>
            <w:tcW w:w="9322" w:type="dxa"/>
            <w:gridSpan w:val="13"/>
            <w:tcBorders>
              <w:top w:val="nil"/>
              <w:left w:val="nil"/>
              <w:bottom w:val="nil"/>
              <w:right w:val="nil"/>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单位名称：</w:t>
            </w:r>
            <w:r>
              <w:rPr>
                <w:rFonts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rPr>
              <w:t>保安员姓名：</w:t>
            </w:r>
            <w:r>
              <w:rPr>
                <w:rFonts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rPr>
              <w:t>年</w:t>
            </w:r>
            <w:r>
              <w:rPr>
                <w:rFonts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rPr>
              <w:t>月</w:t>
            </w:r>
            <w:r>
              <w:rPr>
                <w:rFonts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rPr>
              <w:t>日</w:t>
            </w:r>
          </w:p>
        </w:tc>
      </w:tr>
      <w:tr>
        <w:tblPrEx>
          <w:tblCellMar>
            <w:top w:w="0" w:type="dxa"/>
            <w:left w:w="108" w:type="dxa"/>
            <w:bottom w:w="0" w:type="dxa"/>
            <w:right w:w="108" w:type="dxa"/>
          </w:tblCellMar>
        </w:tblPrEx>
        <w:trPr>
          <w:gridAfter w:val="4"/>
          <w:wAfter w:w="2538" w:type="dxa"/>
          <w:trHeight w:val="369" w:hRule="atLeast"/>
        </w:trPr>
        <w:tc>
          <w:tcPr>
            <w:tcW w:w="9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分值</w:t>
            </w:r>
          </w:p>
        </w:tc>
        <w:tc>
          <w:tcPr>
            <w:tcW w:w="467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标     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扣分</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扣分原因</w:t>
            </w:r>
          </w:p>
        </w:tc>
      </w:tr>
      <w:tr>
        <w:tblPrEx>
          <w:tblCellMar>
            <w:top w:w="0" w:type="dxa"/>
            <w:left w:w="108" w:type="dxa"/>
            <w:bottom w:w="0" w:type="dxa"/>
            <w:right w:w="108" w:type="dxa"/>
          </w:tblCellMar>
        </w:tblPrEx>
        <w:trPr>
          <w:gridAfter w:val="4"/>
          <w:wAfter w:w="2538" w:type="dxa"/>
          <w:trHeight w:val="915" w:hRule="atLeast"/>
        </w:trPr>
        <w:tc>
          <w:tcPr>
            <w:tcW w:w="545"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工作态度</w:t>
            </w:r>
          </w:p>
        </w:tc>
        <w:tc>
          <w:tcPr>
            <w:tcW w:w="414"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w:t>
            </w:r>
          </w:p>
        </w:tc>
        <w:tc>
          <w:tcPr>
            <w:tcW w:w="467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按时到岗、尽职尽责、团结互助、不迟到、不早退、不旷工、不擅自离岗。迟到、早退每次扣2分，旷工半天扣5分，擅自离岗扣5--10分。</w:t>
            </w:r>
          </w:p>
        </w:tc>
        <w:tc>
          <w:tcPr>
            <w:tcW w:w="709" w:type="dxa"/>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268" w:type="dxa"/>
            <w:gridSpan w:val="2"/>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gridAfter w:val="4"/>
          <w:wAfter w:w="2538" w:type="dxa"/>
          <w:trHeight w:val="675" w:hRule="atLeast"/>
        </w:trPr>
        <w:tc>
          <w:tcPr>
            <w:tcW w:w="545"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4"/>
              </w:rPr>
            </w:pPr>
          </w:p>
        </w:tc>
        <w:tc>
          <w:tcPr>
            <w:tcW w:w="414"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4677"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在岗时应保持良好形象，注重文明礼貌，岗前不饮酒，在岗时不吸烟、不闲聊、不玩手机游戏，违者扣2--10分。</w:t>
            </w:r>
          </w:p>
        </w:tc>
        <w:tc>
          <w:tcPr>
            <w:tcW w:w="709" w:type="dxa"/>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268" w:type="dxa"/>
            <w:gridSpan w:val="2"/>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gridAfter w:val="4"/>
          <w:wAfter w:w="2538" w:type="dxa"/>
          <w:trHeight w:val="660" w:hRule="atLeast"/>
        </w:trPr>
        <w:tc>
          <w:tcPr>
            <w:tcW w:w="545"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4"/>
              </w:rPr>
            </w:pPr>
          </w:p>
        </w:tc>
        <w:tc>
          <w:tcPr>
            <w:tcW w:w="414"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467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严格执行轮流立岗制度（单岗除外），立岗时应穿戴整齐，并佩戴必要的安防器材，违者扣2--10分。</w:t>
            </w:r>
          </w:p>
        </w:tc>
        <w:tc>
          <w:tcPr>
            <w:tcW w:w="709" w:type="dxa"/>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268" w:type="dxa"/>
            <w:gridSpan w:val="2"/>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gridAfter w:val="4"/>
          <w:wAfter w:w="2538" w:type="dxa"/>
          <w:trHeight w:val="525" w:hRule="atLeast"/>
        </w:trPr>
        <w:tc>
          <w:tcPr>
            <w:tcW w:w="545"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4"/>
              </w:rPr>
            </w:pPr>
          </w:p>
        </w:tc>
        <w:tc>
          <w:tcPr>
            <w:tcW w:w="414"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467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上班期间保证对讲机通话有效畅通，违者扣2--5分。</w:t>
            </w:r>
          </w:p>
        </w:tc>
        <w:tc>
          <w:tcPr>
            <w:tcW w:w="709" w:type="dxa"/>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268" w:type="dxa"/>
            <w:gridSpan w:val="2"/>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gridAfter w:val="4"/>
          <w:wAfter w:w="2538" w:type="dxa"/>
          <w:trHeight w:val="525" w:hRule="atLeast"/>
        </w:trPr>
        <w:tc>
          <w:tcPr>
            <w:tcW w:w="545"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业务能力</w:t>
            </w:r>
          </w:p>
        </w:tc>
        <w:tc>
          <w:tcPr>
            <w:tcW w:w="414"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4677"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业务熟练，有正规部门颁发的保安员上岗证。违者每月扣2分</w:t>
            </w:r>
          </w:p>
        </w:tc>
        <w:tc>
          <w:tcPr>
            <w:tcW w:w="709" w:type="dxa"/>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268" w:type="dxa"/>
            <w:gridSpan w:val="2"/>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gridAfter w:val="4"/>
          <w:wAfter w:w="2538" w:type="dxa"/>
          <w:trHeight w:val="882" w:hRule="atLeast"/>
        </w:trPr>
        <w:tc>
          <w:tcPr>
            <w:tcW w:w="545"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kern w:val="0"/>
                <w:sz w:val="24"/>
              </w:rPr>
            </w:pPr>
          </w:p>
        </w:tc>
        <w:tc>
          <w:tcPr>
            <w:tcW w:w="414"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467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能够有效维护校园正常秩序，及时上报、处理各种安全事件，配合执法机关查处、打击各种违法犯罪行为，保护学校及师生人身和财产安全，违者每次扣2--10分。</w:t>
            </w:r>
          </w:p>
        </w:tc>
        <w:tc>
          <w:tcPr>
            <w:tcW w:w="709" w:type="dxa"/>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268" w:type="dxa"/>
            <w:gridSpan w:val="2"/>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gridAfter w:val="4"/>
          <w:wAfter w:w="2538" w:type="dxa"/>
          <w:trHeight w:val="957" w:hRule="atLeast"/>
        </w:trPr>
        <w:tc>
          <w:tcPr>
            <w:tcW w:w="545" w:type="dxa"/>
            <w:vMerge w:val="restart"/>
            <w:tcBorders>
              <w:top w:val="nil"/>
              <w:left w:val="single" w:color="auto" w:sz="4" w:space="0"/>
              <w:bottom w:val="nil"/>
              <w:right w:val="single" w:color="auto" w:sz="4" w:space="0"/>
            </w:tcBorders>
            <w:shd w:val="clear" w:color="auto" w:fill="auto"/>
            <w:textDirection w:val="tbRlV"/>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工 作目 标</w:t>
            </w:r>
          </w:p>
        </w:tc>
        <w:tc>
          <w:tcPr>
            <w:tcW w:w="414" w:type="dxa"/>
            <w:gridSpan w:val="2"/>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467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定期进行常规检查和夜间巡查，特别</w:t>
            </w:r>
            <w:r>
              <w:rPr>
                <w:rFonts w:hint="eastAsia" w:asciiTheme="minorEastAsia" w:hAnsiTheme="minorEastAsia" w:eastAsiaTheme="minorEastAsia"/>
                <w:sz w:val="20"/>
                <w:szCs w:val="20"/>
              </w:rPr>
              <w:t>对学生宿舍楼、监控室、总务后勤、电教室、实验室等场所重点巡视，并做好记录</w:t>
            </w:r>
            <w:r>
              <w:rPr>
                <w:rFonts w:hint="eastAsia" w:cs="宋体" w:asciiTheme="minorEastAsia" w:hAnsiTheme="minorEastAsia" w:eastAsiaTheme="minorEastAsia"/>
                <w:kern w:val="0"/>
                <w:sz w:val="20"/>
                <w:szCs w:val="20"/>
              </w:rPr>
              <w:t>。违者每次扣2--10分</w:t>
            </w:r>
          </w:p>
        </w:tc>
        <w:tc>
          <w:tcPr>
            <w:tcW w:w="709" w:type="dxa"/>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268" w:type="dxa"/>
            <w:gridSpan w:val="2"/>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gridAfter w:val="4"/>
          <w:wAfter w:w="2538" w:type="dxa"/>
          <w:trHeight w:val="1650" w:hRule="atLeast"/>
        </w:trPr>
        <w:tc>
          <w:tcPr>
            <w:tcW w:w="545" w:type="dxa"/>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4"/>
              </w:rPr>
            </w:pPr>
          </w:p>
        </w:tc>
        <w:tc>
          <w:tcPr>
            <w:tcW w:w="414"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467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加强校门管理，严格执行校门开关制度，禁止学生幼儿随意出入校园。严禁外来人员擅自进入校园，</w:t>
            </w:r>
            <w:r>
              <w:rPr>
                <w:rFonts w:hint="eastAsia" w:asciiTheme="minorEastAsia" w:hAnsiTheme="minorEastAsia" w:eastAsiaTheme="minorEastAsia"/>
                <w:sz w:val="20"/>
                <w:szCs w:val="20"/>
              </w:rPr>
              <w:t>对确需进入的，应问明来由，查验身份，待校园领导或相关人员批准后，先登记再放行。</w:t>
            </w:r>
            <w:r>
              <w:rPr>
                <w:rFonts w:hint="eastAsia" w:cs="宋体" w:asciiTheme="minorEastAsia" w:hAnsiTheme="minorEastAsia" w:eastAsiaTheme="minorEastAsia"/>
                <w:kern w:val="0"/>
                <w:sz w:val="20"/>
                <w:szCs w:val="20"/>
              </w:rPr>
              <w:t>遇有形迹可疑人员和物品时要及时处理。对强行进入校园者予以坚决打击，主动将其控制，及时报告学校或保安公司。违者每次扣2--20分。</w:t>
            </w:r>
          </w:p>
        </w:tc>
        <w:tc>
          <w:tcPr>
            <w:tcW w:w="709" w:type="dxa"/>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268" w:type="dxa"/>
            <w:gridSpan w:val="2"/>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gridAfter w:val="4"/>
          <w:wAfter w:w="2538" w:type="dxa"/>
          <w:trHeight w:val="859" w:hRule="atLeast"/>
        </w:trPr>
        <w:tc>
          <w:tcPr>
            <w:tcW w:w="545" w:type="dxa"/>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4"/>
              </w:rPr>
            </w:pPr>
          </w:p>
        </w:tc>
        <w:tc>
          <w:tcPr>
            <w:tcW w:w="414"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467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门卫室应干净整洁。安防器材应摆放在适当的位置，并经常检查维护，如发现损坏，应及时向公司反映，尽快更换。违者每次扣2--5分。</w:t>
            </w:r>
          </w:p>
        </w:tc>
        <w:tc>
          <w:tcPr>
            <w:tcW w:w="709" w:type="dxa"/>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268" w:type="dxa"/>
            <w:gridSpan w:val="2"/>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gridAfter w:val="4"/>
          <w:wAfter w:w="2538" w:type="dxa"/>
          <w:trHeight w:val="900" w:hRule="atLeast"/>
        </w:trPr>
        <w:tc>
          <w:tcPr>
            <w:tcW w:w="545" w:type="dxa"/>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4"/>
              </w:rPr>
            </w:pPr>
          </w:p>
        </w:tc>
        <w:tc>
          <w:tcPr>
            <w:tcW w:w="414"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467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积极协助与校园有关的案件，敏锐洞察各类安全隐患因素，严厉打击或制止各种违法行为，及时排除各类安全隐患。违者每次扣2--5分。</w:t>
            </w:r>
          </w:p>
        </w:tc>
        <w:tc>
          <w:tcPr>
            <w:tcW w:w="709" w:type="dxa"/>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268" w:type="dxa"/>
            <w:gridSpan w:val="2"/>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gridAfter w:val="4"/>
          <w:wAfter w:w="2538" w:type="dxa"/>
          <w:trHeight w:val="642" w:hRule="atLeast"/>
        </w:trPr>
        <w:tc>
          <w:tcPr>
            <w:tcW w:w="545" w:type="dxa"/>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4"/>
              </w:rPr>
            </w:pPr>
          </w:p>
        </w:tc>
        <w:tc>
          <w:tcPr>
            <w:tcW w:w="414"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467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积极配合上级和公安机关开展专项斗争，协助侦破各类刑事、治安案件，消除灾害事故。违者每次扣2--5分。</w:t>
            </w:r>
          </w:p>
        </w:tc>
        <w:tc>
          <w:tcPr>
            <w:tcW w:w="709" w:type="dxa"/>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268" w:type="dxa"/>
            <w:gridSpan w:val="2"/>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gridAfter w:val="4"/>
          <w:wAfter w:w="2538" w:type="dxa"/>
          <w:trHeight w:val="480" w:hRule="atLeast"/>
        </w:trPr>
        <w:tc>
          <w:tcPr>
            <w:tcW w:w="545" w:type="dxa"/>
            <w:vMerge w:val="continue"/>
            <w:tcBorders>
              <w:top w:val="nil"/>
              <w:left w:val="single" w:color="auto" w:sz="4" w:space="0"/>
              <w:bottom w:val="nil"/>
              <w:right w:val="single" w:color="auto" w:sz="4" w:space="0"/>
            </w:tcBorders>
            <w:vAlign w:val="center"/>
          </w:tcPr>
          <w:p>
            <w:pPr>
              <w:widowControl/>
              <w:jc w:val="left"/>
              <w:rPr>
                <w:rFonts w:cs="宋体" w:asciiTheme="minorEastAsia" w:hAnsiTheme="minorEastAsia" w:eastAsiaTheme="minorEastAsia"/>
                <w:kern w:val="0"/>
                <w:sz w:val="24"/>
              </w:rPr>
            </w:pPr>
          </w:p>
        </w:tc>
        <w:tc>
          <w:tcPr>
            <w:tcW w:w="414" w:type="dxa"/>
            <w:gridSpan w:val="2"/>
            <w:tcBorders>
              <w:top w:val="nil"/>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p>
        </w:tc>
        <w:tc>
          <w:tcPr>
            <w:tcW w:w="709" w:type="dxa"/>
            <w:gridSpan w:val="2"/>
            <w:tcBorders>
              <w:top w:val="nil"/>
              <w:left w:val="nil"/>
              <w:bottom w:val="nil"/>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467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积极完成领导交办的其他相关任务。违者扣2--5分。</w:t>
            </w:r>
          </w:p>
        </w:tc>
        <w:tc>
          <w:tcPr>
            <w:tcW w:w="709" w:type="dxa"/>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268" w:type="dxa"/>
            <w:gridSpan w:val="2"/>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gridAfter w:val="4"/>
          <w:wAfter w:w="2538" w:type="dxa"/>
          <w:trHeight w:val="480" w:hRule="atLeast"/>
        </w:trPr>
        <w:tc>
          <w:tcPr>
            <w:tcW w:w="16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 他</w:t>
            </w:r>
          </w:p>
        </w:tc>
        <w:tc>
          <w:tcPr>
            <w:tcW w:w="4677"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如该岗位在本月存在临时顶岗，且超过两周，每超一天扣2分。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268" w:type="dxa"/>
            <w:gridSpan w:val="2"/>
            <w:tcBorders>
              <w:top w:val="nil"/>
              <w:left w:val="nil"/>
              <w:bottom w:val="single" w:color="auto" w:sz="4" w:space="0"/>
              <w:right w:val="single" w:color="auto" w:sz="4" w:space="0"/>
            </w:tcBorders>
            <w:shd w:val="clear" w:color="auto" w:fill="auto"/>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gridAfter w:val="4"/>
          <w:wAfter w:w="2538" w:type="dxa"/>
          <w:trHeight w:val="480" w:hRule="atLeast"/>
        </w:trPr>
        <w:tc>
          <w:tcPr>
            <w:tcW w:w="16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奖励加分：</w:t>
            </w:r>
          </w:p>
        </w:tc>
        <w:tc>
          <w:tcPr>
            <w:tcW w:w="850"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kern w:val="0"/>
                <w:sz w:val="24"/>
              </w:rPr>
            </w:pPr>
          </w:p>
        </w:tc>
        <w:tc>
          <w:tcPr>
            <w:tcW w:w="6804"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加分原因：</w:t>
            </w:r>
          </w:p>
        </w:tc>
      </w:tr>
      <w:tr>
        <w:tblPrEx>
          <w:tblCellMar>
            <w:top w:w="0" w:type="dxa"/>
            <w:left w:w="108" w:type="dxa"/>
            <w:bottom w:w="0" w:type="dxa"/>
            <w:right w:w="108" w:type="dxa"/>
          </w:tblCellMar>
        </w:tblPrEx>
        <w:trPr>
          <w:gridAfter w:val="4"/>
          <w:wAfter w:w="2538" w:type="dxa"/>
          <w:trHeight w:val="720" w:hRule="atLeast"/>
        </w:trPr>
        <w:tc>
          <w:tcPr>
            <w:tcW w:w="9322" w:type="dxa"/>
            <w:gridSpan w:val="1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扣分： 分  加分： 分  总得分： 分 考核人签字：       被考核人签字：</w:t>
            </w:r>
          </w:p>
        </w:tc>
      </w:tr>
      <w:tr>
        <w:tblPrEx>
          <w:tblCellMar>
            <w:top w:w="0" w:type="dxa"/>
            <w:left w:w="108" w:type="dxa"/>
            <w:bottom w:w="0" w:type="dxa"/>
            <w:right w:w="108" w:type="dxa"/>
          </w:tblCellMar>
        </w:tblPrEx>
        <w:trPr>
          <w:trHeight w:val="210" w:hRule="atLeast"/>
        </w:trPr>
        <w:tc>
          <w:tcPr>
            <w:tcW w:w="747" w:type="dxa"/>
            <w:gridSpan w:val="2"/>
            <w:tcBorders>
              <w:top w:val="nil"/>
              <w:left w:val="nil"/>
              <w:bottom w:val="nil"/>
              <w:right w:val="nil"/>
            </w:tcBorders>
            <w:shd w:val="clear" w:color="auto" w:fill="auto"/>
            <w:vAlign w:val="center"/>
          </w:tcPr>
          <w:p>
            <w:pPr>
              <w:widowControl/>
              <w:jc w:val="left"/>
              <w:rPr>
                <w:rFonts w:cs="宋体" w:asciiTheme="minorEastAsia" w:hAnsiTheme="minorEastAsia" w:eastAsiaTheme="minorEastAsia"/>
                <w:kern w:val="0"/>
                <w:sz w:val="24"/>
              </w:rPr>
            </w:pPr>
          </w:p>
        </w:tc>
        <w:tc>
          <w:tcPr>
            <w:tcW w:w="517" w:type="dxa"/>
            <w:gridSpan w:val="2"/>
            <w:tcBorders>
              <w:top w:val="nil"/>
              <w:left w:val="nil"/>
              <w:bottom w:val="nil"/>
              <w:right w:val="nil"/>
            </w:tcBorders>
            <w:shd w:val="clear" w:color="auto" w:fill="auto"/>
            <w:vAlign w:val="center"/>
          </w:tcPr>
          <w:p>
            <w:pPr>
              <w:widowControl/>
              <w:jc w:val="left"/>
              <w:rPr>
                <w:rFonts w:asciiTheme="minorEastAsia" w:hAnsiTheme="minorEastAsia" w:eastAsiaTheme="minorEastAsia"/>
                <w:kern w:val="0"/>
                <w:sz w:val="24"/>
              </w:rPr>
            </w:pPr>
          </w:p>
        </w:tc>
        <w:tc>
          <w:tcPr>
            <w:tcW w:w="863" w:type="dxa"/>
            <w:gridSpan w:val="2"/>
            <w:tcBorders>
              <w:top w:val="nil"/>
              <w:left w:val="nil"/>
              <w:bottom w:val="nil"/>
              <w:right w:val="nil"/>
            </w:tcBorders>
            <w:shd w:val="clear" w:color="auto" w:fill="auto"/>
            <w:vAlign w:val="center"/>
          </w:tcPr>
          <w:p>
            <w:pPr>
              <w:widowControl/>
              <w:jc w:val="left"/>
              <w:rPr>
                <w:rFonts w:asciiTheme="minorEastAsia" w:hAnsiTheme="minorEastAsia" w:eastAsiaTheme="minorEastAsia"/>
                <w:kern w:val="0"/>
                <w:sz w:val="24"/>
              </w:rPr>
            </w:pPr>
          </w:p>
        </w:tc>
        <w:tc>
          <w:tcPr>
            <w:tcW w:w="1982" w:type="dxa"/>
            <w:gridSpan w:val="2"/>
            <w:tcBorders>
              <w:top w:val="nil"/>
              <w:left w:val="nil"/>
              <w:bottom w:val="nil"/>
              <w:right w:val="nil"/>
            </w:tcBorders>
            <w:shd w:val="clear" w:color="auto" w:fill="auto"/>
            <w:vAlign w:val="center"/>
          </w:tcPr>
          <w:p>
            <w:pPr>
              <w:widowControl/>
              <w:jc w:val="left"/>
              <w:rPr>
                <w:rFonts w:asciiTheme="minorEastAsia" w:hAnsiTheme="minorEastAsia" w:eastAsiaTheme="minorEastAsia"/>
                <w:kern w:val="0"/>
                <w:sz w:val="24"/>
              </w:rPr>
            </w:pPr>
          </w:p>
        </w:tc>
        <w:tc>
          <w:tcPr>
            <w:tcW w:w="1552" w:type="dxa"/>
            <w:tcBorders>
              <w:top w:val="nil"/>
              <w:left w:val="nil"/>
              <w:bottom w:val="nil"/>
              <w:right w:val="nil"/>
            </w:tcBorders>
            <w:shd w:val="clear" w:color="auto" w:fill="auto"/>
            <w:vAlign w:val="center"/>
          </w:tcPr>
          <w:p>
            <w:pPr>
              <w:widowControl/>
              <w:jc w:val="left"/>
              <w:rPr>
                <w:rFonts w:asciiTheme="minorEastAsia" w:hAnsiTheme="minorEastAsia" w:eastAsiaTheme="minorEastAsia"/>
                <w:kern w:val="0"/>
                <w:sz w:val="24"/>
              </w:rPr>
            </w:pPr>
          </w:p>
        </w:tc>
        <w:tc>
          <w:tcPr>
            <w:tcW w:w="1552" w:type="dxa"/>
            <w:gridSpan w:val="3"/>
            <w:tcBorders>
              <w:top w:val="nil"/>
              <w:left w:val="nil"/>
              <w:bottom w:val="nil"/>
              <w:right w:val="nil"/>
            </w:tcBorders>
            <w:shd w:val="clear" w:color="auto" w:fill="auto"/>
            <w:vAlign w:val="center"/>
          </w:tcPr>
          <w:p>
            <w:pPr>
              <w:widowControl/>
              <w:jc w:val="left"/>
              <w:rPr>
                <w:rFonts w:asciiTheme="minorEastAsia" w:hAnsiTheme="minorEastAsia" w:eastAsiaTheme="minorEastAsia"/>
                <w:kern w:val="0"/>
                <w:sz w:val="24"/>
              </w:rPr>
            </w:pPr>
          </w:p>
        </w:tc>
        <w:tc>
          <w:tcPr>
            <w:tcW w:w="3419" w:type="dxa"/>
            <w:gridSpan w:val="2"/>
            <w:tcBorders>
              <w:top w:val="nil"/>
              <w:left w:val="nil"/>
              <w:bottom w:val="nil"/>
              <w:right w:val="nil"/>
            </w:tcBorders>
            <w:shd w:val="clear" w:color="auto" w:fill="auto"/>
            <w:vAlign w:val="center"/>
          </w:tcPr>
          <w:p>
            <w:pPr>
              <w:widowControl/>
              <w:jc w:val="left"/>
              <w:rPr>
                <w:rFonts w:asciiTheme="minorEastAsia" w:hAnsiTheme="minorEastAsia" w:eastAsiaTheme="minorEastAsia"/>
                <w:kern w:val="0"/>
                <w:sz w:val="24"/>
              </w:rPr>
            </w:pPr>
          </w:p>
        </w:tc>
        <w:tc>
          <w:tcPr>
            <w:tcW w:w="992" w:type="dxa"/>
            <w:gridSpan w:val="2"/>
            <w:tcBorders>
              <w:top w:val="nil"/>
              <w:left w:val="nil"/>
              <w:bottom w:val="nil"/>
              <w:right w:val="nil"/>
            </w:tcBorders>
            <w:shd w:val="clear" w:color="auto" w:fill="auto"/>
            <w:vAlign w:val="center"/>
          </w:tcPr>
          <w:p>
            <w:pPr>
              <w:widowControl/>
              <w:jc w:val="left"/>
              <w:rPr>
                <w:rFonts w:asciiTheme="minorEastAsia" w:hAnsiTheme="minorEastAsia" w:eastAsiaTheme="minorEastAsia"/>
                <w:kern w:val="0"/>
                <w:sz w:val="24"/>
              </w:rPr>
            </w:pPr>
          </w:p>
        </w:tc>
        <w:tc>
          <w:tcPr>
            <w:tcW w:w="236" w:type="dxa"/>
            <w:tcBorders>
              <w:top w:val="nil"/>
              <w:left w:val="nil"/>
              <w:bottom w:val="nil"/>
              <w:right w:val="nil"/>
            </w:tcBorders>
            <w:shd w:val="clear" w:color="auto" w:fill="auto"/>
            <w:vAlign w:val="center"/>
          </w:tcPr>
          <w:p>
            <w:pPr>
              <w:widowControl/>
              <w:jc w:val="left"/>
              <w:rPr>
                <w:rFonts w:asciiTheme="minorEastAsia" w:hAnsiTheme="minorEastAsia" w:eastAsiaTheme="minorEastAsia"/>
                <w:kern w:val="0"/>
                <w:sz w:val="24"/>
              </w:rPr>
            </w:pPr>
          </w:p>
        </w:tc>
      </w:tr>
      <w:tr>
        <w:tblPrEx>
          <w:tblCellMar>
            <w:top w:w="0" w:type="dxa"/>
            <w:left w:w="108" w:type="dxa"/>
            <w:bottom w:w="0" w:type="dxa"/>
            <w:right w:w="108" w:type="dxa"/>
          </w:tblCellMar>
        </w:tblPrEx>
        <w:trPr>
          <w:gridAfter w:val="2"/>
          <w:wAfter w:w="695" w:type="dxa"/>
          <w:trHeight w:val="300" w:hRule="atLeast"/>
        </w:trPr>
        <w:tc>
          <w:tcPr>
            <w:tcW w:w="747" w:type="dxa"/>
            <w:gridSpan w:val="2"/>
            <w:vMerge w:val="restart"/>
            <w:tcBorders>
              <w:top w:val="nil"/>
              <w:left w:val="nil"/>
              <w:bottom w:val="nil"/>
              <w:right w:val="nil"/>
            </w:tcBorders>
            <w:shd w:val="clear" w:color="auto" w:fill="auto"/>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说明</w:t>
            </w:r>
          </w:p>
        </w:tc>
        <w:tc>
          <w:tcPr>
            <w:tcW w:w="10418" w:type="dxa"/>
            <w:gridSpan w:val="13"/>
            <w:tcBorders>
              <w:top w:val="nil"/>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1、本考核表总分为100分，每分25元。</w:t>
            </w:r>
          </w:p>
        </w:tc>
      </w:tr>
      <w:tr>
        <w:tblPrEx>
          <w:tblCellMar>
            <w:top w:w="0" w:type="dxa"/>
            <w:left w:w="108" w:type="dxa"/>
            <w:bottom w:w="0" w:type="dxa"/>
            <w:right w:w="108" w:type="dxa"/>
          </w:tblCellMar>
        </w:tblPrEx>
        <w:trPr>
          <w:gridAfter w:val="2"/>
          <w:wAfter w:w="695" w:type="dxa"/>
          <w:trHeight w:val="300" w:hRule="atLeast"/>
        </w:trPr>
        <w:tc>
          <w:tcPr>
            <w:tcW w:w="747" w:type="dxa"/>
            <w:gridSpan w:val="2"/>
            <w:vMerge w:val="continue"/>
            <w:tcBorders>
              <w:top w:val="nil"/>
              <w:left w:val="nil"/>
              <w:bottom w:val="nil"/>
              <w:right w:val="nil"/>
            </w:tcBorders>
            <w:vAlign w:val="center"/>
          </w:tcPr>
          <w:p>
            <w:pPr>
              <w:widowControl/>
              <w:jc w:val="left"/>
              <w:rPr>
                <w:rFonts w:cs="宋体" w:asciiTheme="minorEastAsia" w:hAnsiTheme="minorEastAsia" w:eastAsiaTheme="minorEastAsia"/>
                <w:kern w:val="0"/>
                <w:sz w:val="20"/>
                <w:szCs w:val="20"/>
              </w:rPr>
            </w:pPr>
          </w:p>
        </w:tc>
        <w:tc>
          <w:tcPr>
            <w:tcW w:w="10418" w:type="dxa"/>
            <w:gridSpan w:val="13"/>
            <w:tcBorders>
              <w:top w:val="nil"/>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 xml:space="preserve">2、保安工作表现良好，可酌情加1--4分；表现突出的（需附具体情况说明），可加5--10分。                                                   </w:t>
            </w:r>
          </w:p>
        </w:tc>
      </w:tr>
      <w:tr>
        <w:tblPrEx>
          <w:tblCellMar>
            <w:top w:w="0" w:type="dxa"/>
            <w:left w:w="108" w:type="dxa"/>
            <w:bottom w:w="0" w:type="dxa"/>
            <w:right w:w="108" w:type="dxa"/>
          </w:tblCellMar>
        </w:tblPrEx>
        <w:trPr>
          <w:gridAfter w:val="2"/>
          <w:wAfter w:w="695" w:type="dxa"/>
          <w:trHeight w:val="300" w:hRule="atLeast"/>
        </w:trPr>
        <w:tc>
          <w:tcPr>
            <w:tcW w:w="747" w:type="dxa"/>
            <w:gridSpan w:val="2"/>
            <w:vMerge w:val="continue"/>
            <w:tcBorders>
              <w:top w:val="nil"/>
              <w:left w:val="nil"/>
              <w:bottom w:val="nil"/>
              <w:right w:val="nil"/>
            </w:tcBorders>
            <w:vAlign w:val="center"/>
          </w:tcPr>
          <w:p>
            <w:pPr>
              <w:widowControl/>
              <w:jc w:val="left"/>
              <w:rPr>
                <w:rFonts w:cs="宋体" w:asciiTheme="minorEastAsia" w:hAnsiTheme="minorEastAsia" w:eastAsiaTheme="minorEastAsia"/>
                <w:kern w:val="0"/>
                <w:sz w:val="20"/>
                <w:szCs w:val="20"/>
              </w:rPr>
            </w:pPr>
          </w:p>
        </w:tc>
        <w:tc>
          <w:tcPr>
            <w:tcW w:w="10418" w:type="dxa"/>
            <w:gridSpan w:val="13"/>
            <w:tcBorders>
              <w:top w:val="nil"/>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3、保安工作由所在单位分管领导负责考核，并于每月底将考核汇总表报送教育局安全办。</w:t>
            </w:r>
          </w:p>
        </w:tc>
      </w:tr>
      <w:tr>
        <w:tblPrEx>
          <w:tblCellMar>
            <w:top w:w="0" w:type="dxa"/>
            <w:left w:w="108" w:type="dxa"/>
            <w:bottom w:w="0" w:type="dxa"/>
            <w:right w:w="108" w:type="dxa"/>
          </w:tblCellMar>
        </w:tblPrEx>
        <w:trPr>
          <w:gridAfter w:val="2"/>
          <w:wAfter w:w="695" w:type="dxa"/>
          <w:trHeight w:val="300" w:hRule="atLeast"/>
        </w:trPr>
        <w:tc>
          <w:tcPr>
            <w:tcW w:w="747" w:type="dxa"/>
            <w:gridSpan w:val="2"/>
            <w:vMerge w:val="continue"/>
            <w:tcBorders>
              <w:top w:val="nil"/>
              <w:left w:val="nil"/>
              <w:bottom w:val="nil"/>
              <w:right w:val="nil"/>
            </w:tcBorders>
            <w:vAlign w:val="center"/>
          </w:tcPr>
          <w:p>
            <w:pPr>
              <w:widowControl/>
              <w:jc w:val="left"/>
              <w:rPr>
                <w:rFonts w:cs="宋体" w:asciiTheme="minorEastAsia" w:hAnsiTheme="minorEastAsia" w:eastAsiaTheme="minorEastAsia"/>
                <w:kern w:val="0"/>
                <w:sz w:val="20"/>
                <w:szCs w:val="20"/>
              </w:rPr>
            </w:pPr>
          </w:p>
        </w:tc>
        <w:tc>
          <w:tcPr>
            <w:tcW w:w="10418" w:type="dxa"/>
            <w:gridSpan w:val="13"/>
            <w:tcBorders>
              <w:top w:val="nil"/>
              <w:left w:val="nil"/>
              <w:bottom w:val="nil"/>
              <w:right w:val="nil"/>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4、此表由单位妥善保存，以备核查。</w:t>
            </w:r>
          </w:p>
        </w:tc>
      </w:tr>
    </w:tbl>
    <w:p>
      <w:r>
        <w:br w:type="page"/>
      </w:r>
    </w:p>
    <w:p/>
    <w:p>
      <w:pPr>
        <w:spacing w:line="480" w:lineRule="exact"/>
        <w:rPr>
          <w:rFonts w:ascii="宋体" w:hAnsi="宋体" w:cs="宋体"/>
          <w:color w:val="000000"/>
          <w:kern w:val="0"/>
          <w:sz w:val="28"/>
          <w:szCs w:val="28"/>
        </w:rPr>
      </w:pPr>
      <w:r>
        <w:rPr>
          <w:rFonts w:hint="eastAsia" w:ascii="宋体" w:hAnsi="宋体" w:cs="宋体"/>
          <w:sz w:val="28"/>
          <w:szCs w:val="28"/>
        </w:rPr>
        <w:t>附件二：</w:t>
      </w:r>
    </w:p>
    <w:tbl>
      <w:tblPr>
        <w:tblStyle w:val="9"/>
        <w:tblW w:w="9464" w:type="dxa"/>
        <w:tblInd w:w="0" w:type="dxa"/>
        <w:tblLayout w:type="autofit"/>
        <w:tblCellMar>
          <w:top w:w="0" w:type="dxa"/>
          <w:left w:w="108" w:type="dxa"/>
          <w:bottom w:w="0" w:type="dxa"/>
          <w:right w:w="108" w:type="dxa"/>
        </w:tblCellMar>
      </w:tblPr>
      <w:tblGrid>
        <w:gridCol w:w="1125"/>
        <w:gridCol w:w="1860"/>
        <w:gridCol w:w="954"/>
        <w:gridCol w:w="954"/>
        <w:gridCol w:w="954"/>
        <w:gridCol w:w="954"/>
        <w:gridCol w:w="2663"/>
      </w:tblGrid>
      <w:tr>
        <w:tblPrEx>
          <w:tblCellMar>
            <w:top w:w="0" w:type="dxa"/>
            <w:left w:w="108" w:type="dxa"/>
            <w:bottom w:w="0" w:type="dxa"/>
            <w:right w:w="108" w:type="dxa"/>
          </w:tblCellMar>
        </w:tblPrEx>
        <w:trPr>
          <w:trHeight w:val="654" w:hRule="atLeast"/>
        </w:trPr>
        <w:tc>
          <w:tcPr>
            <w:tcW w:w="9464" w:type="dxa"/>
            <w:gridSpan w:val="7"/>
            <w:tcBorders>
              <w:top w:val="nil"/>
              <w:left w:val="nil"/>
              <w:bottom w:val="nil"/>
              <w:right w:val="nil"/>
            </w:tcBorders>
            <w:shd w:val="clear" w:color="auto" w:fill="auto"/>
            <w:noWrap/>
            <w:vAlign w:val="bottom"/>
          </w:tcPr>
          <w:p>
            <w:pPr>
              <w:widowControl/>
              <w:jc w:val="center"/>
              <w:rPr>
                <w:rFonts w:ascii="宋体" w:hAnsi="宋体" w:cs="宋体"/>
                <w:kern w:val="0"/>
                <w:sz w:val="32"/>
                <w:szCs w:val="32"/>
              </w:rPr>
            </w:pPr>
            <w:r>
              <w:rPr>
                <w:rFonts w:hint="eastAsia" w:ascii="宋体" w:hAnsi="宋体" w:cs="宋体"/>
                <w:kern w:val="0"/>
                <w:sz w:val="32"/>
                <w:szCs w:val="32"/>
              </w:rPr>
              <w:t xml:space="preserve">            </w:t>
            </w:r>
            <w:r>
              <w:rPr>
                <w:rFonts w:hint="eastAsia" w:ascii="宋体" w:hAnsi="宋体" w:cs="宋体"/>
                <w:b/>
                <w:bCs/>
                <w:kern w:val="0"/>
                <w:sz w:val="32"/>
                <w:szCs w:val="32"/>
                <w:u w:val="single"/>
              </w:rPr>
              <w:t xml:space="preserve">    年  </w:t>
            </w:r>
            <w:r>
              <w:rPr>
                <w:rFonts w:hint="eastAsia" w:ascii="宋体" w:hAnsi="宋体" w:cs="宋体"/>
                <w:b/>
                <w:bCs/>
                <w:kern w:val="0"/>
                <w:sz w:val="32"/>
                <w:szCs w:val="32"/>
              </w:rPr>
              <w:t>月份保安工作目标管理考核汇总表</w:t>
            </w:r>
          </w:p>
        </w:tc>
      </w:tr>
      <w:tr>
        <w:tblPrEx>
          <w:tblCellMar>
            <w:top w:w="0" w:type="dxa"/>
            <w:left w:w="108" w:type="dxa"/>
            <w:bottom w:w="0" w:type="dxa"/>
            <w:right w:w="108" w:type="dxa"/>
          </w:tblCellMar>
        </w:tblPrEx>
        <w:trPr>
          <w:trHeight w:val="555" w:hRule="atLeast"/>
        </w:trPr>
        <w:tc>
          <w:tcPr>
            <w:tcW w:w="9464" w:type="dxa"/>
            <w:gridSpan w:val="7"/>
            <w:tcBorders>
              <w:top w:val="nil"/>
              <w:left w:val="nil"/>
              <w:bottom w:val="nil"/>
              <w:right w:val="nil"/>
            </w:tcBorders>
            <w:shd w:val="clear" w:color="auto" w:fill="auto"/>
            <w:noWrap/>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（此处填写单位名称并加盖公章）</w:t>
            </w:r>
          </w:p>
        </w:tc>
      </w:tr>
      <w:tr>
        <w:tblPrEx>
          <w:tblCellMar>
            <w:top w:w="0" w:type="dxa"/>
            <w:left w:w="108" w:type="dxa"/>
            <w:bottom w:w="0" w:type="dxa"/>
            <w:right w:w="108" w:type="dxa"/>
          </w:tblCellMar>
        </w:tblPrEx>
        <w:trPr>
          <w:trHeight w:val="499" w:hRule="atLeast"/>
        </w:trPr>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保安姓名</w:t>
            </w:r>
          </w:p>
        </w:tc>
        <w:tc>
          <w:tcPr>
            <w:tcW w:w="9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总分</w:t>
            </w:r>
          </w:p>
        </w:tc>
        <w:tc>
          <w:tcPr>
            <w:tcW w:w="9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扣分</w:t>
            </w:r>
          </w:p>
        </w:tc>
        <w:tc>
          <w:tcPr>
            <w:tcW w:w="9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加分</w:t>
            </w:r>
          </w:p>
        </w:tc>
        <w:tc>
          <w:tcPr>
            <w:tcW w:w="9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得分</w:t>
            </w:r>
          </w:p>
        </w:tc>
        <w:tc>
          <w:tcPr>
            <w:tcW w:w="26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扣分或加分原因</w:t>
            </w:r>
          </w:p>
        </w:tc>
      </w:tr>
      <w:tr>
        <w:tblPrEx>
          <w:tblCellMar>
            <w:top w:w="0" w:type="dxa"/>
            <w:left w:w="108" w:type="dxa"/>
            <w:bottom w:w="0" w:type="dxa"/>
            <w:right w:w="108" w:type="dxa"/>
          </w:tblCellMar>
        </w:tblPrEx>
        <w:trPr>
          <w:trHeight w:val="462" w:hRule="atLeast"/>
        </w:trPr>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01</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6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trHeight w:val="462" w:hRule="atLeast"/>
        </w:trPr>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02</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6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trHeight w:val="462" w:hRule="atLeast"/>
        </w:trPr>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03</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6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trHeight w:val="462" w:hRule="atLeast"/>
        </w:trPr>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04</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6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trHeight w:val="462" w:hRule="atLeast"/>
        </w:trPr>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05</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6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trHeight w:val="462" w:hRule="atLeast"/>
        </w:trPr>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06</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6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trHeight w:val="462" w:hRule="atLeast"/>
        </w:trPr>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07</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6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trHeight w:val="462" w:hRule="atLeast"/>
        </w:trPr>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08</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6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trHeight w:val="462" w:hRule="atLeast"/>
        </w:trPr>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09</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6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trHeight w:val="462" w:hRule="atLeast"/>
        </w:trPr>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6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trHeight w:val="462" w:hRule="atLeast"/>
        </w:trPr>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11</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6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trHeight w:val="462" w:hRule="atLeast"/>
        </w:trPr>
        <w:tc>
          <w:tcPr>
            <w:tcW w:w="112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12</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95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2663"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trHeight w:val="495" w:hRule="atLeast"/>
        </w:trPr>
        <w:tc>
          <w:tcPr>
            <w:tcW w:w="9464" w:type="dxa"/>
            <w:gridSpan w:val="7"/>
            <w:tcBorders>
              <w:top w:val="single" w:color="auto" w:sz="4" w:space="0"/>
              <w:left w:val="single" w:color="auto" w:sz="4" w:space="0"/>
              <w:bottom w:val="nil"/>
              <w:right w:val="single" w:color="000000" w:sz="4" w:space="0"/>
            </w:tcBorders>
            <w:shd w:val="clear" w:color="auto" w:fill="auto"/>
            <w:noWrap/>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保安人员在本月工作中所存在的问题以及单位对保安的意见和建议：</w:t>
            </w:r>
          </w:p>
        </w:tc>
      </w:tr>
      <w:tr>
        <w:tblPrEx>
          <w:tblCellMar>
            <w:top w:w="0" w:type="dxa"/>
            <w:left w:w="108" w:type="dxa"/>
            <w:bottom w:w="0" w:type="dxa"/>
            <w:right w:w="108" w:type="dxa"/>
          </w:tblCellMar>
        </w:tblPrEx>
        <w:trPr>
          <w:trHeight w:val="1842" w:hRule="atLeast"/>
        </w:trPr>
        <w:tc>
          <w:tcPr>
            <w:tcW w:w="1125" w:type="dxa"/>
            <w:tcBorders>
              <w:top w:val="nil"/>
              <w:left w:val="single" w:color="auto" w:sz="4" w:space="0"/>
              <w:bottom w:val="nil"/>
              <w:right w:val="nil"/>
            </w:tcBorders>
            <w:shd w:val="clear" w:color="auto" w:fill="auto"/>
            <w:noWrap/>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1860" w:type="dxa"/>
            <w:tcBorders>
              <w:top w:val="nil"/>
              <w:left w:val="nil"/>
              <w:bottom w:val="nil"/>
              <w:right w:val="nil"/>
            </w:tcBorders>
            <w:shd w:val="clear" w:color="auto" w:fill="auto"/>
            <w:noWrap/>
          </w:tcPr>
          <w:p>
            <w:pPr>
              <w:widowControl/>
              <w:jc w:val="left"/>
              <w:rPr>
                <w:rFonts w:cs="宋体" w:asciiTheme="minorEastAsia" w:hAnsiTheme="minorEastAsia" w:eastAsiaTheme="minorEastAsia"/>
                <w:kern w:val="0"/>
                <w:sz w:val="24"/>
              </w:rPr>
            </w:pPr>
          </w:p>
        </w:tc>
        <w:tc>
          <w:tcPr>
            <w:tcW w:w="954" w:type="dxa"/>
            <w:tcBorders>
              <w:top w:val="nil"/>
              <w:left w:val="nil"/>
              <w:bottom w:val="nil"/>
              <w:right w:val="nil"/>
            </w:tcBorders>
            <w:shd w:val="clear" w:color="auto" w:fill="auto"/>
            <w:noWrap/>
          </w:tcPr>
          <w:p>
            <w:pPr>
              <w:widowControl/>
              <w:jc w:val="left"/>
              <w:rPr>
                <w:rFonts w:asciiTheme="minorEastAsia" w:hAnsiTheme="minorEastAsia" w:eastAsiaTheme="minorEastAsia"/>
                <w:kern w:val="0"/>
                <w:sz w:val="24"/>
              </w:rPr>
            </w:pPr>
          </w:p>
        </w:tc>
        <w:tc>
          <w:tcPr>
            <w:tcW w:w="954" w:type="dxa"/>
            <w:tcBorders>
              <w:top w:val="nil"/>
              <w:left w:val="nil"/>
              <w:bottom w:val="nil"/>
              <w:right w:val="nil"/>
            </w:tcBorders>
            <w:shd w:val="clear" w:color="auto" w:fill="auto"/>
            <w:noWrap/>
          </w:tcPr>
          <w:p>
            <w:pPr>
              <w:widowControl/>
              <w:jc w:val="left"/>
              <w:rPr>
                <w:rFonts w:asciiTheme="minorEastAsia" w:hAnsiTheme="minorEastAsia" w:eastAsiaTheme="minorEastAsia"/>
                <w:kern w:val="0"/>
                <w:sz w:val="24"/>
              </w:rPr>
            </w:pPr>
          </w:p>
        </w:tc>
        <w:tc>
          <w:tcPr>
            <w:tcW w:w="954" w:type="dxa"/>
            <w:tcBorders>
              <w:top w:val="nil"/>
              <w:left w:val="nil"/>
              <w:bottom w:val="nil"/>
              <w:right w:val="nil"/>
            </w:tcBorders>
            <w:shd w:val="clear" w:color="auto" w:fill="auto"/>
            <w:noWrap/>
          </w:tcPr>
          <w:p>
            <w:pPr>
              <w:widowControl/>
              <w:jc w:val="left"/>
              <w:rPr>
                <w:rFonts w:asciiTheme="minorEastAsia" w:hAnsiTheme="minorEastAsia" w:eastAsiaTheme="minorEastAsia"/>
                <w:kern w:val="0"/>
                <w:sz w:val="24"/>
              </w:rPr>
            </w:pPr>
          </w:p>
        </w:tc>
        <w:tc>
          <w:tcPr>
            <w:tcW w:w="954" w:type="dxa"/>
            <w:tcBorders>
              <w:top w:val="nil"/>
              <w:left w:val="nil"/>
              <w:bottom w:val="nil"/>
              <w:right w:val="nil"/>
            </w:tcBorders>
            <w:shd w:val="clear" w:color="auto" w:fill="auto"/>
            <w:noWrap/>
          </w:tcPr>
          <w:p>
            <w:pPr>
              <w:widowControl/>
              <w:jc w:val="left"/>
              <w:rPr>
                <w:rFonts w:asciiTheme="minorEastAsia" w:hAnsiTheme="minorEastAsia" w:eastAsiaTheme="minorEastAsia"/>
                <w:kern w:val="0"/>
                <w:sz w:val="24"/>
              </w:rPr>
            </w:pPr>
          </w:p>
        </w:tc>
        <w:tc>
          <w:tcPr>
            <w:tcW w:w="2663" w:type="dxa"/>
            <w:tcBorders>
              <w:top w:val="nil"/>
              <w:left w:val="nil"/>
              <w:bottom w:val="nil"/>
              <w:right w:val="single" w:color="auto" w:sz="4" w:space="0"/>
            </w:tcBorders>
            <w:shd w:val="clear" w:color="auto" w:fill="auto"/>
            <w:noWrap/>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trHeight w:val="375" w:hRule="atLeast"/>
        </w:trPr>
        <w:tc>
          <w:tcPr>
            <w:tcW w:w="1125" w:type="dxa"/>
            <w:tcBorders>
              <w:top w:val="nil"/>
              <w:left w:val="single" w:color="auto" w:sz="4" w:space="0"/>
              <w:bottom w:val="nil"/>
              <w:right w:val="nil"/>
            </w:tcBorders>
            <w:shd w:val="clear" w:color="auto" w:fill="auto"/>
            <w:noWrap/>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1860" w:type="dxa"/>
            <w:tcBorders>
              <w:top w:val="nil"/>
              <w:left w:val="nil"/>
              <w:bottom w:val="nil"/>
              <w:right w:val="nil"/>
            </w:tcBorders>
            <w:shd w:val="clear" w:color="auto" w:fill="auto"/>
            <w:noWrap/>
          </w:tcPr>
          <w:p>
            <w:pPr>
              <w:widowControl/>
              <w:jc w:val="left"/>
              <w:rPr>
                <w:rFonts w:cs="宋体" w:asciiTheme="minorEastAsia" w:hAnsiTheme="minorEastAsia" w:eastAsiaTheme="minorEastAsia"/>
                <w:kern w:val="0"/>
                <w:sz w:val="24"/>
              </w:rPr>
            </w:pPr>
          </w:p>
        </w:tc>
        <w:tc>
          <w:tcPr>
            <w:tcW w:w="954" w:type="dxa"/>
            <w:tcBorders>
              <w:top w:val="nil"/>
              <w:left w:val="nil"/>
              <w:bottom w:val="nil"/>
              <w:right w:val="nil"/>
            </w:tcBorders>
            <w:shd w:val="clear" w:color="auto" w:fill="auto"/>
            <w:noWrap/>
          </w:tcPr>
          <w:p>
            <w:pPr>
              <w:widowControl/>
              <w:jc w:val="left"/>
              <w:rPr>
                <w:rFonts w:asciiTheme="minorEastAsia" w:hAnsiTheme="minorEastAsia" w:eastAsiaTheme="minorEastAsia"/>
                <w:kern w:val="0"/>
                <w:sz w:val="24"/>
              </w:rPr>
            </w:pPr>
          </w:p>
        </w:tc>
        <w:tc>
          <w:tcPr>
            <w:tcW w:w="954" w:type="dxa"/>
            <w:tcBorders>
              <w:top w:val="nil"/>
              <w:left w:val="nil"/>
              <w:bottom w:val="nil"/>
              <w:right w:val="nil"/>
            </w:tcBorders>
            <w:shd w:val="clear" w:color="auto" w:fill="auto"/>
            <w:noWrap/>
          </w:tcPr>
          <w:p>
            <w:pPr>
              <w:widowControl/>
              <w:jc w:val="left"/>
              <w:rPr>
                <w:rFonts w:asciiTheme="minorEastAsia" w:hAnsiTheme="minorEastAsia" w:eastAsiaTheme="minorEastAsia"/>
                <w:kern w:val="0"/>
                <w:sz w:val="24"/>
              </w:rPr>
            </w:pPr>
          </w:p>
        </w:tc>
        <w:tc>
          <w:tcPr>
            <w:tcW w:w="954" w:type="dxa"/>
            <w:tcBorders>
              <w:top w:val="nil"/>
              <w:left w:val="nil"/>
              <w:bottom w:val="nil"/>
              <w:right w:val="nil"/>
            </w:tcBorders>
            <w:shd w:val="clear" w:color="auto" w:fill="auto"/>
            <w:noWrap/>
          </w:tcPr>
          <w:p>
            <w:pPr>
              <w:widowControl/>
              <w:jc w:val="left"/>
              <w:rPr>
                <w:rFonts w:asciiTheme="minorEastAsia" w:hAnsiTheme="minorEastAsia" w:eastAsiaTheme="minorEastAsia"/>
                <w:kern w:val="0"/>
                <w:sz w:val="24"/>
              </w:rPr>
            </w:pPr>
          </w:p>
        </w:tc>
        <w:tc>
          <w:tcPr>
            <w:tcW w:w="954" w:type="dxa"/>
            <w:tcBorders>
              <w:top w:val="nil"/>
              <w:left w:val="nil"/>
              <w:bottom w:val="nil"/>
              <w:right w:val="nil"/>
            </w:tcBorders>
            <w:shd w:val="clear" w:color="auto" w:fill="auto"/>
            <w:noWrap/>
          </w:tcPr>
          <w:p>
            <w:pPr>
              <w:widowControl/>
              <w:jc w:val="left"/>
              <w:rPr>
                <w:rFonts w:asciiTheme="minorEastAsia" w:hAnsiTheme="minorEastAsia" w:eastAsiaTheme="minorEastAsia"/>
                <w:kern w:val="0"/>
                <w:sz w:val="24"/>
              </w:rPr>
            </w:pPr>
          </w:p>
        </w:tc>
        <w:tc>
          <w:tcPr>
            <w:tcW w:w="2663" w:type="dxa"/>
            <w:tcBorders>
              <w:top w:val="nil"/>
              <w:left w:val="nil"/>
              <w:bottom w:val="nil"/>
              <w:right w:val="single" w:color="auto" w:sz="4" w:space="0"/>
            </w:tcBorders>
            <w:shd w:val="clear" w:color="auto" w:fill="auto"/>
            <w:noWrap/>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tblPrEx>
          <w:tblCellMar>
            <w:top w:w="0" w:type="dxa"/>
            <w:left w:w="108" w:type="dxa"/>
            <w:bottom w:w="0" w:type="dxa"/>
            <w:right w:w="108" w:type="dxa"/>
          </w:tblCellMar>
        </w:tblPrEx>
        <w:trPr>
          <w:trHeight w:val="540" w:hRule="atLeast"/>
        </w:trPr>
        <w:tc>
          <w:tcPr>
            <w:tcW w:w="9464" w:type="dxa"/>
            <w:gridSpan w:val="7"/>
            <w:tcBorders>
              <w:top w:val="nil"/>
              <w:left w:val="single" w:color="auto" w:sz="4" w:space="0"/>
              <w:bottom w:val="nil"/>
              <w:right w:val="single" w:color="000000"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法人签字：</w:t>
            </w:r>
          </w:p>
        </w:tc>
      </w:tr>
      <w:tr>
        <w:tblPrEx>
          <w:tblCellMar>
            <w:top w:w="0" w:type="dxa"/>
            <w:left w:w="108" w:type="dxa"/>
            <w:bottom w:w="0" w:type="dxa"/>
            <w:right w:w="108" w:type="dxa"/>
          </w:tblCellMar>
        </w:tblPrEx>
        <w:trPr>
          <w:trHeight w:val="70" w:hRule="atLeast"/>
        </w:trPr>
        <w:tc>
          <w:tcPr>
            <w:tcW w:w="9464" w:type="dxa"/>
            <w:gridSpan w:val="7"/>
            <w:tcBorders>
              <w:top w:val="nil"/>
              <w:left w:val="single" w:color="auto" w:sz="4" w:space="0"/>
              <w:bottom w:val="single" w:color="auto" w:sz="4" w:space="0"/>
              <w:right w:val="single" w:color="000000" w:sz="4" w:space="0"/>
            </w:tcBorders>
            <w:shd w:val="clear" w:color="auto" w:fill="auto"/>
            <w:noWrap/>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年  月  日</w:t>
            </w:r>
          </w:p>
        </w:tc>
      </w:tr>
      <w:tr>
        <w:tblPrEx>
          <w:tblCellMar>
            <w:top w:w="0" w:type="dxa"/>
            <w:left w:w="108" w:type="dxa"/>
            <w:bottom w:w="0" w:type="dxa"/>
            <w:right w:w="108" w:type="dxa"/>
          </w:tblCellMar>
        </w:tblPrEx>
        <w:trPr>
          <w:trHeight w:val="360" w:hRule="atLeast"/>
        </w:trPr>
        <w:tc>
          <w:tcPr>
            <w:tcW w:w="1125" w:type="dxa"/>
            <w:vMerge w:val="restart"/>
            <w:tcBorders>
              <w:top w:val="nil"/>
              <w:left w:val="nil"/>
              <w:bottom w:val="nil"/>
              <w:right w:val="nil"/>
            </w:tcBorders>
            <w:shd w:val="clear" w:color="auto" w:fill="auto"/>
            <w:textDirection w:val="tbRlV"/>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说 明</w:t>
            </w:r>
          </w:p>
        </w:tc>
        <w:tc>
          <w:tcPr>
            <w:tcW w:w="8339" w:type="dxa"/>
            <w:gridSpan w:val="6"/>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1、单位每月将考核结果汇总到此表，如有加5—10分的情况，请附情况说明材料，否则视为无效。                                                   </w:t>
            </w:r>
          </w:p>
        </w:tc>
      </w:tr>
      <w:tr>
        <w:tblPrEx>
          <w:tblCellMar>
            <w:top w:w="0" w:type="dxa"/>
            <w:left w:w="108" w:type="dxa"/>
            <w:bottom w:w="0" w:type="dxa"/>
            <w:right w:w="108" w:type="dxa"/>
          </w:tblCellMar>
        </w:tblPrEx>
        <w:trPr>
          <w:trHeight w:val="360" w:hRule="atLeast"/>
        </w:trPr>
        <w:tc>
          <w:tcPr>
            <w:tcW w:w="1125" w:type="dxa"/>
            <w:vMerge w:val="continue"/>
            <w:tcBorders>
              <w:top w:val="nil"/>
              <w:left w:val="nil"/>
              <w:bottom w:val="nil"/>
              <w:right w:val="nil"/>
            </w:tcBorders>
            <w:vAlign w:val="center"/>
          </w:tcPr>
          <w:p>
            <w:pPr>
              <w:widowControl/>
              <w:jc w:val="left"/>
              <w:rPr>
                <w:rFonts w:cs="宋体" w:asciiTheme="minorEastAsia" w:hAnsiTheme="minorEastAsia" w:eastAsiaTheme="minorEastAsia"/>
                <w:b/>
                <w:bCs/>
                <w:kern w:val="0"/>
                <w:sz w:val="24"/>
              </w:rPr>
            </w:pPr>
          </w:p>
        </w:tc>
        <w:tc>
          <w:tcPr>
            <w:tcW w:w="8339" w:type="dxa"/>
            <w:gridSpan w:val="6"/>
            <w:tcBorders>
              <w:top w:val="nil"/>
              <w:left w:val="nil"/>
              <w:bottom w:val="nil"/>
              <w:right w:val="nil"/>
            </w:tcBorders>
            <w:shd w:val="clear" w:color="auto" w:fill="auto"/>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2、单位将保安在本月工作中所存在的问题以及对保安的意见、建议进行填写，由单位法人签字。</w:t>
            </w:r>
          </w:p>
        </w:tc>
      </w:tr>
      <w:tr>
        <w:tblPrEx>
          <w:tblCellMar>
            <w:top w:w="0" w:type="dxa"/>
            <w:left w:w="108" w:type="dxa"/>
            <w:bottom w:w="0" w:type="dxa"/>
            <w:right w:w="108" w:type="dxa"/>
          </w:tblCellMar>
        </w:tblPrEx>
        <w:trPr>
          <w:trHeight w:val="360" w:hRule="atLeast"/>
        </w:trPr>
        <w:tc>
          <w:tcPr>
            <w:tcW w:w="1125" w:type="dxa"/>
            <w:vMerge w:val="continue"/>
            <w:tcBorders>
              <w:top w:val="nil"/>
              <w:left w:val="nil"/>
              <w:bottom w:val="nil"/>
              <w:right w:val="nil"/>
            </w:tcBorders>
            <w:vAlign w:val="center"/>
          </w:tcPr>
          <w:p>
            <w:pPr>
              <w:widowControl/>
              <w:jc w:val="left"/>
              <w:rPr>
                <w:rFonts w:cs="宋体" w:asciiTheme="minorEastAsia" w:hAnsiTheme="minorEastAsia" w:eastAsiaTheme="minorEastAsia"/>
                <w:b/>
                <w:bCs/>
                <w:kern w:val="0"/>
                <w:sz w:val="24"/>
              </w:rPr>
            </w:pPr>
          </w:p>
        </w:tc>
        <w:tc>
          <w:tcPr>
            <w:tcW w:w="8339" w:type="dxa"/>
            <w:gridSpan w:val="6"/>
            <w:tcBorders>
              <w:top w:val="nil"/>
              <w:left w:val="nil"/>
              <w:bottom w:val="nil"/>
              <w:right w:val="nil"/>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3、每月月底报教育局安全办。</w:t>
            </w:r>
          </w:p>
        </w:tc>
      </w:tr>
      <w:tr>
        <w:tblPrEx>
          <w:tblCellMar>
            <w:top w:w="0" w:type="dxa"/>
            <w:left w:w="108" w:type="dxa"/>
            <w:bottom w:w="0" w:type="dxa"/>
            <w:right w:w="108" w:type="dxa"/>
          </w:tblCellMar>
        </w:tblPrEx>
        <w:trPr>
          <w:trHeight w:val="360" w:hRule="atLeast"/>
        </w:trPr>
        <w:tc>
          <w:tcPr>
            <w:tcW w:w="1125" w:type="dxa"/>
            <w:vMerge w:val="continue"/>
            <w:tcBorders>
              <w:top w:val="nil"/>
              <w:left w:val="nil"/>
              <w:bottom w:val="nil"/>
              <w:right w:val="nil"/>
            </w:tcBorders>
            <w:vAlign w:val="center"/>
          </w:tcPr>
          <w:p>
            <w:pPr>
              <w:widowControl/>
              <w:jc w:val="left"/>
              <w:rPr>
                <w:rFonts w:cs="宋体" w:asciiTheme="minorEastAsia" w:hAnsiTheme="minorEastAsia" w:eastAsiaTheme="minorEastAsia"/>
                <w:b/>
                <w:bCs/>
                <w:kern w:val="0"/>
                <w:sz w:val="24"/>
              </w:rPr>
            </w:pPr>
          </w:p>
        </w:tc>
        <w:tc>
          <w:tcPr>
            <w:tcW w:w="8339" w:type="dxa"/>
            <w:gridSpan w:val="6"/>
            <w:tcBorders>
              <w:top w:val="nil"/>
              <w:left w:val="nil"/>
              <w:bottom w:val="nil"/>
              <w:right w:val="nil"/>
            </w:tcBorders>
            <w:shd w:val="clear" w:color="auto" w:fill="auto"/>
            <w:noWrap/>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4、此表一式二份，由保安所在单位、教育局安全办各存一份。</w:t>
            </w:r>
          </w:p>
        </w:tc>
      </w:tr>
    </w:tbl>
    <w:p>
      <w:pPr>
        <w:widowControl/>
        <w:shd w:val="clear" w:color="auto" w:fill="FFFFFF"/>
        <w:spacing w:line="460" w:lineRule="exact"/>
        <w:jc w:val="left"/>
        <w:rPr>
          <w:rFonts w:cs="宋体" w:asciiTheme="minorEastAsia" w:hAnsiTheme="minorEastAsia" w:eastAsiaTheme="minorEastAsia"/>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ZiOGJlZWM3Nzg2MjAyYmEyYWM2YjcwOGNmMjAxMzEifQ=="/>
  </w:docVars>
  <w:rsids>
    <w:rsidRoot w:val="6D4E2880"/>
    <w:rsid w:val="000117BA"/>
    <w:rsid w:val="00096EEC"/>
    <w:rsid w:val="000A5BDB"/>
    <w:rsid w:val="001235B2"/>
    <w:rsid w:val="001C6B88"/>
    <w:rsid w:val="001D301E"/>
    <w:rsid w:val="001D7C7F"/>
    <w:rsid w:val="001F0B77"/>
    <w:rsid w:val="00205807"/>
    <w:rsid w:val="002527B4"/>
    <w:rsid w:val="00285DCF"/>
    <w:rsid w:val="00290410"/>
    <w:rsid w:val="002A2DE3"/>
    <w:rsid w:val="002A5C82"/>
    <w:rsid w:val="002D647E"/>
    <w:rsid w:val="003147F7"/>
    <w:rsid w:val="0031490A"/>
    <w:rsid w:val="00317F3A"/>
    <w:rsid w:val="00341B6E"/>
    <w:rsid w:val="00377A90"/>
    <w:rsid w:val="003C1325"/>
    <w:rsid w:val="003E611C"/>
    <w:rsid w:val="00400F92"/>
    <w:rsid w:val="0041381D"/>
    <w:rsid w:val="0043316C"/>
    <w:rsid w:val="004A086B"/>
    <w:rsid w:val="004E3C70"/>
    <w:rsid w:val="00501292"/>
    <w:rsid w:val="00543951"/>
    <w:rsid w:val="0056663C"/>
    <w:rsid w:val="005744DC"/>
    <w:rsid w:val="00594A9F"/>
    <w:rsid w:val="005953AC"/>
    <w:rsid w:val="00604028"/>
    <w:rsid w:val="00627EB8"/>
    <w:rsid w:val="0065160F"/>
    <w:rsid w:val="006712E4"/>
    <w:rsid w:val="006C4385"/>
    <w:rsid w:val="00744237"/>
    <w:rsid w:val="0077379F"/>
    <w:rsid w:val="0077582B"/>
    <w:rsid w:val="007B0CB2"/>
    <w:rsid w:val="00881489"/>
    <w:rsid w:val="008A0BB8"/>
    <w:rsid w:val="008C6DC8"/>
    <w:rsid w:val="008D561F"/>
    <w:rsid w:val="008F6178"/>
    <w:rsid w:val="00951BF9"/>
    <w:rsid w:val="009601FE"/>
    <w:rsid w:val="009C5FE2"/>
    <w:rsid w:val="00A82D6F"/>
    <w:rsid w:val="00A94EA9"/>
    <w:rsid w:val="00B06CBE"/>
    <w:rsid w:val="00B15A3D"/>
    <w:rsid w:val="00B43A90"/>
    <w:rsid w:val="00B5781F"/>
    <w:rsid w:val="00BA3A0A"/>
    <w:rsid w:val="00BD7FA2"/>
    <w:rsid w:val="00C06CE7"/>
    <w:rsid w:val="00C16FFA"/>
    <w:rsid w:val="00C2142D"/>
    <w:rsid w:val="00C243DE"/>
    <w:rsid w:val="00C247B9"/>
    <w:rsid w:val="00CB08B4"/>
    <w:rsid w:val="00D2546B"/>
    <w:rsid w:val="00D7107A"/>
    <w:rsid w:val="00D91510"/>
    <w:rsid w:val="00D92FF5"/>
    <w:rsid w:val="00DB3F06"/>
    <w:rsid w:val="00DD1358"/>
    <w:rsid w:val="00E11B41"/>
    <w:rsid w:val="00E227C8"/>
    <w:rsid w:val="00E4427A"/>
    <w:rsid w:val="00E804DA"/>
    <w:rsid w:val="00E8437C"/>
    <w:rsid w:val="00EC70A0"/>
    <w:rsid w:val="00EE39AB"/>
    <w:rsid w:val="00EF3C31"/>
    <w:rsid w:val="00F2768E"/>
    <w:rsid w:val="00F64194"/>
    <w:rsid w:val="00F92716"/>
    <w:rsid w:val="00FE49F2"/>
    <w:rsid w:val="022573D4"/>
    <w:rsid w:val="0DDE0DC3"/>
    <w:rsid w:val="235C6781"/>
    <w:rsid w:val="283A3090"/>
    <w:rsid w:val="288D7225"/>
    <w:rsid w:val="28E7123F"/>
    <w:rsid w:val="2EE97E85"/>
    <w:rsid w:val="30E738F1"/>
    <w:rsid w:val="49F27611"/>
    <w:rsid w:val="4CBC06D2"/>
    <w:rsid w:val="52B9523A"/>
    <w:rsid w:val="55124807"/>
    <w:rsid w:val="56C95CCD"/>
    <w:rsid w:val="60624676"/>
    <w:rsid w:val="68CF0917"/>
    <w:rsid w:val="6D4E2880"/>
    <w:rsid w:val="79EE772B"/>
    <w:rsid w:val="7E20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jc w:val="center"/>
      <w:outlineLvl w:val="0"/>
    </w:pPr>
    <w:rPr>
      <w:rFonts w:hint="eastAsia"/>
      <w:b/>
      <w:kern w:val="44"/>
      <w:sz w:val="32"/>
    </w:rPr>
  </w:style>
  <w:style w:type="paragraph" w:styleId="3">
    <w:name w:val="heading 2"/>
    <w:basedOn w:val="1"/>
    <w:next w:val="1"/>
    <w:link w:val="12"/>
    <w:autoRedefine/>
    <w:semiHidden/>
    <w:unhideWhenUsed/>
    <w:qFormat/>
    <w:uiPriority w:val="0"/>
    <w:pPr>
      <w:keepNext/>
      <w:keepLines/>
      <w:spacing w:before="260" w:after="260"/>
      <w:jc w:val="center"/>
      <w:outlineLvl w:val="1"/>
    </w:pPr>
    <w:rPr>
      <w:rFonts w:hint="eastAsia" w:ascii="Calibri Light" w:hAnsi="Calibri Light"/>
      <w:b/>
      <w:bCs/>
      <w:sz w:val="32"/>
      <w:szCs w:val="32"/>
    </w:rPr>
  </w:style>
  <w:style w:type="paragraph" w:styleId="4">
    <w:name w:val="heading 3"/>
    <w:basedOn w:val="1"/>
    <w:next w:val="1"/>
    <w:link w:val="13"/>
    <w:autoRedefine/>
    <w:semiHidden/>
    <w:unhideWhenUsed/>
    <w:qFormat/>
    <w:uiPriority w:val="0"/>
    <w:pPr>
      <w:keepNext/>
      <w:keepLines/>
      <w:spacing w:before="260" w:after="260"/>
      <w:outlineLvl w:val="2"/>
    </w:pPr>
    <w:rPr>
      <w:b/>
      <w:bCs/>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footer"/>
    <w:basedOn w:val="1"/>
    <w:autoRedefine/>
    <w:qFormat/>
    <w:uiPriority w:val="99"/>
    <w:pPr>
      <w:tabs>
        <w:tab w:val="center" w:pos="4153"/>
        <w:tab w:val="right" w:pos="8306"/>
      </w:tabs>
      <w:snapToGrid w:val="0"/>
      <w:jc w:val="left"/>
    </w:pPr>
    <w:rPr>
      <w:rFonts w:asciiTheme="minorHAnsi" w:hAnsiTheme="minorHAnsi" w:cstheme="minorBidi"/>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autoRedefine/>
    <w:qFormat/>
    <w:uiPriority w:val="0"/>
  </w:style>
  <w:style w:type="character" w:customStyle="1" w:styleId="12">
    <w:name w:val="标题 2 Char"/>
    <w:link w:val="3"/>
    <w:autoRedefine/>
    <w:qFormat/>
    <w:uiPriority w:val="0"/>
    <w:rPr>
      <w:rFonts w:hint="eastAsia" w:eastAsia="宋体" w:cs="Times New Roman"/>
      <w:b/>
      <w:kern w:val="2"/>
      <w:sz w:val="30"/>
      <w:szCs w:val="20"/>
    </w:rPr>
  </w:style>
  <w:style w:type="character" w:customStyle="1" w:styleId="13">
    <w:name w:val="标题 3 Char"/>
    <w:link w:val="4"/>
    <w:autoRedefine/>
    <w:qFormat/>
    <w:uiPriority w:val="0"/>
    <w:rPr>
      <w:rFonts w:eastAsia="宋体"/>
      <w:b/>
      <w:bCs/>
      <w:sz w:val="32"/>
      <w:szCs w:val="32"/>
    </w:rPr>
  </w:style>
  <w:style w:type="character" w:customStyle="1" w:styleId="14">
    <w:name w:val="页眉 Char"/>
    <w:basedOn w:val="10"/>
    <w:link w:val="7"/>
    <w:autoRedefine/>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838</Words>
  <Characters>4783</Characters>
  <Lines>39</Lines>
  <Paragraphs>11</Paragraphs>
  <TotalTime>6</TotalTime>
  <ScaleCrop>false</ScaleCrop>
  <LinksUpToDate>false</LinksUpToDate>
  <CharactersWithSpaces>5610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2020-05-19T01:03:00Z</dcterms:created>
  <dc:creator>琼</dc:creator>
  <cp:lastModifiedBy>呼吉乐</cp:lastModifiedBy>
  <cp:lastPrinted>2024-02-26T08:09:00Z</cp:lastPrinted>
  <dcterms:modified xsi:type="dcterms:W3CDTF">2024-02-26T08:47:47Z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F4960664D6424C09A6A2B6C1FD047411_12</vt:lpwstr>
  </property>
</Properties>
</file>