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5D30" w14:textId="77777777" w:rsidR="00926FCB" w:rsidRPr="00926FCB" w:rsidRDefault="00926FCB" w:rsidP="00926FCB">
      <w:pPr>
        <w:spacing w:afterLines="50" w:after="156"/>
        <w:jc w:val="center"/>
        <w:outlineLvl w:val="1"/>
        <w:rPr>
          <w:rFonts w:ascii="黑体" w:eastAsia="黑体" w:hAnsi="黑体" w:cs="Times New Roman"/>
          <w:sz w:val="28"/>
          <w:szCs w:val="28"/>
        </w:rPr>
      </w:pPr>
      <w:r w:rsidRPr="00926FCB">
        <w:rPr>
          <w:rFonts w:ascii="黑体" w:eastAsia="黑体" w:hAnsi="黑体" w:cs="Times New Roman" w:hint="eastAsia"/>
          <w:sz w:val="28"/>
          <w:szCs w:val="28"/>
        </w:rPr>
        <w:t>采购需求</w:t>
      </w:r>
    </w:p>
    <w:p w14:paraId="4F18AE36" w14:textId="77777777" w:rsidR="00926FCB" w:rsidRPr="00926FCB" w:rsidRDefault="00926FCB" w:rsidP="00926FCB">
      <w:pPr>
        <w:spacing w:afterLines="50" w:after="156" w:line="360" w:lineRule="auto"/>
        <w:ind w:firstLineChars="200" w:firstLine="560"/>
        <w:outlineLvl w:val="2"/>
        <w:rPr>
          <w:rFonts w:ascii="楷体" w:eastAsia="楷体" w:hAnsi="楷体" w:cs="Times New Roman"/>
          <w:sz w:val="28"/>
          <w:szCs w:val="28"/>
        </w:rPr>
      </w:pPr>
      <w:bookmarkStart w:id="0" w:name="_Toc29892088"/>
      <w:r w:rsidRPr="00926FCB">
        <w:rPr>
          <w:rFonts w:ascii="楷体" w:eastAsia="楷体" w:hAnsi="楷体" w:cs="Times New Roman" w:hint="eastAsia"/>
          <w:sz w:val="28"/>
          <w:szCs w:val="28"/>
        </w:rPr>
        <w:t>1.项目说明</w:t>
      </w:r>
      <w:bookmarkEnd w:id="0"/>
    </w:p>
    <w:p w14:paraId="00E03B2B" w14:textId="77777777" w:rsidR="00926FCB" w:rsidRPr="00926FCB" w:rsidRDefault="00926FCB" w:rsidP="00926FCB">
      <w:pPr>
        <w:spacing w:line="40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bookmarkStart w:id="1" w:name="c__506404128_"/>
      <w:bookmarkStart w:id="2" w:name="_Toc496175932"/>
      <w:r w:rsidRPr="00926FCB">
        <w:rPr>
          <w:rFonts w:ascii="仿宋" w:eastAsia="仿宋" w:hAnsi="仿宋" w:cs="Times New Roman" w:hint="eastAsia"/>
          <w:sz w:val="24"/>
          <w:szCs w:val="24"/>
        </w:rPr>
        <w:t>1.1本章内容是根据采购项目的实际需求制定的。</w:t>
      </w:r>
    </w:p>
    <w:p w14:paraId="354A832A" w14:textId="77777777" w:rsidR="00926FCB" w:rsidRPr="00926FCB" w:rsidRDefault="00926FCB" w:rsidP="00926FCB">
      <w:pPr>
        <w:spacing w:line="40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 w:hint="eastAsia"/>
          <w:sz w:val="24"/>
          <w:szCs w:val="24"/>
        </w:rPr>
        <w:t>1</w:t>
      </w:r>
      <w:r w:rsidRPr="00926FCB">
        <w:rPr>
          <w:rFonts w:ascii="仿宋" w:eastAsia="仿宋" w:hAnsi="仿宋" w:cs="Times New Roman"/>
          <w:sz w:val="24"/>
          <w:szCs w:val="24"/>
        </w:rPr>
        <w:t>.2</w:t>
      </w:r>
      <w:r w:rsidRPr="00926FCB">
        <w:rPr>
          <w:rFonts w:ascii="仿宋" w:eastAsia="仿宋" w:hAnsi="仿宋" w:cs="Times New Roman" w:hint="eastAsia"/>
          <w:sz w:val="24"/>
          <w:szCs w:val="24"/>
        </w:rPr>
        <w:t>本项目共分为</w:t>
      </w:r>
      <w:r w:rsidRPr="00926FCB">
        <w:rPr>
          <w:rFonts w:ascii="仿宋" w:eastAsia="仿宋" w:hAnsi="仿宋" w:cs="Times New Roman" w:hint="eastAsia"/>
          <w:sz w:val="24"/>
          <w:szCs w:val="24"/>
          <w:u w:val="single"/>
        </w:rPr>
        <w:t>1</w:t>
      </w:r>
      <w:r w:rsidRPr="00926FCB">
        <w:rPr>
          <w:rFonts w:ascii="仿宋" w:eastAsia="仿宋" w:hAnsi="仿宋" w:cs="Times New Roman" w:hint="eastAsia"/>
          <w:sz w:val="24"/>
          <w:szCs w:val="24"/>
        </w:rPr>
        <w:t>个包进行招标。</w:t>
      </w:r>
    </w:p>
    <w:p w14:paraId="0696B1FD" w14:textId="77777777" w:rsidR="00926FCB" w:rsidRPr="00926FCB" w:rsidRDefault="00926FCB" w:rsidP="00926FCB">
      <w:pPr>
        <w:spacing w:line="40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 w:hint="eastAsia"/>
          <w:sz w:val="24"/>
          <w:szCs w:val="24"/>
        </w:rPr>
        <w:t>1.3属于信息网络开发服务的，投标人中标后应向采购人提供源代码以及文档等技术资料。</w:t>
      </w:r>
      <w:bookmarkEnd w:id="1"/>
    </w:p>
    <w:p w14:paraId="5E36D9B6" w14:textId="77777777" w:rsidR="00926FCB" w:rsidRPr="00926FCB" w:rsidRDefault="00926FCB" w:rsidP="00926FCB">
      <w:pPr>
        <w:spacing w:afterLines="50" w:after="156" w:line="360" w:lineRule="auto"/>
        <w:ind w:firstLineChars="200" w:firstLine="560"/>
        <w:outlineLvl w:val="2"/>
        <w:rPr>
          <w:rFonts w:ascii="楷体" w:eastAsia="楷体" w:hAnsi="楷体" w:cs="Times New Roman"/>
          <w:sz w:val="28"/>
          <w:szCs w:val="28"/>
        </w:rPr>
      </w:pPr>
      <w:bookmarkStart w:id="3" w:name="_Toc29892089"/>
      <w:r w:rsidRPr="00926FCB">
        <w:rPr>
          <w:rFonts w:ascii="楷体" w:eastAsia="楷体" w:hAnsi="楷体" w:cs="Times New Roman" w:hint="eastAsia"/>
          <w:sz w:val="28"/>
          <w:szCs w:val="28"/>
        </w:rPr>
        <w:t>2.服务要求（包括附件、图纸等）</w:t>
      </w:r>
      <w:bookmarkEnd w:id="2"/>
      <w:bookmarkEnd w:id="3"/>
    </w:p>
    <w:p w14:paraId="794B1669" w14:textId="059B5D08" w:rsidR="00926FCB" w:rsidRPr="00926FCB" w:rsidRDefault="00926FCB" w:rsidP="00926FCB">
      <w:pPr>
        <w:spacing w:line="360" w:lineRule="auto"/>
        <w:ind w:firstLineChars="236" w:firstLine="566"/>
        <w:rPr>
          <w:rFonts w:ascii="仿宋" w:eastAsia="仿宋" w:hAnsi="仿宋" w:cs="Times New Roman"/>
          <w:sz w:val="24"/>
          <w:szCs w:val="24"/>
        </w:rPr>
      </w:pPr>
      <w:bookmarkStart w:id="4" w:name="word_306"/>
      <w:bookmarkEnd w:id="4"/>
      <w:r w:rsidRPr="00926FCB">
        <w:rPr>
          <w:rFonts w:ascii="仿宋" w:eastAsia="仿宋" w:hAnsi="仿宋" w:cs="Times New Roman" w:hint="eastAsia"/>
          <w:sz w:val="24"/>
          <w:szCs w:val="24"/>
        </w:rPr>
        <w:t>满足《呼和浩特市土默特左旗国土空间总体规划（20</w:t>
      </w:r>
      <w:r w:rsidRPr="00926FCB">
        <w:rPr>
          <w:rFonts w:ascii="仿宋" w:eastAsia="仿宋" w:hAnsi="仿宋" w:cs="Times New Roman"/>
          <w:sz w:val="24"/>
          <w:szCs w:val="24"/>
        </w:rPr>
        <w:t>21</w:t>
      </w:r>
      <w:r w:rsidRPr="00926FCB">
        <w:rPr>
          <w:rFonts w:ascii="仿宋" w:eastAsia="仿宋" w:hAnsi="仿宋" w:cs="Times New Roman" w:hint="eastAsia"/>
          <w:sz w:val="24"/>
          <w:szCs w:val="24"/>
        </w:rPr>
        <w:t>-2035年）》编制要求和《内蒙古自治区苏木乡镇国土空间编制导则（试行）》有关要求，编制《内蒙古呼和浩特敕勒川乳业开发区国土空间规划（202</w:t>
      </w:r>
      <w:r>
        <w:rPr>
          <w:rFonts w:ascii="仿宋" w:eastAsia="仿宋" w:hAnsi="仿宋" w:cs="Times New Roman"/>
          <w:sz w:val="24"/>
          <w:szCs w:val="24"/>
        </w:rPr>
        <w:t>3</w:t>
      </w:r>
      <w:r w:rsidRPr="00926FCB">
        <w:rPr>
          <w:rFonts w:ascii="仿宋" w:eastAsia="仿宋" w:hAnsi="仿宋" w:cs="Times New Roman" w:hint="eastAsia"/>
          <w:sz w:val="24"/>
          <w:szCs w:val="24"/>
        </w:rPr>
        <w:t>-2035年）》。</w:t>
      </w:r>
    </w:p>
    <w:p w14:paraId="50A7A2E5" w14:textId="77777777" w:rsidR="00926FCB" w:rsidRPr="00926FCB" w:rsidRDefault="00926FCB" w:rsidP="00926FCB">
      <w:pPr>
        <w:spacing w:line="360" w:lineRule="auto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 w:hint="eastAsia"/>
          <w:sz w:val="24"/>
          <w:szCs w:val="24"/>
        </w:rPr>
        <w:t>1.规划范围</w:t>
      </w:r>
    </w:p>
    <w:p w14:paraId="4A2102A2" w14:textId="77777777" w:rsidR="00926FCB" w:rsidRPr="00926FCB" w:rsidRDefault="00926FCB" w:rsidP="00926FCB">
      <w:pPr>
        <w:spacing w:line="360" w:lineRule="auto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 w:hint="eastAsia"/>
          <w:sz w:val="24"/>
          <w:szCs w:val="24"/>
        </w:rPr>
        <w:t>规划范围如图，面积约</w:t>
      </w:r>
      <w:r w:rsidRPr="00926FCB">
        <w:rPr>
          <w:rFonts w:ascii="仿宋" w:eastAsia="仿宋" w:hAnsi="仿宋" w:cs="Times New Roman"/>
          <w:sz w:val="24"/>
          <w:szCs w:val="24"/>
        </w:rPr>
        <w:t>21.5</w:t>
      </w:r>
      <w:r w:rsidRPr="00926FCB">
        <w:rPr>
          <w:rFonts w:ascii="仿宋" w:eastAsia="仿宋" w:hAnsi="仿宋" w:cs="Times New Roman" w:hint="eastAsia"/>
          <w:sz w:val="24"/>
          <w:szCs w:val="24"/>
        </w:rPr>
        <w:t>平方公里。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26FCB" w:rsidRPr="00926FCB" w14:paraId="30CE8E58" w14:textId="77777777" w:rsidTr="00AC5FB1">
        <w:trPr>
          <w:jc w:val="center"/>
        </w:trPr>
        <w:tc>
          <w:tcPr>
            <w:tcW w:w="9060" w:type="dxa"/>
            <w:vAlign w:val="center"/>
          </w:tcPr>
          <w:p w14:paraId="6F6ED9B7" w14:textId="77777777" w:rsidR="00926FCB" w:rsidRPr="00926FCB" w:rsidRDefault="00926FCB" w:rsidP="00926FC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26FCB">
              <w:rPr>
                <w:rFonts w:ascii="仿宋" w:eastAsia="仿宋" w:hAnsi="仿宋"/>
                <w:noProof/>
                <w:sz w:val="24"/>
                <w:szCs w:val="24"/>
              </w:rPr>
              <w:drawing>
                <wp:inline distT="0" distB="0" distL="0" distR="0" wp14:anchorId="71993589" wp14:editId="1DA7BD5C">
                  <wp:extent cx="5040000" cy="3559674"/>
                  <wp:effectExtent l="0" t="0" r="8255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23042719153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0" cy="3559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A32BA8" w14:textId="77777777" w:rsidR="00926FCB" w:rsidRPr="00926FCB" w:rsidRDefault="00926FCB" w:rsidP="00926FC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26FCB">
              <w:rPr>
                <w:rFonts w:ascii="仿宋" w:eastAsia="仿宋" w:hAnsi="仿宋"/>
                <w:sz w:val="24"/>
                <w:szCs w:val="24"/>
              </w:rPr>
              <w:t>规划范围示意图</w:t>
            </w:r>
          </w:p>
        </w:tc>
      </w:tr>
    </w:tbl>
    <w:p w14:paraId="7F37964A" w14:textId="77777777" w:rsidR="00926FCB" w:rsidRPr="00926FCB" w:rsidRDefault="00926FCB" w:rsidP="00926FCB">
      <w:pPr>
        <w:spacing w:line="360" w:lineRule="auto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 w:hint="eastAsia"/>
          <w:sz w:val="24"/>
          <w:szCs w:val="24"/>
        </w:rPr>
        <w:t>2.时间进度安排</w:t>
      </w:r>
    </w:p>
    <w:p w14:paraId="128D8A4C" w14:textId="77777777" w:rsidR="00926FCB" w:rsidRPr="00926FCB" w:rsidRDefault="00926FCB" w:rsidP="00926FCB">
      <w:pPr>
        <w:spacing w:line="360" w:lineRule="auto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/>
          <w:sz w:val="24"/>
          <w:szCs w:val="24"/>
        </w:rPr>
        <w:t>具体时间进度以上级部门工作要求为准。</w:t>
      </w:r>
    </w:p>
    <w:p w14:paraId="5AFF515C" w14:textId="77777777" w:rsidR="00926FCB" w:rsidRPr="00926FCB" w:rsidRDefault="00926FCB" w:rsidP="00926FCB">
      <w:pPr>
        <w:spacing w:line="360" w:lineRule="auto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 w:hint="eastAsia"/>
          <w:sz w:val="24"/>
          <w:szCs w:val="24"/>
        </w:rPr>
        <w:t>3.工作内容</w:t>
      </w:r>
    </w:p>
    <w:p w14:paraId="0FE128C4" w14:textId="77777777" w:rsidR="00926FCB" w:rsidRPr="00926FCB" w:rsidRDefault="00926FCB" w:rsidP="007360BC">
      <w:pPr>
        <w:spacing w:line="440" w:lineRule="exact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/>
          <w:sz w:val="24"/>
          <w:szCs w:val="24"/>
        </w:rPr>
        <w:lastRenderedPageBreak/>
        <w:t>3.1</w:t>
      </w:r>
      <w:r w:rsidRPr="00926FCB">
        <w:rPr>
          <w:rFonts w:ascii="仿宋" w:eastAsia="仿宋" w:hAnsi="仿宋" w:cs="Times New Roman" w:hint="eastAsia"/>
          <w:sz w:val="24"/>
          <w:szCs w:val="24"/>
        </w:rPr>
        <w:t>分析评估：摸清家底，识别现状特征与问题</w:t>
      </w:r>
    </w:p>
    <w:p w14:paraId="4BE5A1B9" w14:textId="77777777" w:rsidR="00926FCB" w:rsidRPr="00926FCB" w:rsidRDefault="00926FCB" w:rsidP="007360BC">
      <w:pPr>
        <w:spacing w:line="440" w:lineRule="exact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 w:hint="eastAsia"/>
          <w:sz w:val="24"/>
          <w:szCs w:val="24"/>
        </w:rPr>
        <w:t>分析内蒙古呼和浩特敕勒川乳业开发区土地利用底图底数、人口与经济社会情况等现状条件，摸清家底。</w:t>
      </w:r>
    </w:p>
    <w:p w14:paraId="437A0ABA" w14:textId="77777777" w:rsidR="00926FCB" w:rsidRPr="00926FCB" w:rsidRDefault="00926FCB" w:rsidP="007360BC">
      <w:pPr>
        <w:spacing w:line="440" w:lineRule="exact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 w:hint="eastAsia"/>
          <w:sz w:val="24"/>
          <w:szCs w:val="24"/>
        </w:rPr>
        <w:t>重点分析资源环境承载能力和国土空间开发适宜性评价、国土空间开发保护现状情况，明确开发区发展存在的主要问题。</w:t>
      </w:r>
    </w:p>
    <w:p w14:paraId="3BFA5737" w14:textId="77777777" w:rsidR="00926FCB" w:rsidRPr="00926FCB" w:rsidRDefault="00926FCB" w:rsidP="007360BC">
      <w:pPr>
        <w:spacing w:line="440" w:lineRule="exact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/>
          <w:sz w:val="24"/>
          <w:szCs w:val="24"/>
        </w:rPr>
        <w:t>3.2</w:t>
      </w:r>
      <w:proofErr w:type="gramStart"/>
      <w:r w:rsidRPr="00926FCB">
        <w:rPr>
          <w:rFonts w:ascii="仿宋" w:eastAsia="仿宋" w:hAnsi="仿宋" w:cs="Times New Roman" w:hint="eastAsia"/>
          <w:sz w:val="24"/>
          <w:szCs w:val="24"/>
        </w:rPr>
        <w:t>上位与</w:t>
      </w:r>
      <w:proofErr w:type="gramEnd"/>
      <w:r w:rsidRPr="00926FCB">
        <w:rPr>
          <w:rFonts w:ascii="仿宋" w:eastAsia="仿宋" w:hAnsi="仿宋" w:cs="Times New Roman" w:hint="eastAsia"/>
          <w:sz w:val="24"/>
          <w:szCs w:val="24"/>
        </w:rPr>
        <w:t>相关规划：归纳相关规划依据</w:t>
      </w:r>
    </w:p>
    <w:p w14:paraId="0DF0A410" w14:textId="77777777" w:rsidR="00926FCB" w:rsidRPr="00926FCB" w:rsidRDefault="00926FCB" w:rsidP="007360BC">
      <w:pPr>
        <w:spacing w:line="440" w:lineRule="exact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 w:hint="eastAsia"/>
          <w:sz w:val="24"/>
          <w:szCs w:val="24"/>
        </w:rPr>
        <w:t>衔接、反馈上位及相关规划，明确上位规划对内蒙古呼和浩特敕勒川乳业开发区建设要求。</w:t>
      </w:r>
    </w:p>
    <w:p w14:paraId="63D2AD70" w14:textId="77777777" w:rsidR="00926FCB" w:rsidRPr="00926FCB" w:rsidRDefault="00926FCB" w:rsidP="007360BC">
      <w:pPr>
        <w:spacing w:line="440" w:lineRule="exact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/>
          <w:sz w:val="24"/>
          <w:szCs w:val="24"/>
        </w:rPr>
        <w:t>3.3</w:t>
      </w:r>
      <w:r w:rsidRPr="00926FCB">
        <w:rPr>
          <w:rFonts w:ascii="仿宋" w:eastAsia="仿宋" w:hAnsi="仿宋" w:cs="Times New Roman" w:hint="eastAsia"/>
          <w:sz w:val="24"/>
          <w:szCs w:val="24"/>
        </w:rPr>
        <w:t>区域协同：整合产区、镇区、城区，促进区域协同发展</w:t>
      </w:r>
    </w:p>
    <w:p w14:paraId="2454814C" w14:textId="77777777" w:rsidR="00926FCB" w:rsidRPr="00926FCB" w:rsidRDefault="00926FCB" w:rsidP="007360BC">
      <w:pPr>
        <w:spacing w:line="440" w:lineRule="exact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 w:hint="eastAsia"/>
          <w:sz w:val="24"/>
          <w:szCs w:val="24"/>
        </w:rPr>
        <w:t>强化开发区对台</w:t>
      </w:r>
      <w:proofErr w:type="gramStart"/>
      <w:r w:rsidRPr="00926FCB">
        <w:rPr>
          <w:rFonts w:ascii="仿宋" w:eastAsia="仿宋" w:hAnsi="仿宋" w:cs="Times New Roman" w:hint="eastAsia"/>
          <w:sz w:val="24"/>
          <w:szCs w:val="24"/>
        </w:rPr>
        <w:t>阁牧镇</w:t>
      </w:r>
      <w:proofErr w:type="gramEnd"/>
      <w:r w:rsidRPr="00926FCB">
        <w:rPr>
          <w:rFonts w:ascii="仿宋" w:eastAsia="仿宋" w:hAnsi="仿宋" w:cs="Times New Roman" w:hint="eastAsia"/>
          <w:sz w:val="24"/>
          <w:szCs w:val="24"/>
        </w:rPr>
        <w:t>、土默特左旗辐射带动能力，引导相关产业、公共服务、基础设施向开发区周边聚集，加强区域生态环境的联保联控，构建区域协同一体的基础设施体系。</w:t>
      </w:r>
    </w:p>
    <w:p w14:paraId="58F111C1" w14:textId="77777777" w:rsidR="00926FCB" w:rsidRPr="00926FCB" w:rsidRDefault="00926FCB" w:rsidP="007360BC">
      <w:pPr>
        <w:spacing w:line="440" w:lineRule="exact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 w:hint="eastAsia"/>
          <w:sz w:val="24"/>
          <w:szCs w:val="24"/>
        </w:rPr>
        <w:t>加强开发区与内蒙古自治区内外、呼和浩特市内及周边区域城市地区之间的合作，实现区域产业资源共享、优势互补、互动发展，提升开发区知名度和竞争力。</w:t>
      </w:r>
    </w:p>
    <w:p w14:paraId="33430E74" w14:textId="77777777" w:rsidR="00926FCB" w:rsidRPr="00926FCB" w:rsidRDefault="00926FCB" w:rsidP="007360BC">
      <w:pPr>
        <w:spacing w:line="440" w:lineRule="exact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/>
          <w:sz w:val="24"/>
          <w:szCs w:val="24"/>
        </w:rPr>
        <w:t>3.4</w:t>
      </w:r>
      <w:r w:rsidRPr="00926FCB">
        <w:rPr>
          <w:rFonts w:ascii="仿宋" w:eastAsia="仿宋" w:hAnsi="仿宋" w:cs="Times New Roman" w:hint="eastAsia"/>
          <w:sz w:val="24"/>
          <w:szCs w:val="24"/>
        </w:rPr>
        <w:t>产业发展：加强开发区上下游产业链条构建和产业空间的统筹布局</w:t>
      </w:r>
    </w:p>
    <w:p w14:paraId="2E8E3CDA" w14:textId="77777777" w:rsidR="00926FCB" w:rsidRPr="00926FCB" w:rsidRDefault="00926FCB" w:rsidP="007360BC">
      <w:pPr>
        <w:spacing w:line="440" w:lineRule="exact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 w:hint="eastAsia"/>
          <w:sz w:val="24"/>
          <w:szCs w:val="24"/>
        </w:rPr>
        <w:t>梳理内蒙古呼和浩特敕勒川乳业开发区现状产业结构及特征，研究开发区总体产业发展思路。</w:t>
      </w:r>
    </w:p>
    <w:p w14:paraId="21C14054" w14:textId="77777777" w:rsidR="00926FCB" w:rsidRPr="00926FCB" w:rsidRDefault="00926FCB" w:rsidP="007360BC">
      <w:pPr>
        <w:spacing w:line="440" w:lineRule="exact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 w:hint="eastAsia"/>
          <w:sz w:val="24"/>
          <w:szCs w:val="24"/>
        </w:rPr>
        <w:t>梳理上位规划，分析乳业开发区的产业发展条件，对</w:t>
      </w:r>
      <w:proofErr w:type="gramStart"/>
      <w:r w:rsidRPr="00926FCB">
        <w:rPr>
          <w:rFonts w:ascii="仿宋" w:eastAsia="仿宋" w:hAnsi="仿宋" w:cs="Times New Roman" w:hint="eastAsia"/>
          <w:sz w:val="24"/>
          <w:szCs w:val="24"/>
        </w:rPr>
        <w:t>标国际</w:t>
      </w:r>
      <w:proofErr w:type="gramEnd"/>
      <w:r w:rsidRPr="00926FCB">
        <w:rPr>
          <w:rFonts w:ascii="仿宋" w:eastAsia="仿宋" w:hAnsi="仿宋" w:cs="Times New Roman" w:hint="eastAsia"/>
          <w:sz w:val="24"/>
          <w:szCs w:val="24"/>
        </w:rPr>
        <w:t>先进经验，提出乳业开发区的发展定位和产业体系。</w:t>
      </w:r>
    </w:p>
    <w:p w14:paraId="0DCD94C9" w14:textId="77777777" w:rsidR="00926FCB" w:rsidRPr="00926FCB" w:rsidRDefault="00926FCB" w:rsidP="007360BC">
      <w:pPr>
        <w:spacing w:line="440" w:lineRule="exact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 w:hint="eastAsia"/>
          <w:sz w:val="24"/>
          <w:szCs w:val="24"/>
        </w:rPr>
        <w:t>基于龙头企业伊利集团发展优势和现状企业，紧抓产业资源并结合产业发展趋势，细化主导产业发展方向，延伸乳业上下游产业链条并开拓其新兴产业业态，推动形成产业聚集效应，同时谋划乳业产业与当地食品产业、新能源汽车产业的协同发展。</w:t>
      </w:r>
    </w:p>
    <w:p w14:paraId="22D19453" w14:textId="77777777" w:rsidR="00926FCB" w:rsidRPr="00926FCB" w:rsidRDefault="00926FCB" w:rsidP="007360BC">
      <w:pPr>
        <w:spacing w:line="440" w:lineRule="exact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 w:hint="eastAsia"/>
          <w:sz w:val="24"/>
          <w:szCs w:val="24"/>
        </w:rPr>
        <w:t>根据产业发展定位和产业体系落实产业空间布局和重点项目；围绕主导产业方向，合理安排产业重点项目布局、招商目录。</w:t>
      </w:r>
    </w:p>
    <w:p w14:paraId="5D33FB8F" w14:textId="77777777" w:rsidR="00926FCB" w:rsidRPr="00926FCB" w:rsidRDefault="00926FCB" w:rsidP="007360BC">
      <w:pPr>
        <w:spacing w:line="440" w:lineRule="exact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/>
          <w:sz w:val="24"/>
          <w:szCs w:val="24"/>
        </w:rPr>
        <w:t>3.5</w:t>
      </w:r>
      <w:r w:rsidRPr="00926FCB">
        <w:rPr>
          <w:rFonts w:ascii="仿宋" w:eastAsia="仿宋" w:hAnsi="仿宋" w:cs="Times New Roman" w:hint="eastAsia"/>
          <w:sz w:val="24"/>
          <w:szCs w:val="24"/>
        </w:rPr>
        <w:t>目标定位：突出区域职能提升和产业链条延伸</w:t>
      </w:r>
    </w:p>
    <w:p w14:paraId="2E467AC3" w14:textId="77777777" w:rsidR="00926FCB" w:rsidRPr="00926FCB" w:rsidRDefault="00926FCB" w:rsidP="007360BC">
      <w:pPr>
        <w:spacing w:line="440" w:lineRule="exact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 w:hint="eastAsia"/>
          <w:sz w:val="24"/>
          <w:szCs w:val="24"/>
        </w:rPr>
        <w:t>依据内蒙古呼和浩特敕勒川乳业开发区产业基础、政策优势、区位条件，合理论证开发区在土默特左旗、呼和浩特市乃至内蒙古自治区发挥的产业承接作用，明确其总体定位。</w:t>
      </w:r>
    </w:p>
    <w:p w14:paraId="60E04E33" w14:textId="77777777" w:rsidR="00926FCB" w:rsidRPr="00926FCB" w:rsidRDefault="00926FCB" w:rsidP="007360BC">
      <w:pPr>
        <w:spacing w:line="440" w:lineRule="exact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 w:hint="eastAsia"/>
          <w:sz w:val="24"/>
          <w:szCs w:val="24"/>
        </w:rPr>
        <w:t>依据开发区发展目标以及资源管理和空间管控要求，落实上位规划下发约</w:t>
      </w:r>
      <w:r w:rsidRPr="00926FCB">
        <w:rPr>
          <w:rFonts w:ascii="仿宋" w:eastAsia="仿宋" w:hAnsi="仿宋" w:cs="Times New Roman" w:hint="eastAsia"/>
          <w:sz w:val="24"/>
          <w:szCs w:val="24"/>
        </w:rPr>
        <w:lastRenderedPageBreak/>
        <w:t>束性和预期性指标，作为指导规划实施、评估以及动态维护的重要抓手。</w:t>
      </w:r>
    </w:p>
    <w:p w14:paraId="1824DFAF" w14:textId="77777777" w:rsidR="00926FCB" w:rsidRPr="00926FCB" w:rsidRDefault="00926FCB" w:rsidP="007360BC">
      <w:pPr>
        <w:spacing w:line="440" w:lineRule="exact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/>
          <w:sz w:val="24"/>
          <w:szCs w:val="24"/>
        </w:rPr>
        <w:t>3.6</w:t>
      </w:r>
      <w:r w:rsidRPr="00926FCB">
        <w:rPr>
          <w:rFonts w:ascii="仿宋" w:eastAsia="仿宋" w:hAnsi="仿宋" w:cs="Times New Roman" w:hint="eastAsia"/>
          <w:sz w:val="24"/>
          <w:szCs w:val="24"/>
        </w:rPr>
        <w:t>景观环境：以提升城市吸引力为目标的环境品质提升</w:t>
      </w:r>
    </w:p>
    <w:p w14:paraId="59A5F84A" w14:textId="77777777" w:rsidR="00926FCB" w:rsidRPr="00926FCB" w:rsidRDefault="00926FCB" w:rsidP="007360BC">
      <w:pPr>
        <w:spacing w:line="440" w:lineRule="exact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 w:hint="eastAsia"/>
          <w:sz w:val="24"/>
          <w:szCs w:val="24"/>
        </w:rPr>
        <w:t>依托开发区自然本地和山水格局，整合开发区国土空间魅力景观及历史人文特色资源，构建开发区蓝绿空间体系。依托蓝绿空间，布局城市公共服务功能，凝聚空间活力，塑造城市形态。</w:t>
      </w:r>
    </w:p>
    <w:p w14:paraId="4F33262B" w14:textId="77777777" w:rsidR="00926FCB" w:rsidRPr="00926FCB" w:rsidRDefault="00926FCB" w:rsidP="007360BC">
      <w:pPr>
        <w:spacing w:line="440" w:lineRule="exact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/>
          <w:sz w:val="24"/>
          <w:szCs w:val="24"/>
        </w:rPr>
        <w:t>3.7</w:t>
      </w:r>
      <w:r w:rsidRPr="00926FCB">
        <w:rPr>
          <w:rFonts w:ascii="仿宋" w:eastAsia="仿宋" w:hAnsi="仿宋" w:cs="Times New Roman" w:hint="eastAsia"/>
          <w:sz w:val="24"/>
          <w:szCs w:val="24"/>
        </w:rPr>
        <w:t>空间布局：探索宜</w:t>
      </w:r>
      <w:proofErr w:type="gramStart"/>
      <w:r w:rsidRPr="00926FCB">
        <w:rPr>
          <w:rFonts w:ascii="仿宋" w:eastAsia="仿宋" w:hAnsi="仿宋" w:cs="Times New Roman" w:hint="eastAsia"/>
          <w:sz w:val="24"/>
          <w:szCs w:val="24"/>
        </w:rPr>
        <w:t>居宜业、产居</w:t>
      </w:r>
      <w:proofErr w:type="gramEnd"/>
      <w:r w:rsidRPr="00926FCB">
        <w:rPr>
          <w:rFonts w:ascii="仿宋" w:eastAsia="仿宋" w:hAnsi="仿宋" w:cs="Times New Roman" w:hint="eastAsia"/>
          <w:sz w:val="24"/>
          <w:szCs w:val="24"/>
        </w:rPr>
        <w:t>融合空间支撑方案</w:t>
      </w:r>
    </w:p>
    <w:p w14:paraId="784C200D" w14:textId="77777777" w:rsidR="00926FCB" w:rsidRPr="00926FCB" w:rsidRDefault="00926FCB" w:rsidP="007360BC">
      <w:pPr>
        <w:spacing w:line="440" w:lineRule="exact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 w:hint="eastAsia"/>
          <w:sz w:val="24"/>
          <w:szCs w:val="24"/>
        </w:rPr>
        <w:t>挖掘低效工业用地和僵尸企业，梳理批供用地，充分利用区位优势、政策优势，适当拓展上下游产业链条，并对各类产业的用地需求进行测算，合理布局产业空间。</w:t>
      </w:r>
    </w:p>
    <w:p w14:paraId="1B768A29" w14:textId="77777777" w:rsidR="00926FCB" w:rsidRPr="00926FCB" w:rsidRDefault="00926FCB" w:rsidP="007360BC">
      <w:pPr>
        <w:spacing w:line="440" w:lineRule="exact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 w:hint="eastAsia"/>
          <w:sz w:val="24"/>
          <w:szCs w:val="24"/>
        </w:rPr>
        <w:t>根据上位规划确定的总体格局和三线划定等，梳理现状限制性要素，落实底线管控要求，合理安排各项建设用地。</w:t>
      </w:r>
    </w:p>
    <w:p w14:paraId="2D9F0F0D" w14:textId="77777777" w:rsidR="00926FCB" w:rsidRPr="00926FCB" w:rsidRDefault="00926FCB" w:rsidP="007360BC">
      <w:pPr>
        <w:spacing w:line="440" w:lineRule="exact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/>
          <w:sz w:val="24"/>
          <w:szCs w:val="24"/>
        </w:rPr>
        <w:t>3.8</w:t>
      </w:r>
      <w:r w:rsidRPr="00926FCB">
        <w:rPr>
          <w:rFonts w:ascii="仿宋" w:eastAsia="仿宋" w:hAnsi="仿宋" w:cs="Times New Roman" w:hint="eastAsia"/>
          <w:sz w:val="24"/>
          <w:szCs w:val="24"/>
        </w:rPr>
        <w:t>支撑体系：融入区域发展，建设韧性城市</w:t>
      </w:r>
    </w:p>
    <w:p w14:paraId="4A113C7D" w14:textId="77777777" w:rsidR="00926FCB" w:rsidRPr="00926FCB" w:rsidRDefault="00926FCB" w:rsidP="007360BC">
      <w:pPr>
        <w:spacing w:line="440" w:lineRule="exact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 w:hint="eastAsia"/>
          <w:sz w:val="24"/>
          <w:szCs w:val="24"/>
        </w:rPr>
        <w:t>提出交通发展目标与策略，规划道路交通系统，明确客货运交通设施的空间布局。</w:t>
      </w:r>
    </w:p>
    <w:p w14:paraId="124A6E4A" w14:textId="77777777" w:rsidR="00926FCB" w:rsidRPr="00926FCB" w:rsidRDefault="00926FCB" w:rsidP="007360BC">
      <w:pPr>
        <w:spacing w:line="440" w:lineRule="exact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 w:hint="eastAsia"/>
          <w:sz w:val="24"/>
          <w:szCs w:val="24"/>
        </w:rPr>
        <w:t>完善开发区给排水、供热、供电等基础设施建设，满足开发区发展需求与安全防护要求。</w:t>
      </w:r>
    </w:p>
    <w:p w14:paraId="4C75CF6B" w14:textId="77777777" w:rsidR="00926FCB" w:rsidRPr="00926FCB" w:rsidRDefault="00926FCB" w:rsidP="007360BC">
      <w:pPr>
        <w:spacing w:line="440" w:lineRule="exact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 w:hint="eastAsia"/>
          <w:sz w:val="24"/>
          <w:szCs w:val="24"/>
        </w:rPr>
        <w:t>完善各级各类公共服务设施，补齐公共服务短板，提升开发区整体环境品质。</w:t>
      </w:r>
    </w:p>
    <w:p w14:paraId="5EA32119" w14:textId="77777777" w:rsidR="00926FCB" w:rsidRPr="00926FCB" w:rsidRDefault="00926FCB" w:rsidP="007360BC">
      <w:pPr>
        <w:spacing w:line="440" w:lineRule="exact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/>
          <w:sz w:val="24"/>
          <w:szCs w:val="24"/>
        </w:rPr>
        <w:t>3.9</w:t>
      </w:r>
      <w:r w:rsidRPr="00926FCB">
        <w:rPr>
          <w:rFonts w:ascii="仿宋" w:eastAsia="仿宋" w:hAnsi="仿宋" w:cs="Times New Roman" w:hint="eastAsia"/>
          <w:sz w:val="24"/>
          <w:szCs w:val="24"/>
        </w:rPr>
        <w:t>实施传导：明确规划传导机制，提出近期建设项目</w:t>
      </w:r>
    </w:p>
    <w:p w14:paraId="3339A522" w14:textId="77777777" w:rsidR="00926FCB" w:rsidRPr="00926FCB" w:rsidRDefault="00926FCB" w:rsidP="007360BC">
      <w:pPr>
        <w:spacing w:line="440" w:lineRule="exact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 w:hint="eastAsia"/>
          <w:sz w:val="24"/>
          <w:szCs w:val="24"/>
        </w:rPr>
        <w:t>提出规划管控和政策保障措施，完善规划实施传导机制，明确近期重大交通设施、市政公用设施、城市公共服务设施等建设项目。</w:t>
      </w:r>
    </w:p>
    <w:p w14:paraId="4580D627" w14:textId="77777777" w:rsidR="00926FCB" w:rsidRPr="00926FCB" w:rsidRDefault="00926FCB" w:rsidP="00926FCB">
      <w:pPr>
        <w:spacing w:afterLines="50" w:after="156" w:line="360" w:lineRule="auto"/>
        <w:ind w:firstLineChars="200" w:firstLine="560"/>
        <w:outlineLvl w:val="2"/>
        <w:rPr>
          <w:rFonts w:ascii="楷体" w:eastAsia="楷体" w:hAnsi="楷体" w:cs="Times New Roman"/>
          <w:sz w:val="28"/>
          <w:szCs w:val="28"/>
        </w:rPr>
      </w:pPr>
      <w:r w:rsidRPr="00926FCB">
        <w:rPr>
          <w:rFonts w:ascii="楷体" w:eastAsia="楷体" w:hAnsi="楷体" w:cs="Times New Roman" w:hint="eastAsia"/>
          <w:sz w:val="28"/>
          <w:szCs w:val="28"/>
        </w:rPr>
        <w:t>★</w:t>
      </w:r>
      <w:r w:rsidRPr="00926FCB">
        <w:rPr>
          <w:rFonts w:ascii="楷体" w:eastAsia="楷体" w:hAnsi="楷体" w:cs="Times New Roman"/>
          <w:sz w:val="28"/>
          <w:szCs w:val="28"/>
        </w:rPr>
        <w:t>3</w:t>
      </w:r>
      <w:r w:rsidRPr="00926FCB">
        <w:rPr>
          <w:rFonts w:ascii="楷体" w:eastAsia="楷体" w:hAnsi="楷体" w:cs="Times New Roman" w:hint="eastAsia"/>
          <w:sz w:val="28"/>
          <w:szCs w:val="28"/>
        </w:rPr>
        <w:t>.成果要求</w:t>
      </w:r>
    </w:p>
    <w:p w14:paraId="7AA476F9" w14:textId="77777777" w:rsidR="00926FCB" w:rsidRPr="00926FCB" w:rsidRDefault="00926FCB" w:rsidP="00926FCB">
      <w:pPr>
        <w:spacing w:line="360" w:lineRule="auto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 w:hint="eastAsia"/>
          <w:sz w:val="24"/>
          <w:szCs w:val="24"/>
        </w:rPr>
        <w:t>规划成果包括规划文本、规划图件、数据库和附件等；其中规划附件包括规划说明、产业发展专题研究报告及其他相关材料。</w:t>
      </w:r>
    </w:p>
    <w:p w14:paraId="12752260" w14:textId="77777777" w:rsidR="00926FCB" w:rsidRPr="00926FCB" w:rsidRDefault="00926FCB" w:rsidP="00926FCB">
      <w:pPr>
        <w:spacing w:line="360" w:lineRule="auto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 w:hint="eastAsia"/>
          <w:sz w:val="24"/>
          <w:szCs w:val="24"/>
        </w:rPr>
        <w:t>规划成果需满足内蒙古自治区国土空间规划编制相关工作要求，如存在重大技术内容变化，双方友好协商后确定。</w:t>
      </w:r>
    </w:p>
    <w:p w14:paraId="32B4705A" w14:textId="77777777" w:rsidR="00926FCB" w:rsidRPr="00926FCB" w:rsidRDefault="00926FCB" w:rsidP="00926FCB">
      <w:pPr>
        <w:spacing w:afterLines="50" w:after="156" w:line="360" w:lineRule="auto"/>
        <w:ind w:firstLineChars="200" w:firstLine="560"/>
        <w:outlineLvl w:val="2"/>
        <w:rPr>
          <w:rFonts w:ascii="楷体" w:eastAsia="楷体" w:hAnsi="楷体" w:cs="Times New Roman"/>
          <w:sz w:val="28"/>
          <w:szCs w:val="28"/>
        </w:rPr>
      </w:pPr>
      <w:r w:rsidRPr="00926FCB">
        <w:rPr>
          <w:rFonts w:ascii="楷体" w:eastAsia="楷体" w:hAnsi="楷体" w:cs="Times New Roman"/>
          <w:sz w:val="28"/>
          <w:szCs w:val="28"/>
        </w:rPr>
        <w:t>4</w:t>
      </w:r>
      <w:r w:rsidRPr="00926FCB">
        <w:rPr>
          <w:rFonts w:ascii="楷体" w:eastAsia="楷体" w:hAnsi="楷体" w:cs="Times New Roman" w:hint="eastAsia"/>
          <w:sz w:val="28"/>
          <w:szCs w:val="28"/>
        </w:rPr>
        <w:t>.其他要求</w:t>
      </w:r>
    </w:p>
    <w:p w14:paraId="4F46FE5E" w14:textId="77777777" w:rsidR="00926FCB" w:rsidRPr="00926FCB" w:rsidRDefault="00926FCB" w:rsidP="00926FCB">
      <w:pPr>
        <w:spacing w:line="360" w:lineRule="auto"/>
        <w:ind w:firstLineChars="236" w:firstLine="566"/>
        <w:rPr>
          <w:rFonts w:ascii="仿宋" w:eastAsia="仿宋" w:hAnsi="仿宋" w:cs="Times New Roman"/>
          <w:sz w:val="24"/>
          <w:szCs w:val="24"/>
        </w:rPr>
      </w:pPr>
      <w:r w:rsidRPr="00926FCB">
        <w:rPr>
          <w:rFonts w:ascii="仿宋" w:eastAsia="仿宋" w:hAnsi="仿宋" w:cs="Times New Roman" w:hint="eastAsia"/>
          <w:sz w:val="24"/>
          <w:szCs w:val="24"/>
        </w:rPr>
        <w:t>投标人应服从国土空间总体规划编制单位统一调度，配合做好相关编制工作。</w:t>
      </w:r>
    </w:p>
    <w:p w14:paraId="472D3D0E" w14:textId="77777777" w:rsidR="007D51EC" w:rsidRPr="00926FCB" w:rsidRDefault="007D51EC"/>
    <w:sectPr w:rsidR="007D51EC" w:rsidRPr="00926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7253"/>
    <w:rsid w:val="007360BC"/>
    <w:rsid w:val="007D51EC"/>
    <w:rsid w:val="008B7253"/>
    <w:rsid w:val="0092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2109"/>
  <w15:chartTrackingRefBased/>
  <w15:docId w15:val="{C641B396-45B8-4373-B3A4-E1A5C0D5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26FCB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2023-05-10T00:45:00Z</dcterms:created>
  <dcterms:modified xsi:type="dcterms:W3CDTF">2023-05-10T00:54:00Z</dcterms:modified>
</cp:coreProperties>
</file>