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黑体"/>
          <w:sz w:val="32"/>
          <w:szCs w:val="32"/>
        </w:rPr>
      </w:pPr>
      <w:r>
        <w:rPr>
          <w:rFonts w:hint="eastAsia" w:ascii="黑体" w:hAnsi="黑体" w:eastAsia="黑体" w:cs="黑体"/>
          <w:sz w:val="32"/>
          <w:szCs w:val="32"/>
        </w:rPr>
        <w:t>附件</w:t>
      </w:r>
      <w:r>
        <w:rPr>
          <w:rFonts w:ascii="黑体" w:hAnsi="黑体" w:eastAsia="黑体" w:cs="黑体"/>
          <w:sz w:val="32"/>
          <w:szCs w:val="32"/>
        </w:rPr>
        <w:t>2</w:t>
      </w:r>
    </w:p>
    <w:p>
      <w:pPr>
        <w:spacing w:line="360" w:lineRule="auto"/>
        <w:jc w:val="center"/>
        <w:outlineLvl w:val="0"/>
        <w:rPr>
          <w:rFonts w:hint="eastAsia" w:ascii="Times New Roman" w:hAnsi="Times New Roman" w:eastAsia="黑体" w:cs="Times New Roman"/>
          <w:sz w:val="44"/>
          <w:szCs w:val="44"/>
        </w:rPr>
      </w:pPr>
      <w:r>
        <w:rPr>
          <w:rFonts w:hint="eastAsia" w:ascii="Times New Roman" w:hAnsi="Times New Roman" w:eastAsia="黑体" w:cs="Times New Roman"/>
          <w:sz w:val="44"/>
          <w:szCs w:val="44"/>
        </w:rPr>
        <w:t>内蒙古自治区规模以上工业企业</w:t>
      </w:r>
    </w:p>
    <w:p>
      <w:pPr>
        <w:spacing w:line="360" w:lineRule="auto"/>
        <w:jc w:val="center"/>
        <w:outlineLvl w:val="0"/>
        <w:rPr>
          <w:rFonts w:ascii="Times New Roman" w:hAnsi="Times New Roman" w:eastAsia="黑体" w:cs="Times New Roman"/>
          <w:sz w:val="44"/>
          <w:szCs w:val="44"/>
        </w:rPr>
      </w:pPr>
      <w:r>
        <w:rPr>
          <w:rFonts w:hint="eastAsia" w:ascii="Times New Roman" w:hAnsi="Times New Roman" w:eastAsia="黑体" w:cs="Times New Roman"/>
          <w:sz w:val="44"/>
          <w:szCs w:val="44"/>
        </w:rPr>
        <w:t>线下数字化评估诊断报告</w:t>
      </w:r>
    </w:p>
    <w:p>
      <w:pPr>
        <w:spacing w:line="360" w:lineRule="auto"/>
        <w:ind w:firstLine="640" w:firstLineChars="200"/>
        <w:jc w:val="left"/>
        <w:outlineLvl w:val="0"/>
        <w:rPr>
          <w:rFonts w:ascii="Times New Roman" w:hAnsi="Times New Roman" w:eastAsia="黑体" w:cs="Times New Roman"/>
          <w:sz w:val="32"/>
          <w:szCs w:val="32"/>
        </w:rPr>
      </w:pPr>
      <w:bookmarkStart w:id="0" w:name="_Toc111632810"/>
      <w:bookmarkStart w:id="1" w:name="_Hlk102982918"/>
      <w:r>
        <w:rPr>
          <w:rFonts w:ascii="Times New Roman" w:hAnsi="Times New Roman" w:eastAsia="黑体" w:cs="Times New Roman"/>
          <w:sz w:val="32"/>
          <w:szCs w:val="32"/>
        </w:rPr>
        <w:t>一、企业基本情况</w:t>
      </w:r>
      <w:bookmarkEnd w:id="0"/>
    </w:p>
    <w:p>
      <w:pPr>
        <w:spacing w:before="156" w:beforeLines="50" w:line="360" w:lineRule="auto"/>
        <w:ind w:firstLine="640" w:firstLineChars="200"/>
        <w:outlineLvl w:val="1"/>
        <w:rPr>
          <w:rFonts w:ascii="Times New Roman" w:hAnsi="Times New Roman" w:eastAsia="楷体_GB2312" w:cs="Times New Roman"/>
          <w:sz w:val="32"/>
          <w:szCs w:val="32"/>
        </w:rPr>
      </w:pPr>
      <w:bookmarkStart w:id="2" w:name="_Toc111632811"/>
      <w:r>
        <w:rPr>
          <w:rFonts w:ascii="Times New Roman" w:hAnsi="Times New Roman" w:eastAsia="楷体_GB2312" w:cs="Times New Roman"/>
          <w:sz w:val="32"/>
          <w:szCs w:val="32"/>
        </w:rPr>
        <w:t>（一）基本信息</w:t>
      </w:r>
      <w:bookmarkEnd w:id="2"/>
    </w:p>
    <w:p>
      <w:pPr>
        <w:spacing w:line="360" w:lineRule="auto"/>
        <w:ind w:firstLine="420" w:firstLineChars="200"/>
        <w:jc w:val="center"/>
        <w:rPr>
          <w:rFonts w:ascii="Times New Roman" w:hAnsi="Times New Roman" w:eastAsia="黑体" w:cs="Times New Roman"/>
          <w:szCs w:val="21"/>
        </w:rPr>
      </w:pPr>
      <w:r>
        <w:rPr>
          <w:rFonts w:ascii="Times New Roman" w:hAnsi="Times New Roman" w:eastAsia="黑体" w:cs="Times New Roman"/>
          <w:szCs w:val="21"/>
        </w:rPr>
        <w:t>表1-1 企业基本信息与发展情况</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2652"/>
        <w:gridCol w:w="2023"/>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6" w:type="pct"/>
            <w:vAlign w:val="center"/>
          </w:tcPr>
          <w:p>
            <w:pPr>
              <w:contextualSpacing/>
              <w:jc w:val="center"/>
              <w:rPr>
                <w:rFonts w:ascii="Times New Roman" w:hAnsi="Times New Roman" w:eastAsia="黑体" w:cs="Times New Roman"/>
                <w:kern w:val="0"/>
                <w:sz w:val="20"/>
                <w:szCs w:val="20"/>
              </w:rPr>
            </w:pPr>
            <w:r>
              <w:rPr>
                <w:rFonts w:ascii="Times New Roman" w:hAnsi="Times New Roman" w:eastAsia="黑体" w:cs="Times New Roman"/>
                <w:kern w:val="0"/>
                <w:sz w:val="20"/>
                <w:szCs w:val="20"/>
              </w:rPr>
              <w:t>企业名称</w:t>
            </w:r>
          </w:p>
        </w:tc>
        <w:tc>
          <w:tcPr>
            <w:tcW w:w="3964" w:type="pct"/>
            <w:gridSpan w:val="3"/>
            <w:vAlign w:val="center"/>
          </w:tcPr>
          <w:p>
            <w:pPr>
              <w:spacing w:line="360" w:lineRule="auto"/>
              <w:rPr>
                <w:rFonts w:ascii="Times New Roman" w:hAnsi="Times New Roman" w:eastAsia="黑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6" w:type="pct"/>
            <w:vAlign w:val="center"/>
          </w:tcPr>
          <w:p>
            <w:pPr>
              <w:contextualSpacing/>
              <w:jc w:val="center"/>
              <w:rPr>
                <w:rFonts w:ascii="Times New Roman" w:hAnsi="Times New Roman" w:eastAsia="黑体" w:cs="Times New Roman"/>
                <w:kern w:val="0"/>
                <w:sz w:val="20"/>
                <w:szCs w:val="20"/>
              </w:rPr>
            </w:pPr>
            <w:r>
              <w:rPr>
                <w:rFonts w:hint="eastAsia" w:ascii="Times New Roman" w:hAnsi="Times New Roman" w:eastAsia="黑体" w:cs="Times New Roman"/>
                <w:kern w:val="0"/>
                <w:sz w:val="20"/>
                <w:szCs w:val="20"/>
              </w:rPr>
              <w:t>注册地址</w:t>
            </w:r>
          </w:p>
        </w:tc>
        <w:tc>
          <w:tcPr>
            <w:tcW w:w="3964" w:type="pct"/>
            <w:gridSpan w:val="3"/>
            <w:vAlign w:val="center"/>
          </w:tcPr>
          <w:p>
            <w:pPr>
              <w:spacing w:line="360" w:lineRule="auto"/>
              <w:rPr>
                <w:rFonts w:ascii="Times New Roman" w:hAnsi="Times New Roman" w:eastAsia="黑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6" w:type="pct"/>
            <w:vAlign w:val="center"/>
          </w:tcPr>
          <w:p>
            <w:pPr>
              <w:contextualSpacing/>
              <w:jc w:val="center"/>
              <w:rPr>
                <w:rFonts w:ascii="Times New Roman" w:hAnsi="Times New Roman" w:eastAsia="黑体" w:cs="Times New Roman"/>
                <w:kern w:val="0"/>
                <w:sz w:val="20"/>
                <w:szCs w:val="20"/>
              </w:rPr>
            </w:pPr>
            <w:r>
              <w:rPr>
                <w:rFonts w:ascii="Times New Roman" w:hAnsi="Times New Roman" w:eastAsia="黑体" w:cs="Times New Roman"/>
                <w:kern w:val="0"/>
                <w:sz w:val="20"/>
                <w:szCs w:val="20"/>
              </w:rPr>
              <w:t>经营范围</w:t>
            </w:r>
          </w:p>
        </w:tc>
        <w:tc>
          <w:tcPr>
            <w:tcW w:w="3964" w:type="pct"/>
            <w:gridSpan w:val="3"/>
            <w:vAlign w:val="center"/>
          </w:tcPr>
          <w:p>
            <w:pPr>
              <w:spacing w:line="360" w:lineRule="auto"/>
              <w:rPr>
                <w:rFonts w:ascii="Times New Roman" w:hAnsi="Times New Roman" w:eastAsia="黑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6" w:type="pct"/>
            <w:vAlign w:val="center"/>
          </w:tcPr>
          <w:p>
            <w:pPr>
              <w:contextualSpacing/>
              <w:jc w:val="center"/>
              <w:rPr>
                <w:rFonts w:ascii="Times New Roman" w:hAnsi="Times New Roman" w:eastAsia="黑体" w:cs="Times New Roman"/>
                <w:kern w:val="0"/>
                <w:sz w:val="20"/>
                <w:szCs w:val="20"/>
              </w:rPr>
            </w:pPr>
            <w:r>
              <w:rPr>
                <w:rFonts w:ascii="Times New Roman" w:hAnsi="Times New Roman" w:eastAsia="黑体" w:cs="Times New Roman"/>
                <w:kern w:val="0"/>
                <w:sz w:val="20"/>
                <w:szCs w:val="20"/>
              </w:rPr>
              <w:t>成立时间</w:t>
            </w:r>
          </w:p>
        </w:tc>
        <w:tc>
          <w:tcPr>
            <w:tcW w:w="1556" w:type="pct"/>
            <w:vAlign w:val="center"/>
          </w:tcPr>
          <w:p>
            <w:pPr>
              <w:spacing w:line="360" w:lineRule="auto"/>
              <w:rPr>
                <w:rFonts w:ascii="Times New Roman" w:hAnsi="Times New Roman" w:eastAsia="黑体" w:cs="Times New Roman"/>
                <w:kern w:val="0"/>
                <w:sz w:val="20"/>
                <w:szCs w:val="20"/>
              </w:rPr>
            </w:pPr>
          </w:p>
        </w:tc>
        <w:tc>
          <w:tcPr>
            <w:tcW w:w="1187" w:type="pct"/>
            <w:vAlign w:val="center"/>
          </w:tcPr>
          <w:p>
            <w:pPr>
              <w:contextualSpacing/>
              <w:jc w:val="center"/>
              <w:rPr>
                <w:rFonts w:ascii="Times New Roman" w:hAnsi="Times New Roman" w:eastAsia="黑体" w:cs="Times New Roman"/>
                <w:kern w:val="0"/>
                <w:sz w:val="20"/>
                <w:szCs w:val="20"/>
              </w:rPr>
            </w:pPr>
            <w:r>
              <w:rPr>
                <w:rFonts w:hint="eastAsia" w:ascii="Times New Roman" w:hAnsi="Times New Roman" w:eastAsia="黑体" w:cs="Times New Roman"/>
                <w:kern w:val="0"/>
                <w:sz w:val="20"/>
                <w:szCs w:val="20"/>
              </w:rPr>
              <w:t>单位性质</w:t>
            </w:r>
          </w:p>
        </w:tc>
        <w:tc>
          <w:tcPr>
            <w:tcW w:w="1221" w:type="pct"/>
            <w:vAlign w:val="center"/>
          </w:tcPr>
          <w:p>
            <w:pPr>
              <w:spacing w:line="360" w:lineRule="auto"/>
              <w:rPr>
                <w:rFonts w:ascii="Times New Roman" w:hAnsi="Times New Roman" w:eastAsia="黑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6" w:type="pct"/>
            <w:vAlign w:val="center"/>
          </w:tcPr>
          <w:p>
            <w:pPr>
              <w:contextualSpacing/>
              <w:jc w:val="center"/>
              <w:rPr>
                <w:rFonts w:ascii="Times New Roman" w:hAnsi="Times New Roman" w:eastAsia="黑体" w:cs="Times New Roman"/>
                <w:kern w:val="0"/>
                <w:sz w:val="20"/>
                <w:szCs w:val="20"/>
              </w:rPr>
            </w:pPr>
            <w:r>
              <w:rPr>
                <w:rFonts w:hint="eastAsia" w:ascii="Times New Roman" w:hAnsi="Times New Roman" w:eastAsia="黑体" w:cs="Times New Roman"/>
                <w:kern w:val="0"/>
                <w:sz w:val="20"/>
                <w:szCs w:val="20"/>
              </w:rPr>
              <w:t>员工总数</w:t>
            </w:r>
          </w:p>
        </w:tc>
        <w:tc>
          <w:tcPr>
            <w:tcW w:w="1556" w:type="pct"/>
            <w:vAlign w:val="center"/>
          </w:tcPr>
          <w:p>
            <w:pPr>
              <w:spacing w:line="360" w:lineRule="auto"/>
              <w:rPr>
                <w:rFonts w:ascii="Times New Roman" w:hAnsi="Times New Roman" w:eastAsia="黑体" w:cs="Times New Roman"/>
                <w:kern w:val="0"/>
                <w:sz w:val="20"/>
                <w:szCs w:val="20"/>
              </w:rPr>
            </w:pPr>
          </w:p>
        </w:tc>
        <w:tc>
          <w:tcPr>
            <w:tcW w:w="1187" w:type="pct"/>
            <w:vAlign w:val="center"/>
          </w:tcPr>
          <w:p>
            <w:pPr>
              <w:contextualSpacing/>
              <w:jc w:val="center"/>
              <w:rPr>
                <w:rFonts w:ascii="Times New Roman" w:hAnsi="Times New Roman" w:eastAsia="黑体" w:cs="Times New Roman"/>
                <w:kern w:val="0"/>
                <w:sz w:val="20"/>
                <w:szCs w:val="20"/>
              </w:rPr>
            </w:pPr>
            <w:r>
              <w:rPr>
                <w:rFonts w:hint="eastAsia" w:ascii="Times New Roman" w:hAnsi="Times New Roman" w:eastAsia="黑体" w:cs="Times New Roman"/>
                <w:kern w:val="0"/>
                <w:sz w:val="20"/>
                <w:szCs w:val="20"/>
              </w:rPr>
              <w:t>联系人及电话</w:t>
            </w:r>
          </w:p>
        </w:tc>
        <w:tc>
          <w:tcPr>
            <w:tcW w:w="1221" w:type="pct"/>
            <w:vAlign w:val="center"/>
          </w:tcPr>
          <w:p>
            <w:pPr>
              <w:spacing w:line="360" w:lineRule="auto"/>
              <w:rPr>
                <w:rFonts w:ascii="Times New Roman" w:hAnsi="Times New Roman" w:eastAsia="黑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6" w:type="pct"/>
            <w:vAlign w:val="center"/>
          </w:tcPr>
          <w:p>
            <w:pPr>
              <w:contextualSpacing/>
              <w:jc w:val="center"/>
              <w:rPr>
                <w:rFonts w:ascii="Times New Roman" w:hAnsi="Times New Roman" w:eastAsia="黑体" w:cs="Times New Roman"/>
                <w:kern w:val="0"/>
                <w:sz w:val="20"/>
                <w:szCs w:val="20"/>
              </w:rPr>
            </w:pPr>
            <w:r>
              <w:rPr>
                <w:rFonts w:ascii="Times New Roman" w:hAnsi="Times New Roman" w:eastAsia="黑体" w:cs="Times New Roman"/>
                <w:kern w:val="0"/>
                <w:sz w:val="20"/>
                <w:szCs w:val="20"/>
              </w:rPr>
              <w:t>所处行业</w:t>
            </w:r>
          </w:p>
        </w:tc>
        <w:tc>
          <w:tcPr>
            <w:tcW w:w="1556" w:type="pct"/>
            <w:vAlign w:val="center"/>
          </w:tcPr>
          <w:p>
            <w:pPr>
              <w:spacing w:line="360" w:lineRule="auto"/>
              <w:rPr>
                <w:rFonts w:ascii="Times New Roman" w:hAnsi="Times New Roman" w:eastAsia="黑体" w:cs="Times New Roman"/>
                <w:kern w:val="0"/>
                <w:sz w:val="20"/>
                <w:szCs w:val="20"/>
              </w:rPr>
            </w:pPr>
          </w:p>
        </w:tc>
        <w:tc>
          <w:tcPr>
            <w:tcW w:w="1187" w:type="pct"/>
            <w:vAlign w:val="center"/>
          </w:tcPr>
          <w:p>
            <w:pPr>
              <w:contextualSpacing/>
              <w:jc w:val="center"/>
              <w:rPr>
                <w:rFonts w:ascii="Times New Roman" w:hAnsi="Times New Roman" w:eastAsia="黑体" w:cs="Times New Roman"/>
                <w:kern w:val="0"/>
                <w:sz w:val="20"/>
                <w:szCs w:val="20"/>
              </w:rPr>
            </w:pPr>
            <w:r>
              <w:rPr>
                <w:rFonts w:hint="eastAsia" w:ascii="Times New Roman" w:hAnsi="Times New Roman" w:eastAsia="黑体" w:cs="Times New Roman"/>
                <w:kern w:val="0"/>
                <w:sz w:val="20"/>
                <w:szCs w:val="20"/>
              </w:rPr>
              <w:t>上一年度主营业务收入</w:t>
            </w:r>
          </w:p>
        </w:tc>
        <w:tc>
          <w:tcPr>
            <w:tcW w:w="1221" w:type="pct"/>
            <w:vAlign w:val="center"/>
          </w:tcPr>
          <w:p>
            <w:pPr>
              <w:spacing w:line="360" w:lineRule="auto"/>
              <w:rPr>
                <w:rFonts w:ascii="Times New Roman" w:hAnsi="Times New Roman" w:eastAsia="黑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6" w:type="pct"/>
            <w:vAlign w:val="center"/>
          </w:tcPr>
          <w:p>
            <w:pPr>
              <w:contextualSpacing/>
              <w:jc w:val="center"/>
              <w:rPr>
                <w:rFonts w:ascii="Times New Roman" w:hAnsi="Times New Roman" w:eastAsia="黑体" w:cs="Times New Roman"/>
                <w:kern w:val="0"/>
                <w:sz w:val="20"/>
                <w:szCs w:val="20"/>
              </w:rPr>
            </w:pPr>
            <w:r>
              <w:rPr>
                <w:rFonts w:hint="eastAsia" w:ascii="Times New Roman" w:hAnsi="Times New Roman" w:eastAsia="黑体" w:cs="Times New Roman"/>
                <w:kern w:val="0"/>
                <w:sz w:val="20"/>
                <w:szCs w:val="20"/>
              </w:rPr>
              <w:t>两化融合</w:t>
            </w:r>
            <w:r>
              <w:rPr>
                <w:rFonts w:ascii="Times New Roman" w:hAnsi="Times New Roman" w:eastAsia="黑体" w:cs="Times New Roman"/>
                <w:kern w:val="0"/>
                <w:sz w:val="20"/>
                <w:szCs w:val="20"/>
              </w:rPr>
              <w:t>发展</w:t>
            </w:r>
            <w:r>
              <w:rPr>
                <w:rFonts w:hint="eastAsia" w:ascii="Times New Roman" w:hAnsi="Times New Roman" w:eastAsia="黑体" w:cs="Times New Roman"/>
                <w:kern w:val="0"/>
                <w:sz w:val="20"/>
                <w:szCs w:val="20"/>
              </w:rPr>
              <w:t>水平</w:t>
            </w:r>
          </w:p>
        </w:tc>
        <w:tc>
          <w:tcPr>
            <w:tcW w:w="1556" w:type="pct"/>
            <w:vAlign w:val="center"/>
          </w:tcPr>
          <w:p>
            <w:pPr>
              <w:rPr>
                <w:rFonts w:ascii="Times New Roman" w:hAnsi="Times New Roman" w:eastAsia="黑体" w:cs="Times New Roman"/>
                <w:kern w:val="0"/>
                <w:sz w:val="20"/>
                <w:szCs w:val="20"/>
              </w:rPr>
            </w:pPr>
          </w:p>
        </w:tc>
        <w:tc>
          <w:tcPr>
            <w:tcW w:w="1187" w:type="pct"/>
            <w:vAlign w:val="center"/>
          </w:tcPr>
          <w:p>
            <w:pPr>
              <w:contextualSpacing/>
              <w:jc w:val="center"/>
              <w:rPr>
                <w:rFonts w:ascii="Times New Roman" w:hAnsi="Times New Roman" w:eastAsia="黑体" w:cs="Times New Roman"/>
                <w:kern w:val="0"/>
                <w:sz w:val="20"/>
                <w:szCs w:val="20"/>
              </w:rPr>
            </w:pPr>
            <w:r>
              <w:rPr>
                <w:rFonts w:hint="eastAsia" w:ascii="Times New Roman" w:hAnsi="Times New Roman" w:eastAsia="黑体" w:cs="Times New Roman"/>
                <w:kern w:val="0"/>
                <w:sz w:val="20"/>
                <w:szCs w:val="20"/>
              </w:rPr>
              <w:t>两化融合发展阶段</w:t>
            </w:r>
          </w:p>
        </w:tc>
        <w:tc>
          <w:tcPr>
            <w:tcW w:w="1221" w:type="pct"/>
            <w:vAlign w:val="center"/>
          </w:tcPr>
          <w:p>
            <w:pPr>
              <w:rPr>
                <w:rFonts w:ascii="Times New Roman" w:hAnsi="Times New Roman" w:eastAsia="黑体" w:cs="Times New Roman"/>
                <w:kern w:val="0"/>
                <w:sz w:val="20"/>
                <w:szCs w:val="20"/>
              </w:rPr>
            </w:pPr>
          </w:p>
        </w:tc>
      </w:tr>
    </w:tbl>
    <w:p>
      <w:pPr>
        <w:spacing w:before="156" w:beforeLines="50" w:line="360" w:lineRule="auto"/>
        <w:ind w:firstLine="640" w:firstLineChars="200"/>
        <w:outlineLvl w:val="1"/>
        <w:rPr>
          <w:rFonts w:ascii="Times New Roman" w:hAnsi="Times New Roman" w:eastAsia="楷体_GB2312" w:cs="Times New Roman"/>
          <w:sz w:val="32"/>
          <w:szCs w:val="32"/>
        </w:rPr>
      </w:pPr>
      <w:bookmarkStart w:id="3" w:name="_Toc111632812"/>
      <w:r>
        <w:rPr>
          <w:rFonts w:ascii="Times New Roman" w:hAnsi="Times New Roman" w:eastAsia="楷体_GB2312" w:cs="Times New Roman"/>
          <w:sz w:val="32"/>
          <w:szCs w:val="32"/>
        </w:rPr>
        <w:t>（二）转型举措</w:t>
      </w:r>
      <w:bookmarkEnd w:id="3"/>
    </w:p>
    <w:p>
      <w:pPr>
        <w:adjustRightInd w:val="0"/>
        <w:snapToGrid w:val="0"/>
        <w:spacing w:before="156" w:beforeLines="50" w:line="360" w:lineRule="auto"/>
        <w:ind w:firstLine="640" w:firstLineChars="200"/>
        <w:outlineLvl w:val="2"/>
        <w:rPr>
          <w:rFonts w:ascii="Times New Roman" w:hAnsi="Times New Roman" w:eastAsia="楷体_GB2312" w:cs="Times New Roman"/>
          <w:sz w:val="32"/>
          <w:szCs w:val="32"/>
        </w:rPr>
      </w:pPr>
      <w:bookmarkStart w:id="4" w:name="_Toc111632813"/>
      <w:r>
        <w:rPr>
          <w:rFonts w:ascii="Times New Roman" w:hAnsi="Times New Roman" w:eastAsia="楷体_GB2312" w:cs="Times New Roman"/>
          <w:sz w:val="32"/>
          <w:szCs w:val="32"/>
        </w:rPr>
        <w:t>（1）战略规划</w:t>
      </w:r>
      <w:bookmarkEnd w:id="4"/>
    </w:p>
    <w:p>
      <w:p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（阐述</w:t>
      </w:r>
      <w:r>
        <w:rPr>
          <w:rFonts w:ascii="Times New Roman" w:hAnsi="Times New Roman" w:eastAsia="仿宋_GB2312" w:cs="Times New Roman"/>
          <w:sz w:val="32"/>
          <w:szCs w:val="32"/>
        </w:rPr>
        <w:t>企业</w:t>
      </w:r>
      <w:bookmarkStart w:id="47" w:name="_GoBack"/>
      <w:r>
        <w:rPr>
          <w:rFonts w:hint="eastAsia" w:ascii="Times New Roman" w:hAnsi="Times New Roman" w:eastAsia="仿宋_GB2312" w:cs="Times New Roman"/>
          <w:sz w:val="32"/>
          <w:szCs w:val="32"/>
        </w:rPr>
        <w:t>数字化</w:t>
      </w:r>
      <w:bookmarkEnd w:id="47"/>
      <w:r>
        <w:rPr>
          <w:rFonts w:hint="eastAsia" w:ascii="Times New Roman" w:hAnsi="Times New Roman" w:eastAsia="仿宋_GB2312" w:cs="Times New Roman"/>
          <w:sz w:val="32"/>
          <w:szCs w:val="32"/>
        </w:rPr>
        <w:t>转型的战略</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rPr>
        <w:t>、路径规划</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重点任务、保障</w:t>
      </w:r>
      <w:r>
        <w:rPr>
          <w:rFonts w:ascii="Times New Roman" w:hAnsi="Times New Roman" w:eastAsia="仿宋_GB2312" w:cs="Times New Roman"/>
          <w:sz w:val="32"/>
          <w:szCs w:val="32"/>
        </w:rPr>
        <w:t>制度、</w:t>
      </w:r>
      <w:r>
        <w:rPr>
          <w:rFonts w:hint="eastAsia" w:ascii="Times New Roman" w:hAnsi="Times New Roman" w:eastAsia="仿宋_GB2312" w:cs="Times New Roman"/>
          <w:sz w:val="32"/>
          <w:szCs w:val="32"/>
        </w:rPr>
        <w:t>评价考核机制</w:t>
      </w:r>
      <w:r>
        <w:rPr>
          <w:rFonts w:ascii="Times New Roman" w:hAnsi="Times New Roman" w:eastAsia="仿宋_GB2312" w:cs="Times New Roman"/>
          <w:sz w:val="32"/>
          <w:szCs w:val="32"/>
        </w:rPr>
        <w:t>等</w:t>
      </w:r>
      <w:r>
        <w:rPr>
          <w:rFonts w:hint="eastAsia" w:ascii="Times New Roman" w:hAnsi="Times New Roman" w:eastAsia="仿宋_GB2312" w:cs="Times New Roman"/>
          <w:sz w:val="32"/>
          <w:szCs w:val="32"/>
        </w:rPr>
        <w:t>）</w:t>
      </w:r>
    </w:p>
    <w:p>
      <w:pPr>
        <w:adjustRightInd w:val="0"/>
        <w:snapToGrid w:val="0"/>
        <w:spacing w:line="360" w:lineRule="auto"/>
        <w:ind w:firstLine="640" w:firstLineChars="200"/>
        <w:outlineLvl w:val="2"/>
        <w:rPr>
          <w:rFonts w:ascii="Times New Roman" w:hAnsi="Times New Roman" w:eastAsia="楷体_GB2312" w:cs="Times New Roman"/>
          <w:sz w:val="32"/>
          <w:szCs w:val="32"/>
        </w:rPr>
      </w:pPr>
      <w:bookmarkStart w:id="5" w:name="_Toc111632814"/>
      <w:r>
        <w:rPr>
          <w:rFonts w:ascii="Times New Roman" w:hAnsi="Times New Roman" w:eastAsia="楷体_GB2312" w:cs="Times New Roman"/>
          <w:sz w:val="32"/>
          <w:szCs w:val="32"/>
        </w:rPr>
        <w:t>（2）组织结构</w:t>
      </w:r>
      <w:bookmarkEnd w:id="5"/>
    </w:p>
    <w:p>
      <w:p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阐述企业现有的组织架构模式，以及企业基于数字化转型发展目标的组织结构优化调整情况，包括数字化主管部门设立情况、数字化主管部门的领导层级、各业务部门/职能部门围绕转型发展目标的职能调整情况等）</w:t>
      </w:r>
    </w:p>
    <w:p>
      <w:pPr>
        <w:adjustRightInd w:val="0"/>
        <w:snapToGrid w:val="0"/>
        <w:spacing w:line="360" w:lineRule="auto"/>
        <w:ind w:firstLine="640" w:firstLineChars="200"/>
        <w:outlineLvl w:val="2"/>
        <w:rPr>
          <w:rFonts w:ascii="Times New Roman" w:hAnsi="Times New Roman" w:eastAsia="楷体_GB2312" w:cs="Times New Roman"/>
          <w:sz w:val="32"/>
          <w:szCs w:val="32"/>
        </w:rPr>
      </w:pPr>
      <w:bookmarkStart w:id="6" w:name="_Toc111632815"/>
      <w:r>
        <w:rPr>
          <w:rFonts w:ascii="Times New Roman" w:hAnsi="Times New Roman" w:eastAsia="楷体_GB2312" w:cs="Times New Roman"/>
          <w:sz w:val="32"/>
          <w:szCs w:val="32"/>
        </w:rPr>
        <w:t>（3）业务流程</w:t>
      </w:r>
      <w:bookmarkEnd w:id="6"/>
    </w:p>
    <w:p>
      <w:p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（阐述</w:t>
      </w:r>
      <w:r>
        <w:rPr>
          <w:rFonts w:ascii="Times New Roman" w:hAnsi="Times New Roman" w:eastAsia="仿宋_GB2312" w:cs="Times New Roman"/>
          <w:sz w:val="32"/>
          <w:szCs w:val="32"/>
        </w:rPr>
        <w:t>企业</w:t>
      </w:r>
      <w:r>
        <w:rPr>
          <w:rFonts w:hint="eastAsia" w:ascii="Times New Roman" w:hAnsi="Times New Roman" w:eastAsia="仿宋_GB2312" w:cs="Times New Roman"/>
          <w:sz w:val="32"/>
          <w:szCs w:val="32"/>
        </w:rPr>
        <w:t>现有的主要</w:t>
      </w:r>
      <w:r>
        <w:rPr>
          <w:rFonts w:ascii="Times New Roman" w:hAnsi="Times New Roman" w:eastAsia="仿宋_GB2312" w:cs="Times New Roman"/>
          <w:sz w:val="32"/>
          <w:szCs w:val="32"/>
        </w:rPr>
        <w:t>业务流程</w:t>
      </w:r>
      <w:r>
        <w:rPr>
          <w:rFonts w:hint="eastAsia" w:ascii="Times New Roman" w:hAnsi="Times New Roman" w:eastAsia="仿宋_GB2312" w:cs="Times New Roman"/>
          <w:sz w:val="32"/>
          <w:szCs w:val="32"/>
        </w:rPr>
        <w:t>，以及企业基于数字化转型发展目标的业务流程优化调整和新流程设计情况等）</w:t>
      </w:r>
    </w:p>
    <w:p>
      <w:pPr>
        <w:adjustRightInd w:val="0"/>
        <w:snapToGrid w:val="0"/>
        <w:spacing w:line="360" w:lineRule="auto"/>
        <w:ind w:firstLine="640" w:firstLineChars="200"/>
        <w:outlineLvl w:val="2"/>
        <w:rPr>
          <w:rFonts w:ascii="Times New Roman" w:hAnsi="Times New Roman" w:eastAsia="楷体_GB2312" w:cs="Times New Roman"/>
          <w:sz w:val="32"/>
          <w:szCs w:val="32"/>
        </w:rPr>
      </w:pPr>
      <w:bookmarkStart w:id="7" w:name="_Toc111632816"/>
      <w:r>
        <w:rPr>
          <w:rFonts w:ascii="Times New Roman" w:hAnsi="Times New Roman" w:eastAsia="楷体_GB2312" w:cs="Times New Roman"/>
          <w:sz w:val="32"/>
          <w:szCs w:val="32"/>
        </w:rPr>
        <w:t>（4）基础保障</w:t>
      </w:r>
      <w:bookmarkEnd w:id="7"/>
    </w:p>
    <w:p>
      <w:p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（阐述企业围绕数字化转型工作的资金、设备、人员等基础资源保障情况，包括资金投入与规划、设备引进与改造、人员培训与赋能等情况）</w:t>
      </w:r>
    </w:p>
    <w:p>
      <w:pPr>
        <w:adjustRightInd w:val="0"/>
        <w:snapToGrid w:val="0"/>
        <w:spacing w:line="360" w:lineRule="auto"/>
        <w:ind w:firstLine="640" w:firstLineChars="200"/>
        <w:outlineLvl w:val="2"/>
        <w:rPr>
          <w:rFonts w:ascii="Times New Roman" w:hAnsi="Times New Roman" w:eastAsia="楷体_GB2312" w:cs="Times New Roman"/>
          <w:sz w:val="32"/>
          <w:szCs w:val="32"/>
        </w:rPr>
      </w:pPr>
      <w:bookmarkStart w:id="8" w:name="_Toc111632817"/>
      <w:r>
        <w:rPr>
          <w:rFonts w:ascii="Times New Roman" w:hAnsi="Times New Roman" w:eastAsia="楷体_GB2312" w:cs="Times New Roman"/>
          <w:sz w:val="32"/>
          <w:szCs w:val="32"/>
        </w:rPr>
        <w:t>（5）技术实现</w:t>
      </w:r>
      <w:bookmarkEnd w:id="8"/>
    </w:p>
    <w:p>
      <w:p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（阐述</w:t>
      </w:r>
      <w:r>
        <w:rPr>
          <w:rFonts w:ascii="Times New Roman" w:hAnsi="Times New Roman" w:eastAsia="仿宋_GB2312" w:cs="Times New Roman"/>
          <w:sz w:val="32"/>
          <w:szCs w:val="32"/>
        </w:rPr>
        <w:t>企业</w:t>
      </w:r>
      <w:r>
        <w:rPr>
          <w:rFonts w:hint="eastAsia" w:ascii="Times New Roman" w:hAnsi="Times New Roman" w:eastAsia="仿宋_GB2312" w:cs="Times New Roman"/>
          <w:sz w:val="32"/>
          <w:szCs w:val="32"/>
        </w:rPr>
        <w:t>围绕</w:t>
      </w:r>
      <w:r>
        <w:rPr>
          <w:rFonts w:ascii="Times New Roman" w:hAnsi="Times New Roman" w:eastAsia="仿宋_GB2312" w:cs="Times New Roman"/>
          <w:sz w:val="32"/>
          <w:szCs w:val="32"/>
        </w:rPr>
        <w:t>数字化转型</w:t>
      </w:r>
      <w:r>
        <w:rPr>
          <w:rFonts w:hint="eastAsia" w:ascii="Times New Roman" w:hAnsi="Times New Roman" w:eastAsia="仿宋_GB2312" w:cs="Times New Roman"/>
          <w:sz w:val="32"/>
          <w:szCs w:val="32"/>
        </w:rPr>
        <w:t>工作的</w:t>
      </w:r>
      <w:r>
        <w:rPr>
          <w:rFonts w:ascii="Times New Roman" w:hAnsi="Times New Roman" w:eastAsia="仿宋_GB2312" w:cs="Times New Roman"/>
          <w:sz w:val="32"/>
          <w:szCs w:val="32"/>
        </w:rPr>
        <w:t>技术方案</w:t>
      </w:r>
      <w:r>
        <w:rPr>
          <w:rFonts w:hint="eastAsia" w:ascii="Times New Roman" w:hAnsi="Times New Roman" w:eastAsia="仿宋_GB2312" w:cs="Times New Roman"/>
          <w:sz w:val="32"/>
          <w:szCs w:val="32"/>
        </w:rPr>
        <w:t>制定</w:t>
      </w:r>
      <w:r>
        <w:rPr>
          <w:rFonts w:ascii="Times New Roman" w:hAnsi="Times New Roman" w:eastAsia="仿宋_GB2312" w:cs="Times New Roman"/>
          <w:sz w:val="32"/>
          <w:szCs w:val="32"/>
        </w:rPr>
        <w:t>、技术获取和技术</w:t>
      </w:r>
      <w:r>
        <w:rPr>
          <w:rFonts w:hint="eastAsia" w:ascii="Times New Roman" w:hAnsi="Times New Roman" w:eastAsia="仿宋_GB2312" w:cs="Times New Roman"/>
          <w:sz w:val="32"/>
          <w:szCs w:val="32"/>
        </w:rPr>
        <w:t>应用过程管控等相关情况）</w:t>
      </w:r>
    </w:p>
    <w:p>
      <w:pPr>
        <w:adjustRightInd w:val="0"/>
        <w:snapToGrid w:val="0"/>
        <w:spacing w:line="360" w:lineRule="auto"/>
        <w:ind w:firstLine="640" w:firstLineChars="200"/>
        <w:outlineLvl w:val="2"/>
        <w:rPr>
          <w:rFonts w:ascii="Times New Roman" w:hAnsi="Times New Roman" w:eastAsia="楷体_GB2312" w:cs="Times New Roman"/>
          <w:sz w:val="32"/>
          <w:szCs w:val="32"/>
        </w:rPr>
      </w:pPr>
      <w:bookmarkStart w:id="9" w:name="_Toc111632818"/>
      <w:r>
        <w:rPr>
          <w:rFonts w:ascii="Times New Roman" w:hAnsi="Times New Roman" w:eastAsia="楷体_GB2312" w:cs="Times New Roman"/>
          <w:sz w:val="32"/>
          <w:szCs w:val="32"/>
        </w:rPr>
        <w:t>（6）数据开发利用</w:t>
      </w:r>
      <w:bookmarkEnd w:id="9"/>
    </w:p>
    <w:p>
      <w:p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（阐述</w:t>
      </w:r>
      <w:r>
        <w:rPr>
          <w:rFonts w:ascii="Times New Roman" w:hAnsi="Times New Roman" w:eastAsia="仿宋_GB2312" w:cs="Times New Roman"/>
          <w:sz w:val="32"/>
          <w:szCs w:val="32"/>
        </w:rPr>
        <w:t>企业对</w:t>
      </w:r>
      <w:r>
        <w:rPr>
          <w:rFonts w:hint="eastAsia" w:ascii="Times New Roman" w:hAnsi="Times New Roman" w:eastAsia="仿宋_GB2312" w:cs="Times New Roman"/>
          <w:sz w:val="32"/>
          <w:szCs w:val="32"/>
        </w:rPr>
        <w:t>研发、生产、管理、客户服务等过程</w:t>
      </w:r>
      <w:r>
        <w:rPr>
          <w:rFonts w:ascii="Times New Roman" w:hAnsi="Times New Roman" w:eastAsia="仿宋_GB2312" w:cs="Times New Roman"/>
          <w:sz w:val="32"/>
          <w:szCs w:val="32"/>
        </w:rPr>
        <w:t>数据</w:t>
      </w:r>
      <w:r>
        <w:rPr>
          <w:rFonts w:hint="eastAsia" w:ascii="Times New Roman" w:hAnsi="Times New Roman" w:eastAsia="仿宋_GB2312" w:cs="Times New Roman"/>
          <w:sz w:val="32"/>
          <w:szCs w:val="32"/>
        </w:rPr>
        <w:t>资源</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rPr>
        <w:t>采集、处理、存储</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开发利用等情况，以及企业通过数据开发利用实现的价值成效等）</w:t>
      </w:r>
    </w:p>
    <w:p>
      <w:pPr>
        <w:spacing w:line="360" w:lineRule="auto"/>
        <w:ind w:firstLine="640" w:firstLineChars="200"/>
        <w:jc w:val="left"/>
        <w:outlineLvl w:val="0"/>
        <w:rPr>
          <w:rFonts w:ascii="Times New Roman" w:hAnsi="Times New Roman" w:eastAsia="黑体" w:cs="Times New Roman"/>
          <w:sz w:val="32"/>
          <w:szCs w:val="32"/>
        </w:rPr>
      </w:pPr>
      <w:bookmarkStart w:id="10" w:name="_Toc111632819"/>
      <w:r>
        <w:rPr>
          <w:rFonts w:ascii="Times New Roman" w:hAnsi="Times New Roman" w:eastAsia="黑体" w:cs="Times New Roman"/>
          <w:sz w:val="32"/>
          <w:szCs w:val="32"/>
        </w:rPr>
        <w:t>二、企业诊断过程</w:t>
      </w:r>
      <w:bookmarkEnd w:id="10"/>
    </w:p>
    <w:p>
      <w:pPr>
        <w:spacing w:before="156" w:beforeLines="50" w:line="360" w:lineRule="auto"/>
        <w:ind w:firstLine="640" w:firstLineChars="200"/>
        <w:outlineLvl w:val="1"/>
        <w:rPr>
          <w:rFonts w:ascii="Times New Roman" w:hAnsi="Times New Roman" w:eastAsia="楷体_GB2312" w:cs="Times New Roman"/>
          <w:sz w:val="32"/>
          <w:szCs w:val="32"/>
        </w:rPr>
      </w:pPr>
      <w:bookmarkStart w:id="11" w:name="_Toc111632820"/>
      <w:r>
        <w:rPr>
          <w:rFonts w:ascii="Times New Roman" w:hAnsi="Times New Roman" w:eastAsia="楷体_GB2312" w:cs="Times New Roman"/>
          <w:sz w:val="32"/>
          <w:szCs w:val="32"/>
        </w:rPr>
        <w:t>（一）评估工作组</w:t>
      </w:r>
      <w:bookmarkEnd w:id="11"/>
    </w:p>
    <w:p>
      <w:pPr>
        <w:adjustRightInd w:val="0"/>
        <w:snapToGrid w:val="0"/>
        <w:spacing w:before="156" w:beforeLines="50" w:line="360" w:lineRule="auto"/>
        <w:ind w:firstLine="640" w:firstLineChars="200"/>
        <w:outlineLvl w:val="2"/>
        <w:rPr>
          <w:rFonts w:ascii="Times New Roman" w:hAnsi="Times New Roman" w:eastAsia="楷体_GB2312" w:cs="Times New Roman"/>
          <w:sz w:val="32"/>
          <w:szCs w:val="32"/>
        </w:rPr>
      </w:pPr>
      <w:bookmarkStart w:id="12" w:name="_Toc111632821"/>
      <w:r>
        <w:rPr>
          <w:rFonts w:ascii="Times New Roman" w:hAnsi="Times New Roman" w:eastAsia="楷体_GB2312" w:cs="Times New Roman"/>
          <w:sz w:val="32"/>
          <w:szCs w:val="32"/>
        </w:rPr>
        <w:t>（1）评估机构</w:t>
      </w:r>
      <w:bookmarkEnd w:id="12"/>
    </w:p>
    <w:p>
      <w:pPr>
        <w:spacing w:line="360" w:lineRule="auto"/>
        <w:ind w:firstLine="420" w:firstLineChars="200"/>
        <w:jc w:val="center"/>
        <w:rPr>
          <w:rFonts w:ascii="Times New Roman" w:hAnsi="Times New Roman" w:eastAsia="黑体" w:cs="Times New Roman"/>
          <w:szCs w:val="21"/>
        </w:rPr>
      </w:pPr>
      <w:r>
        <w:rPr>
          <w:rFonts w:ascii="Times New Roman" w:hAnsi="Times New Roman" w:eastAsia="黑体" w:cs="Times New Roman"/>
          <w:szCs w:val="21"/>
        </w:rPr>
        <w:t xml:space="preserve">表2-1 </w:t>
      </w:r>
      <w:r>
        <w:rPr>
          <w:rFonts w:hint="eastAsia" w:ascii="Times New Roman" w:hAnsi="Times New Roman" w:eastAsia="黑体" w:cs="Times New Roman"/>
          <w:szCs w:val="21"/>
        </w:rPr>
        <w:t>评估诊断</w:t>
      </w:r>
      <w:r>
        <w:rPr>
          <w:rFonts w:ascii="Times New Roman" w:hAnsi="Times New Roman" w:eastAsia="黑体" w:cs="Times New Roman"/>
          <w:szCs w:val="21"/>
        </w:rPr>
        <w:t>机构信息表</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2654"/>
        <w:gridCol w:w="1643"/>
        <w:gridCol w:w="2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1" w:type="pct"/>
            <w:vAlign w:val="center"/>
          </w:tcPr>
          <w:p>
            <w:pPr>
              <w:spacing w:before="156" w:beforeLines="50" w:line="360" w:lineRule="auto"/>
              <w:jc w:val="center"/>
              <w:rPr>
                <w:rFonts w:ascii="Times New Roman" w:hAnsi="Times New Roman" w:eastAsia="仿宋_GB2312" w:cs="Times New Roman"/>
                <w:kern w:val="0"/>
                <w:sz w:val="20"/>
                <w:szCs w:val="21"/>
              </w:rPr>
            </w:pPr>
            <w:r>
              <w:rPr>
                <w:rFonts w:ascii="Times New Roman" w:hAnsi="Times New Roman" w:eastAsia="仿宋_GB2312" w:cs="Times New Roman"/>
                <w:kern w:val="0"/>
                <w:sz w:val="20"/>
                <w:szCs w:val="21"/>
              </w:rPr>
              <w:t>机构</w:t>
            </w:r>
            <w:r>
              <w:rPr>
                <w:rFonts w:hint="eastAsia" w:ascii="Times New Roman" w:hAnsi="Times New Roman" w:eastAsia="仿宋_GB2312" w:cs="Times New Roman"/>
                <w:kern w:val="0"/>
                <w:sz w:val="20"/>
                <w:szCs w:val="21"/>
              </w:rPr>
              <w:t>名称</w:t>
            </w:r>
          </w:p>
        </w:tc>
        <w:tc>
          <w:tcPr>
            <w:tcW w:w="4039" w:type="pct"/>
            <w:gridSpan w:val="3"/>
            <w:vAlign w:val="center"/>
          </w:tcPr>
          <w:p>
            <w:pPr>
              <w:spacing w:before="156" w:beforeLines="50" w:line="360" w:lineRule="auto"/>
              <w:jc w:val="center"/>
              <w:rPr>
                <w:rFonts w:ascii="Times New Roman" w:hAnsi="Times New Roman" w:eastAsia="仿宋_GB2312"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1" w:type="pct"/>
            <w:vAlign w:val="center"/>
          </w:tcPr>
          <w:p>
            <w:pPr>
              <w:spacing w:before="156" w:beforeLines="50" w:line="360" w:lineRule="auto"/>
              <w:jc w:val="center"/>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法定代表人/负责人姓名</w:t>
            </w:r>
          </w:p>
        </w:tc>
        <w:tc>
          <w:tcPr>
            <w:tcW w:w="1557" w:type="pct"/>
            <w:vAlign w:val="center"/>
          </w:tcPr>
          <w:p>
            <w:pPr>
              <w:spacing w:before="156" w:beforeLines="50" w:line="360" w:lineRule="auto"/>
              <w:jc w:val="center"/>
              <w:rPr>
                <w:rFonts w:ascii="Times New Roman" w:hAnsi="Times New Roman" w:eastAsia="仿宋_GB2312" w:cs="Times New Roman"/>
                <w:kern w:val="0"/>
                <w:sz w:val="20"/>
                <w:szCs w:val="21"/>
              </w:rPr>
            </w:pPr>
          </w:p>
        </w:tc>
        <w:tc>
          <w:tcPr>
            <w:tcW w:w="964" w:type="pct"/>
            <w:vAlign w:val="center"/>
          </w:tcPr>
          <w:p>
            <w:pPr>
              <w:spacing w:before="156" w:beforeLines="50" w:line="360" w:lineRule="auto"/>
              <w:jc w:val="center"/>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统一社会信用代码/组织机构代码</w:t>
            </w:r>
          </w:p>
        </w:tc>
        <w:tc>
          <w:tcPr>
            <w:tcW w:w="1518" w:type="pct"/>
            <w:vAlign w:val="center"/>
          </w:tcPr>
          <w:p>
            <w:pPr>
              <w:spacing w:before="156" w:beforeLines="50" w:line="360" w:lineRule="auto"/>
              <w:jc w:val="center"/>
              <w:rPr>
                <w:rFonts w:ascii="Times New Roman" w:hAnsi="Times New Roman" w:eastAsia="仿宋_GB2312"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1" w:type="pct"/>
            <w:vAlign w:val="center"/>
          </w:tcPr>
          <w:p>
            <w:pPr>
              <w:spacing w:before="156" w:beforeLines="50" w:line="360" w:lineRule="auto"/>
              <w:jc w:val="center"/>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注册</w:t>
            </w:r>
            <w:r>
              <w:rPr>
                <w:rFonts w:ascii="Times New Roman" w:hAnsi="Times New Roman" w:eastAsia="仿宋_GB2312" w:cs="Times New Roman"/>
                <w:kern w:val="0"/>
                <w:sz w:val="20"/>
                <w:szCs w:val="21"/>
              </w:rPr>
              <w:t>地址</w:t>
            </w:r>
          </w:p>
        </w:tc>
        <w:tc>
          <w:tcPr>
            <w:tcW w:w="1557" w:type="pct"/>
            <w:vAlign w:val="center"/>
          </w:tcPr>
          <w:p>
            <w:pPr>
              <w:spacing w:before="156" w:beforeLines="50" w:line="360" w:lineRule="auto"/>
              <w:jc w:val="center"/>
              <w:rPr>
                <w:rFonts w:ascii="Times New Roman" w:hAnsi="Times New Roman" w:eastAsia="仿宋_GB2312" w:cs="Times New Roman"/>
                <w:kern w:val="0"/>
                <w:sz w:val="20"/>
                <w:szCs w:val="21"/>
              </w:rPr>
            </w:pPr>
          </w:p>
        </w:tc>
        <w:tc>
          <w:tcPr>
            <w:tcW w:w="964" w:type="pct"/>
            <w:vAlign w:val="center"/>
          </w:tcPr>
          <w:p>
            <w:pPr>
              <w:spacing w:before="156" w:beforeLines="50" w:line="360" w:lineRule="auto"/>
              <w:jc w:val="center"/>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单位性质</w:t>
            </w:r>
          </w:p>
        </w:tc>
        <w:tc>
          <w:tcPr>
            <w:tcW w:w="1518" w:type="pct"/>
            <w:vAlign w:val="center"/>
          </w:tcPr>
          <w:p>
            <w:pPr>
              <w:spacing w:before="156" w:beforeLines="50" w:line="360" w:lineRule="auto"/>
              <w:jc w:val="center"/>
              <w:rPr>
                <w:rFonts w:ascii="Times New Roman" w:hAnsi="Times New Roman" w:eastAsia="仿宋_GB2312"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1" w:type="pct"/>
            <w:vAlign w:val="center"/>
          </w:tcPr>
          <w:p>
            <w:pPr>
              <w:spacing w:before="156" w:beforeLines="50" w:line="360" w:lineRule="auto"/>
              <w:jc w:val="center"/>
              <w:rPr>
                <w:rFonts w:ascii="Times New Roman" w:hAnsi="Times New Roman" w:eastAsia="仿宋_GB2312" w:cs="Times New Roman"/>
                <w:kern w:val="0"/>
                <w:sz w:val="20"/>
                <w:szCs w:val="21"/>
              </w:rPr>
            </w:pPr>
            <w:r>
              <w:rPr>
                <w:rFonts w:ascii="Times New Roman" w:hAnsi="Times New Roman" w:eastAsia="仿宋_GB2312" w:cs="Times New Roman"/>
                <w:kern w:val="0"/>
                <w:sz w:val="20"/>
                <w:szCs w:val="21"/>
              </w:rPr>
              <w:t>联系人</w:t>
            </w:r>
          </w:p>
        </w:tc>
        <w:tc>
          <w:tcPr>
            <w:tcW w:w="1557" w:type="pct"/>
            <w:vAlign w:val="center"/>
          </w:tcPr>
          <w:p>
            <w:pPr>
              <w:spacing w:before="156" w:beforeLines="50" w:line="360" w:lineRule="auto"/>
              <w:jc w:val="center"/>
              <w:rPr>
                <w:rFonts w:ascii="Times New Roman" w:hAnsi="Times New Roman" w:eastAsia="仿宋_GB2312" w:cs="Times New Roman"/>
                <w:kern w:val="0"/>
                <w:sz w:val="20"/>
                <w:szCs w:val="21"/>
              </w:rPr>
            </w:pPr>
          </w:p>
        </w:tc>
        <w:tc>
          <w:tcPr>
            <w:tcW w:w="964" w:type="pct"/>
            <w:vAlign w:val="center"/>
          </w:tcPr>
          <w:p>
            <w:pPr>
              <w:spacing w:before="156" w:beforeLines="50" w:line="360" w:lineRule="auto"/>
              <w:jc w:val="center"/>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手机号码</w:t>
            </w:r>
          </w:p>
        </w:tc>
        <w:tc>
          <w:tcPr>
            <w:tcW w:w="1518" w:type="pct"/>
            <w:vAlign w:val="center"/>
          </w:tcPr>
          <w:p>
            <w:pPr>
              <w:spacing w:before="156" w:beforeLines="50" w:line="360" w:lineRule="auto"/>
              <w:jc w:val="center"/>
              <w:rPr>
                <w:rFonts w:ascii="Times New Roman" w:hAnsi="Times New Roman" w:eastAsia="仿宋_GB2312"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1" w:type="pct"/>
            <w:vAlign w:val="center"/>
          </w:tcPr>
          <w:p>
            <w:pPr>
              <w:spacing w:before="156" w:beforeLines="50" w:line="360" w:lineRule="auto"/>
              <w:jc w:val="center"/>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电子邮箱</w:t>
            </w:r>
          </w:p>
        </w:tc>
        <w:tc>
          <w:tcPr>
            <w:tcW w:w="1557" w:type="pct"/>
            <w:vAlign w:val="center"/>
          </w:tcPr>
          <w:p>
            <w:pPr>
              <w:spacing w:before="156" w:beforeLines="50" w:line="360" w:lineRule="auto"/>
              <w:jc w:val="center"/>
              <w:rPr>
                <w:rFonts w:ascii="Times New Roman" w:hAnsi="Times New Roman" w:eastAsia="仿宋_GB2312" w:cs="Times New Roman"/>
                <w:kern w:val="0"/>
                <w:sz w:val="20"/>
                <w:szCs w:val="21"/>
              </w:rPr>
            </w:pPr>
          </w:p>
        </w:tc>
        <w:tc>
          <w:tcPr>
            <w:tcW w:w="964" w:type="pct"/>
            <w:vAlign w:val="center"/>
          </w:tcPr>
          <w:p>
            <w:pPr>
              <w:spacing w:before="156" w:beforeLines="50" w:line="360" w:lineRule="auto"/>
              <w:jc w:val="center"/>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邮政编码</w:t>
            </w:r>
          </w:p>
        </w:tc>
        <w:tc>
          <w:tcPr>
            <w:tcW w:w="1518" w:type="pct"/>
            <w:vAlign w:val="center"/>
          </w:tcPr>
          <w:p>
            <w:pPr>
              <w:spacing w:before="156" w:beforeLines="50" w:line="360" w:lineRule="auto"/>
              <w:jc w:val="center"/>
              <w:rPr>
                <w:rFonts w:ascii="Times New Roman" w:hAnsi="Times New Roman" w:eastAsia="仿宋_GB2312"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1" w:type="pct"/>
            <w:vAlign w:val="center"/>
          </w:tcPr>
          <w:p>
            <w:pPr>
              <w:spacing w:before="156" w:beforeLines="50" w:line="360" w:lineRule="auto"/>
              <w:jc w:val="center"/>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评估诊断相关</w:t>
            </w:r>
            <w:r>
              <w:rPr>
                <w:rFonts w:ascii="Times New Roman" w:hAnsi="Times New Roman" w:eastAsia="仿宋_GB2312" w:cs="Times New Roman"/>
                <w:kern w:val="0"/>
                <w:sz w:val="20"/>
                <w:szCs w:val="21"/>
              </w:rPr>
              <w:t>资质</w:t>
            </w:r>
          </w:p>
        </w:tc>
        <w:tc>
          <w:tcPr>
            <w:tcW w:w="4039" w:type="pct"/>
            <w:gridSpan w:val="3"/>
            <w:vAlign w:val="center"/>
          </w:tcPr>
          <w:p>
            <w:pPr>
              <w:spacing w:before="156" w:beforeLines="50" w:line="360" w:lineRule="auto"/>
              <w:jc w:val="center"/>
              <w:rPr>
                <w:rFonts w:ascii="Times New Roman" w:hAnsi="Times New Roman" w:eastAsia="仿宋_GB2312" w:cs="Times New Roman"/>
                <w:kern w:val="0"/>
                <w:sz w:val="20"/>
                <w:szCs w:val="21"/>
              </w:rPr>
            </w:pPr>
          </w:p>
        </w:tc>
      </w:tr>
    </w:tbl>
    <w:p>
      <w:pPr>
        <w:adjustRightInd w:val="0"/>
        <w:snapToGrid w:val="0"/>
        <w:spacing w:before="156" w:beforeLines="50" w:line="360" w:lineRule="auto"/>
        <w:ind w:firstLine="640" w:firstLineChars="200"/>
        <w:outlineLvl w:val="2"/>
        <w:rPr>
          <w:rFonts w:ascii="Times New Roman" w:hAnsi="Times New Roman" w:eastAsia="楷体_GB2312" w:cs="Times New Roman"/>
          <w:sz w:val="32"/>
          <w:szCs w:val="32"/>
        </w:rPr>
      </w:pPr>
      <w:bookmarkStart w:id="13" w:name="_Toc111632822"/>
      <w:r>
        <w:rPr>
          <w:rFonts w:ascii="Times New Roman" w:hAnsi="Times New Roman" w:eastAsia="楷体_GB2312" w:cs="Times New Roman"/>
          <w:sz w:val="32"/>
          <w:szCs w:val="32"/>
        </w:rPr>
        <w:t>（2）评估人员</w:t>
      </w:r>
      <w:bookmarkEnd w:id="13"/>
    </w:p>
    <w:p>
      <w:pPr>
        <w:spacing w:line="360" w:lineRule="auto"/>
        <w:ind w:firstLine="420" w:firstLineChars="200"/>
        <w:jc w:val="center"/>
        <w:rPr>
          <w:rFonts w:ascii="Times New Roman" w:hAnsi="Times New Roman" w:eastAsia="黑体" w:cs="Times New Roman"/>
          <w:szCs w:val="21"/>
        </w:rPr>
      </w:pPr>
      <w:r>
        <w:rPr>
          <w:rFonts w:ascii="Times New Roman" w:hAnsi="Times New Roman" w:eastAsia="黑体" w:cs="Times New Roman"/>
          <w:szCs w:val="21"/>
        </w:rPr>
        <w:t>表2-2 评估</w:t>
      </w:r>
      <w:r>
        <w:rPr>
          <w:rFonts w:hint="eastAsia" w:ascii="Times New Roman" w:hAnsi="Times New Roman" w:eastAsia="黑体" w:cs="Times New Roman"/>
          <w:szCs w:val="21"/>
        </w:rPr>
        <w:t>诊断</w:t>
      </w:r>
      <w:r>
        <w:rPr>
          <w:rFonts w:ascii="Times New Roman" w:hAnsi="Times New Roman" w:eastAsia="黑体" w:cs="Times New Roman"/>
          <w:szCs w:val="21"/>
        </w:rPr>
        <w:t>人员信息表</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1029"/>
        <w:gridCol w:w="876"/>
        <w:gridCol w:w="1002"/>
        <w:gridCol w:w="1769"/>
        <w:gridCol w:w="1389"/>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590" w:type="pct"/>
            <w:shd w:val="clear" w:color="auto" w:fill="D8D8D8" w:themeFill="background1" w:themeFillShade="D9"/>
            <w:vAlign w:val="center"/>
          </w:tcPr>
          <w:p>
            <w:pPr>
              <w:jc w:val="center"/>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评估诊断</w:t>
            </w:r>
            <w:r>
              <w:rPr>
                <w:rFonts w:ascii="Times New Roman" w:hAnsi="Times New Roman" w:eastAsia="仿宋_GB2312" w:cs="Times New Roman"/>
                <w:kern w:val="0"/>
                <w:sz w:val="20"/>
                <w:szCs w:val="21"/>
              </w:rPr>
              <w:t>人员</w:t>
            </w:r>
          </w:p>
        </w:tc>
        <w:tc>
          <w:tcPr>
            <w:tcW w:w="604" w:type="pct"/>
            <w:shd w:val="clear" w:color="auto" w:fill="D8D8D8" w:themeFill="background1" w:themeFillShade="D9"/>
            <w:vAlign w:val="center"/>
          </w:tcPr>
          <w:p>
            <w:pPr>
              <w:spacing w:before="156" w:beforeLines="50" w:line="360" w:lineRule="auto"/>
              <w:jc w:val="center"/>
              <w:rPr>
                <w:rFonts w:ascii="Times New Roman" w:hAnsi="Times New Roman" w:eastAsia="仿宋_GB2312" w:cs="Times New Roman"/>
                <w:kern w:val="0"/>
                <w:sz w:val="20"/>
                <w:szCs w:val="21"/>
              </w:rPr>
            </w:pPr>
            <w:r>
              <w:rPr>
                <w:rFonts w:ascii="Times New Roman" w:hAnsi="Times New Roman" w:eastAsia="仿宋_GB2312" w:cs="Times New Roman"/>
                <w:kern w:val="0"/>
                <w:sz w:val="20"/>
                <w:szCs w:val="21"/>
              </w:rPr>
              <w:t>性别</w:t>
            </w:r>
          </w:p>
        </w:tc>
        <w:tc>
          <w:tcPr>
            <w:tcW w:w="514" w:type="pct"/>
            <w:shd w:val="clear" w:color="auto" w:fill="D8D8D8" w:themeFill="background1" w:themeFillShade="D9"/>
            <w:vAlign w:val="center"/>
          </w:tcPr>
          <w:p>
            <w:pPr>
              <w:spacing w:before="156" w:beforeLines="50" w:line="360" w:lineRule="auto"/>
              <w:jc w:val="center"/>
              <w:rPr>
                <w:rFonts w:ascii="Times New Roman" w:hAnsi="Times New Roman" w:eastAsia="仿宋_GB2312" w:cs="Times New Roman"/>
                <w:kern w:val="0"/>
                <w:sz w:val="20"/>
                <w:szCs w:val="21"/>
              </w:rPr>
            </w:pPr>
            <w:r>
              <w:rPr>
                <w:rFonts w:ascii="Times New Roman" w:hAnsi="Times New Roman" w:eastAsia="仿宋_GB2312" w:cs="Times New Roman"/>
                <w:kern w:val="0"/>
                <w:sz w:val="20"/>
                <w:szCs w:val="21"/>
              </w:rPr>
              <w:t>年龄</w:t>
            </w:r>
          </w:p>
        </w:tc>
        <w:tc>
          <w:tcPr>
            <w:tcW w:w="588" w:type="pct"/>
            <w:shd w:val="clear" w:color="auto" w:fill="D8D8D8" w:themeFill="background1" w:themeFillShade="D9"/>
            <w:vAlign w:val="center"/>
          </w:tcPr>
          <w:p>
            <w:pPr>
              <w:spacing w:before="156" w:beforeLines="50" w:line="360" w:lineRule="auto"/>
              <w:jc w:val="center"/>
              <w:rPr>
                <w:rFonts w:ascii="Times New Roman" w:hAnsi="Times New Roman" w:eastAsia="仿宋_GB2312" w:cs="Times New Roman"/>
                <w:kern w:val="0"/>
                <w:sz w:val="20"/>
                <w:szCs w:val="21"/>
              </w:rPr>
            </w:pPr>
            <w:r>
              <w:rPr>
                <w:rFonts w:ascii="Times New Roman" w:hAnsi="Times New Roman" w:eastAsia="仿宋_GB2312" w:cs="Times New Roman"/>
                <w:kern w:val="0"/>
                <w:sz w:val="20"/>
                <w:szCs w:val="21"/>
              </w:rPr>
              <w:t>职称</w:t>
            </w:r>
          </w:p>
        </w:tc>
        <w:tc>
          <w:tcPr>
            <w:tcW w:w="1038" w:type="pct"/>
            <w:shd w:val="clear" w:color="auto" w:fill="D8D8D8" w:themeFill="background1" w:themeFillShade="D9"/>
            <w:vAlign w:val="center"/>
          </w:tcPr>
          <w:p>
            <w:pPr>
              <w:spacing w:before="156" w:beforeLines="50" w:line="360" w:lineRule="auto"/>
              <w:jc w:val="center"/>
              <w:rPr>
                <w:rFonts w:ascii="Times New Roman" w:hAnsi="Times New Roman" w:eastAsia="仿宋_GB2312" w:cs="Times New Roman"/>
                <w:kern w:val="0"/>
                <w:sz w:val="20"/>
                <w:szCs w:val="21"/>
              </w:rPr>
            </w:pPr>
            <w:r>
              <w:rPr>
                <w:rFonts w:ascii="Times New Roman" w:hAnsi="Times New Roman" w:eastAsia="仿宋_GB2312" w:cs="Times New Roman"/>
                <w:kern w:val="0"/>
                <w:sz w:val="20"/>
                <w:szCs w:val="21"/>
              </w:rPr>
              <w:t>研究方向</w:t>
            </w:r>
          </w:p>
        </w:tc>
        <w:tc>
          <w:tcPr>
            <w:tcW w:w="815" w:type="pct"/>
            <w:shd w:val="clear" w:color="auto" w:fill="D8D8D8" w:themeFill="background1" w:themeFillShade="D9"/>
            <w:vAlign w:val="center"/>
          </w:tcPr>
          <w:p>
            <w:pPr>
              <w:spacing w:before="156" w:beforeLines="50" w:line="360" w:lineRule="auto"/>
              <w:jc w:val="center"/>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手机号码</w:t>
            </w:r>
          </w:p>
        </w:tc>
        <w:tc>
          <w:tcPr>
            <w:tcW w:w="851" w:type="pct"/>
            <w:shd w:val="clear" w:color="auto" w:fill="D8D8D8" w:themeFill="background1" w:themeFillShade="D9"/>
            <w:vAlign w:val="center"/>
          </w:tcPr>
          <w:p>
            <w:pPr>
              <w:spacing w:before="156" w:beforeLines="50" w:line="360" w:lineRule="auto"/>
              <w:jc w:val="center"/>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 w:type="pct"/>
          </w:tcPr>
          <w:p>
            <w:pPr>
              <w:spacing w:before="156" w:beforeLines="50" w:line="360" w:lineRule="auto"/>
              <w:jc w:val="center"/>
              <w:rPr>
                <w:rFonts w:ascii="Times New Roman" w:hAnsi="Times New Roman" w:eastAsia="仿宋_GB2312" w:cs="Times New Roman"/>
                <w:kern w:val="0"/>
                <w:sz w:val="20"/>
                <w:szCs w:val="21"/>
              </w:rPr>
            </w:pPr>
          </w:p>
        </w:tc>
        <w:tc>
          <w:tcPr>
            <w:tcW w:w="604" w:type="pct"/>
          </w:tcPr>
          <w:p>
            <w:pPr>
              <w:spacing w:before="156" w:beforeLines="50" w:line="360" w:lineRule="auto"/>
              <w:jc w:val="center"/>
              <w:rPr>
                <w:rFonts w:ascii="Times New Roman" w:hAnsi="Times New Roman" w:eastAsia="仿宋_GB2312" w:cs="Times New Roman"/>
                <w:kern w:val="0"/>
                <w:sz w:val="20"/>
                <w:szCs w:val="21"/>
              </w:rPr>
            </w:pPr>
          </w:p>
        </w:tc>
        <w:tc>
          <w:tcPr>
            <w:tcW w:w="514" w:type="pct"/>
          </w:tcPr>
          <w:p>
            <w:pPr>
              <w:spacing w:before="156" w:beforeLines="50" w:line="360" w:lineRule="auto"/>
              <w:jc w:val="center"/>
              <w:rPr>
                <w:rFonts w:ascii="Times New Roman" w:hAnsi="Times New Roman" w:eastAsia="仿宋_GB2312" w:cs="Times New Roman"/>
                <w:kern w:val="0"/>
                <w:sz w:val="20"/>
                <w:szCs w:val="21"/>
              </w:rPr>
            </w:pPr>
          </w:p>
        </w:tc>
        <w:tc>
          <w:tcPr>
            <w:tcW w:w="588" w:type="pct"/>
          </w:tcPr>
          <w:p>
            <w:pPr>
              <w:spacing w:before="156" w:beforeLines="50" w:line="360" w:lineRule="auto"/>
              <w:jc w:val="center"/>
              <w:rPr>
                <w:rFonts w:ascii="Times New Roman" w:hAnsi="Times New Roman" w:eastAsia="仿宋_GB2312" w:cs="Times New Roman"/>
                <w:kern w:val="0"/>
                <w:sz w:val="20"/>
                <w:szCs w:val="21"/>
              </w:rPr>
            </w:pPr>
          </w:p>
        </w:tc>
        <w:tc>
          <w:tcPr>
            <w:tcW w:w="1038" w:type="pct"/>
          </w:tcPr>
          <w:p>
            <w:pPr>
              <w:spacing w:before="156" w:beforeLines="50" w:line="360" w:lineRule="auto"/>
              <w:jc w:val="center"/>
              <w:rPr>
                <w:rFonts w:ascii="Times New Roman" w:hAnsi="Times New Roman" w:eastAsia="仿宋_GB2312" w:cs="Times New Roman"/>
                <w:kern w:val="0"/>
                <w:sz w:val="20"/>
                <w:szCs w:val="21"/>
              </w:rPr>
            </w:pPr>
          </w:p>
        </w:tc>
        <w:tc>
          <w:tcPr>
            <w:tcW w:w="815" w:type="pct"/>
          </w:tcPr>
          <w:p>
            <w:pPr>
              <w:spacing w:before="156" w:beforeLines="50" w:line="360" w:lineRule="auto"/>
              <w:jc w:val="center"/>
              <w:rPr>
                <w:rFonts w:ascii="Times New Roman" w:hAnsi="Times New Roman" w:eastAsia="仿宋_GB2312" w:cs="Times New Roman"/>
                <w:kern w:val="0"/>
                <w:sz w:val="20"/>
                <w:szCs w:val="21"/>
              </w:rPr>
            </w:pPr>
          </w:p>
        </w:tc>
        <w:tc>
          <w:tcPr>
            <w:tcW w:w="851" w:type="pct"/>
          </w:tcPr>
          <w:p>
            <w:pPr>
              <w:spacing w:before="156" w:beforeLines="50" w:line="360" w:lineRule="auto"/>
              <w:jc w:val="center"/>
              <w:rPr>
                <w:rFonts w:ascii="Times New Roman" w:hAnsi="Times New Roman" w:eastAsia="仿宋_GB2312"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 w:type="pct"/>
          </w:tcPr>
          <w:p>
            <w:pPr>
              <w:spacing w:before="156" w:beforeLines="50" w:line="360" w:lineRule="auto"/>
              <w:jc w:val="center"/>
              <w:rPr>
                <w:rFonts w:ascii="Times New Roman" w:hAnsi="Times New Roman" w:eastAsia="仿宋_GB2312" w:cs="Times New Roman"/>
                <w:kern w:val="0"/>
                <w:sz w:val="20"/>
                <w:szCs w:val="21"/>
              </w:rPr>
            </w:pPr>
          </w:p>
        </w:tc>
        <w:tc>
          <w:tcPr>
            <w:tcW w:w="604" w:type="pct"/>
          </w:tcPr>
          <w:p>
            <w:pPr>
              <w:spacing w:before="156" w:beforeLines="50" w:line="360" w:lineRule="auto"/>
              <w:jc w:val="center"/>
              <w:rPr>
                <w:rFonts w:ascii="Times New Roman" w:hAnsi="Times New Roman" w:eastAsia="仿宋_GB2312" w:cs="Times New Roman"/>
                <w:kern w:val="0"/>
                <w:sz w:val="20"/>
                <w:szCs w:val="21"/>
              </w:rPr>
            </w:pPr>
          </w:p>
        </w:tc>
        <w:tc>
          <w:tcPr>
            <w:tcW w:w="514" w:type="pct"/>
          </w:tcPr>
          <w:p>
            <w:pPr>
              <w:spacing w:before="156" w:beforeLines="50" w:line="360" w:lineRule="auto"/>
              <w:jc w:val="center"/>
              <w:rPr>
                <w:rFonts w:ascii="Times New Roman" w:hAnsi="Times New Roman" w:eastAsia="仿宋_GB2312" w:cs="Times New Roman"/>
                <w:kern w:val="0"/>
                <w:sz w:val="20"/>
                <w:szCs w:val="21"/>
              </w:rPr>
            </w:pPr>
          </w:p>
        </w:tc>
        <w:tc>
          <w:tcPr>
            <w:tcW w:w="588" w:type="pct"/>
          </w:tcPr>
          <w:p>
            <w:pPr>
              <w:spacing w:before="156" w:beforeLines="50" w:line="360" w:lineRule="auto"/>
              <w:jc w:val="center"/>
              <w:rPr>
                <w:rFonts w:ascii="Times New Roman" w:hAnsi="Times New Roman" w:eastAsia="仿宋_GB2312" w:cs="Times New Roman"/>
                <w:kern w:val="0"/>
                <w:sz w:val="20"/>
                <w:szCs w:val="21"/>
              </w:rPr>
            </w:pPr>
          </w:p>
        </w:tc>
        <w:tc>
          <w:tcPr>
            <w:tcW w:w="1038" w:type="pct"/>
          </w:tcPr>
          <w:p>
            <w:pPr>
              <w:spacing w:before="156" w:beforeLines="50" w:line="360" w:lineRule="auto"/>
              <w:jc w:val="center"/>
              <w:rPr>
                <w:rFonts w:ascii="Times New Roman" w:hAnsi="Times New Roman" w:eastAsia="仿宋_GB2312" w:cs="Times New Roman"/>
                <w:kern w:val="0"/>
                <w:sz w:val="20"/>
                <w:szCs w:val="21"/>
              </w:rPr>
            </w:pPr>
          </w:p>
        </w:tc>
        <w:tc>
          <w:tcPr>
            <w:tcW w:w="815" w:type="pct"/>
          </w:tcPr>
          <w:p>
            <w:pPr>
              <w:spacing w:before="156" w:beforeLines="50" w:line="360" w:lineRule="auto"/>
              <w:jc w:val="center"/>
              <w:rPr>
                <w:rFonts w:ascii="Times New Roman" w:hAnsi="Times New Roman" w:eastAsia="仿宋_GB2312" w:cs="Times New Roman"/>
                <w:kern w:val="0"/>
                <w:sz w:val="20"/>
                <w:szCs w:val="21"/>
              </w:rPr>
            </w:pPr>
          </w:p>
        </w:tc>
        <w:tc>
          <w:tcPr>
            <w:tcW w:w="851" w:type="pct"/>
          </w:tcPr>
          <w:p>
            <w:pPr>
              <w:spacing w:before="156" w:beforeLines="50" w:line="360" w:lineRule="auto"/>
              <w:jc w:val="center"/>
              <w:rPr>
                <w:rFonts w:ascii="Times New Roman" w:hAnsi="Times New Roman" w:eastAsia="仿宋_GB2312"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 w:type="pct"/>
          </w:tcPr>
          <w:p>
            <w:pPr>
              <w:spacing w:before="156" w:beforeLines="50" w:line="360" w:lineRule="auto"/>
              <w:jc w:val="center"/>
              <w:rPr>
                <w:rFonts w:ascii="Times New Roman" w:hAnsi="Times New Roman" w:eastAsia="仿宋_GB2312" w:cs="Times New Roman"/>
                <w:kern w:val="0"/>
                <w:sz w:val="20"/>
                <w:szCs w:val="21"/>
              </w:rPr>
            </w:pPr>
          </w:p>
        </w:tc>
        <w:tc>
          <w:tcPr>
            <w:tcW w:w="604" w:type="pct"/>
          </w:tcPr>
          <w:p>
            <w:pPr>
              <w:spacing w:before="156" w:beforeLines="50" w:line="360" w:lineRule="auto"/>
              <w:jc w:val="center"/>
              <w:rPr>
                <w:rFonts w:ascii="Times New Roman" w:hAnsi="Times New Roman" w:eastAsia="仿宋_GB2312" w:cs="Times New Roman"/>
                <w:kern w:val="0"/>
                <w:sz w:val="20"/>
                <w:szCs w:val="21"/>
              </w:rPr>
            </w:pPr>
          </w:p>
        </w:tc>
        <w:tc>
          <w:tcPr>
            <w:tcW w:w="514" w:type="pct"/>
          </w:tcPr>
          <w:p>
            <w:pPr>
              <w:spacing w:before="156" w:beforeLines="50" w:line="360" w:lineRule="auto"/>
              <w:jc w:val="center"/>
              <w:rPr>
                <w:rFonts w:ascii="Times New Roman" w:hAnsi="Times New Roman" w:eastAsia="仿宋_GB2312" w:cs="Times New Roman"/>
                <w:kern w:val="0"/>
                <w:sz w:val="20"/>
                <w:szCs w:val="21"/>
              </w:rPr>
            </w:pPr>
          </w:p>
        </w:tc>
        <w:tc>
          <w:tcPr>
            <w:tcW w:w="588" w:type="pct"/>
          </w:tcPr>
          <w:p>
            <w:pPr>
              <w:spacing w:before="156" w:beforeLines="50" w:line="360" w:lineRule="auto"/>
              <w:jc w:val="center"/>
              <w:rPr>
                <w:rFonts w:ascii="Times New Roman" w:hAnsi="Times New Roman" w:eastAsia="仿宋_GB2312" w:cs="Times New Roman"/>
                <w:kern w:val="0"/>
                <w:sz w:val="20"/>
                <w:szCs w:val="21"/>
              </w:rPr>
            </w:pPr>
          </w:p>
        </w:tc>
        <w:tc>
          <w:tcPr>
            <w:tcW w:w="1038" w:type="pct"/>
          </w:tcPr>
          <w:p>
            <w:pPr>
              <w:spacing w:before="156" w:beforeLines="50" w:line="360" w:lineRule="auto"/>
              <w:jc w:val="center"/>
              <w:rPr>
                <w:rFonts w:ascii="Times New Roman" w:hAnsi="Times New Roman" w:eastAsia="仿宋_GB2312" w:cs="Times New Roman"/>
                <w:kern w:val="0"/>
                <w:sz w:val="20"/>
                <w:szCs w:val="21"/>
              </w:rPr>
            </w:pPr>
          </w:p>
        </w:tc>
        <w:tc>
          <w:tcPr>
            <w:tcW w:w="815" w:type="pct"/>
          </w:tcPr>
          <w:p>
            <w:pPr>
              <w:spacing w:before="156" w:beforeLines="50" w:line="360" w:lineRule="auto"/>
              <w:jc w:val="center"/>
              <w:rPr>
                <w:rFonts w:ascii="Times New Roman" w:hAnsi="Times New Roman" w:eastAsia="仿宋_GB2312" w:cs="Times New Roman"/>
                <w:kern w:val="0"/>
                <w:sz w:val="20"/>
                <w:szCs w:val="21"/>
              </w:rPr>
            </w:pPr>
          </w:p>
        </w:tc>
        <w:tc>
          <w:tcPr>
            <w:tcW w:w="851" w:type="pct"/>
          </w:tcPr>
          <w:p>
            <w:pPr>
              <w:spacing w:before="156" w:beforeLines="50" w:line="360" w:lineRule="auto"/>
              <w:jc w:val="center"/>
              <w:rPr>
                <w:rFonts w:ascii="Times New Roman" w:hAnsi="Times New Roman" w:eastAsia="仿宋_GB2312" w:cs="Times New Roman"/>
                <w:kern w:val="0"/>
                <w:sz w:val="20"/>
                <w:szCs w:val="21"/>
              </w:rPr>
            </w:pPr>
          </w:p>
        </w:tc>
      </w:tr>
    </w:tbl>
    <w:p>
      <w:pPr>
        <w:spacing w:before="156" w:beforeLines="50" w:line="360" w:lineRule="auto"/>
        <w:ind w:firstLine="640" w:firstLineChars="200"/>
        <w:outlineLvl w:val="1"/>
        <w:rPr>
          <w:rFonts w:ascii="Times New Roman" w:hAnsi="Times New Roman" w:eastAsia="楷体_GB2312" w:cs="Times New Roman"/>
          <w:sz w:val="32"/>
          <w:szCs w:val="32"/>
        </w:rPr>
      </w:pPr>
      <w:bookmarkStart w:id="14" w:name="_Toc111632823"/>
      <w:r>
        <w:rPr>
          <w:rFonts w:ascii="Times New Roman" w:hAnsi="Times New Roman" w:eastAsia="楷体_GB2312" w:cs="Times New Roman"/>
          <w:sz w:val="32"/>
          <w:szCs w:val="32"/>
        </w:rPr>
        <w:t>（二）评估过程</w:t>
      </w:r>
      <w:bookmarkEnd w:id="14"/>
    </w:p>
    <w:p>
      <w:pPr>
        <w:adjustRightInd w:val="0"/>
        <w:snapToGrid w:val="0"/>
        <w:spacing w:before="156" w:beforeLines="50" w:line="360" w:lineRule="auto"/>
        <w:ind w:firstLine="640" w:firstLineChars="200"/>
        <w:outlineLvl w:val="2"/>
        <w:rPr>
          <w:rFonts w:ascii="Times New Roman" w:hAnsi="Times New Roman" w:eastAsia="楷体_GB2312" w:cs="Times New Roman"/>
          <w:sz w:val="32"/>
          <w:szCs w:val="32"/>
        </w:rPr>
      </w:pPr>
      <w:bookmarkStart w:id="15" w:name="_Toc111632824"/>
      <w:r>
        <w:rPr>
          <w:rFonts w:ascii="Times New Roman" w:hAnsi="Times New Roman" w:eastAsia="楷体_GB2312" w:cs="Times New Roman"/>
          <w:sz w:val="32"/>
          <w:szCs w:val="32"/>
        </w:rPr>
        <w:t>（1）评估计划</w:t>
      </w:r>
      <w:bookmarkEnd w:id="15"/>
    </w:p>
    <w:p>
      <w:p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（说明</w:t>
      </w:r>
      <w:r>
        <w:rPr>
          <w:rFonts w:ascii="Times New Roman" w:hAnsi="Times New Roman" w:eastAsia="仿宋_GB2312" w:cs="Times New Roman"/>
          <w:sz w:val="32"/>
          <w:szCs w:val="32"/>
        </w:rPr>
        <w:t>企业</w:t>
      </w:r>
      <w:r>
        <w:rPr>
          <w:rFonts w:hint="eastAsia" w:ascii="Times New Roman" w:hAnsi="Times New Roman" w:eastAsia="仿宋_GB2312" w:cs="Times New Roman"/>
          <w:sz w:val="32"/>
          <w:szCs w:val="32"/>
        </w:rPr>
        <w:t>线下</w:t>
      </w:r>
      <w:r>
        <w:rPr>
          <w:rFonts w:ascii="Times New Roman" w:hAnsi="Times New Roman" w:eastAsia="仿宋_GB2312" w:cs="Times New Roman"/>
          <w:sz w:val="32"/>
          <w:szCs w:val="32"/>
        </w:rPr>
        <w:t>评估</w:t>
      </w:r>
      <w:r>
        <w:rPr>
          <w:rFonts w:hint="eastAsia" w:ascii="Times New Roman" w:hAnsi="Times New Roman" w:eastAsia="仿宋_GB2312" w:cs="Times New Roman"/>
          <w:sz w:val="32"/>
          <w:szCs w:val="32"/>
        </w:rPr>
        <w:t>诊断工作</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rPr>
        <w:t>具体</w:t>
      </w:r>
      <w:r>
        <w:rPr>
          <w:rFonts w:ascii="Times New Roman" w:hAnsi="Times New Roman" w:eastAsia="仿宋_GB2312" w:cs="Times New Roman"/>
          <w:sz w:val="32"/>
          <w:szCs w:val="32"/>
        </w:rPr>
        <w:t>计划安排，包括但不限于评估</w:t>
      </w:r>
      <w:r>
        <w:rPr>
          <w:rFonts w:hint="eastAsia" w:ascii="Times New Roman" w:hAnsi="Times New Roman" w:eastAsia="仿宋_GB2312" w:cs="Times New Roman"/>
          <w:sz w:val="32"/>
          <w:szCs w:val="32"/>
        </w:rPr>
        <w:t>诊断目的、重点</w:t>
      </w:r>
      <w:r>
        <w:rPr>
          <w:rFonts w:ascii="Times New Roman" w:hAnsi="Times New Roman" w:eastAsia="仿宋_GB2312" w:cs="Times New Roman"/>
          <w:sz w:val="32"/>
          <w:szCs w:val="32"/>
        </w:rPr>
        <w:t>任务、时间及地点</w:t>
      </w:r>
      <w:r>
        <w:rPr>
          <w:rFonts w:hint="eastAsia" w:ascii="Times New Roman" w:hAnsi="Times New Roman" w:eastAsia="仿宋_GB2312" w:cs="Times New Roman"/>
          <w:sz w:val="32"/>
          <w:szCs w:val="32"/>
        </w:rPr>
        <w:t>、企业主要参与部门及人员、评估诊断人员分组、评估诊断工作流程及</w:t>
      </w:r>
      <w:r>
        <w:rPr>
          <w:rFonts w:ascii="Times New Roman" w:hAnsi="Times New Roman" w:eastAsia="仿宋_GB2312" w:cs="Times New Roman"/>
          <w:sz w:val="32"/>
          <w:szCs w:val="32"/>
        </w:rPr>
        <w:t>日程安排等</w:t>
      </w:r>
      <w:r>
        <w:rPr>
          <w:rFonts w:hint="eastAsia" w:ascii="Times New Roman" w:hAnsi="Times New Roman" w:eastAsia="仿宋_GB2312" w:cs="Times New Roman"/>
          <w:sz w:val="32"/>
          <w:szCs w:val="32"/>
        </w:rPr>
        <w:t>）</w:t>
      </w:r>
    </w:p>
    <w:p>
      <w:pPr>
        <w:adjustRightInd w:val="0"/>
        <w:snapToGrid w:val="0"/>
        <w:spacing w:before="156" w:beforeLines="50" w:line="360" w:lineRule="auto"/>
        <w:ind w:firstLine="640" w:firstLineChars="200"/>
        <w:outlineLvl w:val="2"/>
        <w:rPr>
          <w:rFonts w:ascii="Times New Roman" w:hAnsi="Times New Roman" w:eastAsia="楷体_GB2312" w:cs="Times New Roman"/>
          <w:sz w:val="32"/>
          <w:szCs w:val="32"/>
        </w:rPr>
      </w:pPr>
      <w:bookmarkStart w:id="16" w:name="_Toc111632825"/>
      <w:r>
        <w:rPr>
          <w:rFonts w:ascii="Times New Roman" w:hAnsi="Times New Roman" w:eastAsia="楷体_GB2312" w:cs="Times New Roman"/>
          <w:sz w:val="32"/>
          <w:szCs w:val="32"/>
        </w:rPr>
        <w:t>（2）评估实施</w:t>
      </w:r>
      <w:bookmarkEnd w:id="16"/>
    </w:p>
    <w:p>
      <w:p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（结合评估诊断计划与工作实际开展情况，记录</w:t>
      </w:r>
      <w:r>
        <w:rPr>
          <w:rFonts w:ascii="Times New Roman" w:hAnsi="Times New Roman" w:eastAsia="仿宋_GB2312" w:cs="Times New Roman"/>
          <w:sz w:val="32"/>
          <w:szCs w:val="32"/>
        </w:rPr>
        <w:t>企业线下评估</w:t>
      </w:r>
      <w:r>
        <w:rPr>
          <w:rFonts w:hint="eastAsia" w:ascii="Times New Roman" w:hAnsi="Times New Roman" w:eastAsia="仿宋_GB2312" w:cs="Times New Roman"/>
          <w:sz w:val="32"/>
          <w:szCs w:val="32"/>
        </w:rPr>
        <w:t>诊断工作的具体实施过程，包括宣贯培训、访谈交流、文件材料查阅、车间现场调研等情况）</w:t>
      </w:r>
    </w:p>
    <w:p>
      <w:pPr>
        <w:adjustRightInd w:val="0"/>
        <w:snapToGrid w:val="0"/>
        <w:spacing w:before="156" w:beforeLines="50" w:line="360" w:lineRule="auto"/>
        <w:ind w:firstLine="640" w:firstLineChars="200"/>
        <w:outlineLvl w:val="2"/>
        <w:rPr>
          <w:rFonts w:ascii="Times New Roman" w:hAnsi="Times New Roman" w:eastAsia="楷体_GB2312" w:cs="Times New Roman"/>
          <w:sz w:val="32"/>
          <w:szCs w:val="32"/>
        </w:rPr>
      </w:pPr>
      <w:bookmarkStart w:id="17" w:name="_Toc111632826"/>
      <w:r>
        <w:rPr>
          <w:rFonts w:ascii="Times New Roman" w:hAnsi="Times New Roman" w:eastAsia="楷体_GB2312" w:cs="Times New Roman"/>
          <w:sz w:val="32"/>
          <w:szCs w:val="32"/>
        </w:rPr>
        <w:t>（3）评估监管</w:t>
      </w:r>
      <w:bookmarkEnd w:id="17"/>
    </w:p>
    <w:p>
      <w:p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（总结梳理</w:t>
      </w:r>
      <w:r>
        <w:rPr>
          <w:rFonts w:ascii="Times New Roman" w:hAnsi="Times New Roman" w:eastAsia="仿宋_GB2312" w:cs="Times New Roman"/>
          <w:sz w:val="32"/>
          <w:szCs w:val="32"/>
        </w:rPr>
        <w:t>评估</w:t>
      </w:r>
      <w:r>
        <w:rPr>
          <w:rFonts w:hint="eastAsia" w:ascii="Times New Roman" w:hAnsi="Times New Roman" w:eastAsia="仿宋_GB2312" w:cs="Times New Roman"/>
          <w:sz w:val="32"/>
          <w:szCs w:val="32"/>
        </w:rPr>
        <w:t>诊断工作保质保量完成的相关证明材料</w:t>
      </w:r>
      <w:r>
        <w:rPr>
          <w:rFonts w:ascii="Times New Roman" w:hAnsi="Times New Roman" w:eastAsia="仿宋_GB2312" w:cs="Times New Roman"/>
          <w:sz w:val="32"/>
          <w:szCs w:val="32"/>
        </w:rPr>
        <w:t>，包括</w:t>
      </w:r>
      <w:r>
        <w:rPr>
          <w:rFonts w:hint="eastAsia" w:ascii="Times New Roman" w:hAnsi="Times New Roman" w:eastAsia="仿宋_GB2312" w:cs="Times New Roman"/>
          <w:sz w:val="32"/>
          <w:szCs w:val="32"/>
        </w:rPr>
        <w:t>查阅的文件材料清单，以及宣贯培训、访谈交流和车间调研等过程的现场照片等）</w:t>
      </w:r>
    </w:p>
    <w:p>
      <w:pPr>
        <w:spacing w:line="360" w:lineRule="auto"/>
        <w:ind w:firstLine="640" w:firstLineChars="200"/>
        <w:jc w:val="left"/>
        <w:outlineLvl w:val="0"/>
        <w:rPr>
          <w:rFonts w:ascii="Times New Roman" w:hAnsi="Times New Roman" w:eastAsia="黑体" w:cs="Times New Roman"/>
          <w:sz w:val="32"/>
          <w:szCs w:val="32"/>
        </w:rPr>
      </w:pPr>
      <w:bookmarkStart w:id="18" w:name="_Toc111632827"/>
      <w:r>
        <w:rPr>
          <w:rFonts w:ascii="Times New Roman" w:hAnsi="Times New Roman" w:eastAsia="黑体" w:cs="Times New Roman"/>
          <w:sz w:val="32"/>
          <w:szCs w:val="32"/>
        </w:rPr>
        <w:t>三、企业转型发展情况</w:t>
      </w:r>
      <w:bookmarkEnd w:id="18"/>
    </w:p>
    <w:p>
      <w:pPr>
        <w:spacing w:line="360" w:lineRule="auto"/>
        <w:ind w:firstLine="640" w:firstLineChars="200"/>
      </w:pPr>
      <w:r>
        <w:rPr>
          <w:rFonts w:hint="eastAsia" w:ascii="Times New Roman" w:hAnsi="Times New Roman" w:eastAsia="仿宋_GB2312" w:cs="Times New Roman"/>
          <w:sz w:val="32"/>
          <w:szCs w:val="32"/>
        </w:rPr>
        <w:t>（本部分需依据《内蒙古自治区工业企业线下数字化评估诊断工作指南》，对2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项关键指标的情况进行了解和验证，基于指标情况说明企业数字化转型发展的现状和存在的问题，分析部分指标未能实现的原因，并提出相应的改进建议）</w:t>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bookmarkStart w:id="19" w:name="_Toc111632828"/>
      <w:r>
        <w:rPr>
          <w:rFonts w:ascii="Times New Roman" w:hAnsi="Times New Roman" w:eastAsia="楷体_GB2312" w:cs="Times New Roman"/>
          <w:sz w:val="32"/>
          <w:szCs w:val="32"/>
        </w:rPr>
        <w:t>（一）</w:t>
      </w:r>
      <w:r>
        <w:rPr>
          <w:rFonts w:hint="eastAsia" w:ascii="Times New Roman" w:hAnsi="Times New Roman" w:eastAsia="楷体_GB2312" w:cs="Times New Roman"/>
          <w:sz w:val="32"/>
          <w:szCs w:val="32"/>
        </w:rPr>
        <w:t>企业</w:t>
      </w:r>
      <w:r>
        <w:rPr>
          <w:rFonts w:ascii="Times New Roman" w:hAnsi="Times New Roman" w:eastAsia="楷体_GB2312" w:cs="Times New Roman"/>
          <w:sz w:val="32"/>
          <w:szCs w:val="32"/>
        </w:rPr>
        <w:t>关键工序数控化</w:t>
      </w:r>
      <w:r>
        <w:rPr>
          <w:rFonts w:hint="eastAsia" w:ascii="Times New Roman" w:hAnsi="Times New Roman" w:eastAsia="楷体_GB2312" w:cs="Times New Roman"/>
          <w:sz w:val="32"/>
          <w:szCs w:val="32"/>
        </w:rPr>
        <w:t>情况</w:t>
      </w:r>
      <w:bookmarkEnd w:id="19"/>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建设应用生产过程控制系统或数控系统等，实现对生产制造过程中关键工序或生产线的数字化管控，从而提高对生产过程关键工序的管控能力，提高产品质量和生产效率。对于流程行业，主要是建设应用过程控制系统（例如PLC、DCS、PCS等）；对于离散行业，主要是建设应用数控系统（例如NC、DNC、CNC、FMC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（说明企业实际建设现状、建设过程、得到的价值成效和存在的问题等，建设现状包括但不限于企业关键工序数控化率、关键工序或生产线总数量、实现数控化的关键工序或生产线数量等情况）</w:t>
            </w:r>
          </w:p>
          <w:p>
            <w:pPr>
              <w:pStyle w:val="27"/>
              <w:ind w:firstLine="56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关键工序数控化率：</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w:t>
            </w:r>
          </w:p>
        </w:tc>
        <w:tc>
          <w:tcPr>
            <w:tcW w:w="2853"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bookmarkStart w:id="20" w:name="_Toc111632832"/>
      <w:r>
        <w:rPr>
          <w:rFonts w:ascii="Times New Roman" w:hAnsi="Times New Roman" w:eastAsia="楷体_GB2312" w:cs="Times New Roman"/>
          <w:sz w:val="32"/>
          <w:szCs w:val="32"/>
        </w:rPr>
        <w:t>（二）</w:t>
      </w:r>
      <w:bookmarkEnd w:id="20"/>
      <w:r>
        <w:rPr>
          <w:rFonts w:hint="eastAsia" w:ascii="Times New Roman" w:hAnsi="Times New Roman" w:eastAsia="楷体_GB2312" w:cs="Times New Roman"/>
          <w:sz w:val="32"/>
          <w:szCs w:val="32"/>
        </w:rPr>
        <w:t>企业研发设计环节数字化工具应用情况</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744"/>
        <w:gridCol w:w="4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使用辅助开展产品设计、工艺设计的软件工具，实现数字化的建模、仿真、验证等，从而提高研发设计效率。对于流程行业，主要是应用产品配方数字化建模工具；对于离散行业，主要是应用二维或三维CAD、CAE、CAPP等软件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（说明企业实际建设现状、建设过程、得到的价值成效和存在的问题等，建设现状包括但不限于企业在产品设计、工艺设计等过程中使用的软件工具情况）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610" w:type="pct"/>
            <w:shd w:val="clear" w:color="auto" w:fill="auto"/>
            <w:vAlign w:val="center"/>
          </w:tcPr>
          <w:p>
            <w:pPr>
              <w:jc w:val="center"/>
              <w:rPr>
                <w:rFonts w:eastAsia="方正仿宋_GBK"/>
                <w:sz w:val="28"/>
                <w:szCs w:val="28"/>
              </w:rPr>
            </w:pPr>
            <w:r>
              <w:rPr>
                <w:rFonts w:hint="eastAsia" w:eastAsia="方正仿宋_GBK"/>
                <w:sz w:val="28"/>
                <w:szCs w:val="28"/>
              </w:rPr>
              <w:t>是否应用数字化研发设计工具：</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556"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pStyle w:val="2"/>
        <w:ind w:firstLine="420"/>
      </w:pPr>
      <w: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bookmarkStart w:id="21" w:name="_Toc111632836"/>
      <w:r>
        <w:rPr>
          <w:rFonts w:ascii="Times New Roman" w:hAnsi="Times New Roman" w:eastAsia="楷体_GB2312" w:cs="Times New Roman"/>
          <w:sz w:val="32"/>
          <w:szCs w:val="32"/>
        </w:rPr>
        <w:t>（三）</w:t>
      </w:r>
      <w:r>
        <w:rPr>
          <w:rFonts w:hint="eastAsia" w:ascii="Times New Roman" w:hAnsi="Times New Roman" w:eastAsia="楷体_GB2312" w:cs="Times New Roman"/>
          <w:sz w:val="32"/>
          <w:szCs w:val="32"/>
        </w:rPr>
        <w:t>企业经营管理环节数字化情况</w:t>
      </w:r>
      <w:bookmarkEnd w:id="21"/>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618"/>
        <w:gridCol w:w="4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highlight w:val="yellow"/>
              </w:rPr>
            </w:pPr>
            <w:r>
              <w:rPr>
                <w:rFonts w:hint="eastAsia" w:eastAsia="方正仿宋_GBK"/>
                <w:sz w:val="28"/>
                <w:szCs w:val="28"/>
              </w:rPr>
              <w:t>企业通过数字技术与经营管理各个重点业务环节融合应用，全面提升数字化经营管理能力，实现经营管理效率提升和成本降低。其中，经营管理重点业务环节主要包括企业采购、销售、财务、人力、办公等。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（说明企业实际建设现状、建设过程、得到的价值成效和存在的问题等，建设现状包括但不限于企业采购、销售、财务、人力、办公等重点业务环节的数字技术融合应用情况）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536" w:type="pct"/>
            <w:shd w:val="clear" w:color="auto" w:fill="auto"/>
            <w:vAlign w:val="center"/>
          </w:tcPr>
          <w:p>
            <w:pPr>
              <w:jc w:val="center"/>
              <w:rPr>
                <w:rFonts w:eastAsia="方正仿宋_GBK"/>
                <w:sz w:val="28"/>
                <w:szCs w:val="28"/>
              </w:rPr>
            </w:pPr>
            <w:r>
              <w:rPr>
                <w:rFonts w:hint="eastAsia" w:eastAsia="方正仿宋_GBK"/>
                <w:sz w:val="28"/>
                <w:szCs w:val="28"/>
              </w:rPr>
              <w:t>是否实现经营管理数字化：</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630"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pStyle w:val="2"/>
        <w:ind w:firstLine="420"/>
      </w:pPr>
      <w: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bookmarkStart w:id="22" w:name="_Toc111632840"/>
      <w:r>
        <w:rPr>
          <w:rFonts w:ascii="Times New Roman" w:hAnsi="Times New Roman" w:eastAsia="楷体_GB2312" w:cs="Times New Roman"/>
          <w:sz w:val="32"/>
          <w:szCs w:val="32"/>
        </w:rPr>
        <w:t>（四）</w:t>
      </w:r>
      <w:r>
        <w:rPr>
          <w:rFonts w:hint="eastAsia" w:ascii="Times New Roman" w:hAnsi="Times New Roman" w:eastAsia="楷体_GB2312" w:cs="Times New Roman"/>
          <w:sz w:val="32"/>
          <w:szCs w:val="32"/>
        </w:rPr>
        <w:t>企业关键业务环节全面数字化情况</w:t>
      </w:r>
      <w:bookmarkEnd w:id="22"/>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996"/>
        <w:gridCol w:w="4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企业通过数字技术与研发设计、生产制造、经营管理等重点业务环节融合应用，全面实现各单项业务环节的数字化管控，从而提高研发、生产、经营效率和价值创造能力，降低各关键业务环节的成本。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在研发设计、生产制造、经营管理等重点业务环节应用数字化设备、自动化生产线和信息系统等实现数字化管控的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758" w:type="pct"/>
            <w:shd w:val="clear" w:color="auto" w:fill="auto"/>
            <w:vAlign w:val="center"/>
          </w:tcPr>
          <w:p>
            <w:pPr>
              <w:jc w:val="center"/>
              <w:rPr>
                <w:rFonts w:eastAsia="方正仿宋_GBK"/>
                <w:sz w:val="28"/>
                <w:szCs w:val="28"/>
              </w:rPr>
            </w:pPr>
            <w:r>
              <w:rPr>
                <w:rFonts w:hint="eastAsia" w:eastAsia="方正仿宋_GBK"/>
                <w:sz w:val="28"/>
                <w:szCs w:val="28"/>
              </w:rPr>
              <w:t>是否实现关键业务环节全面数字化：</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407"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pStyle w:val="2"/>
        <w:ind w:firstLine="420"/>
      </w:pPr>
      <w: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bookmarkStart w:id="23" w:name="_Toc111632844"/>
      <w:r>
        <w:rPr>
          <w:rFonts w:ascii="Times New Roman" w:hAnsi="Times New Roman" w:eastAsia="楷体_GB2312" w:cs="Times New Roman"/>
          <w:sz w:val="32"/>
          <w:szCs w:val="32"/>
        </w:rPr>
        <w:t>（五）</w:t>
      </w:r>
      <w:r>
        <w:rPr>
          <w:rFonts w:hint="eastAsia" w:ascii="Times New Roman" w:hAnsi="Times New Roman" w:eastAsia="楷体_GB2312" w:cs="Times New Roman"/>
          <w:sz w:val="32"/>
          <w:szCs w:val="32"/>
        </w:rPr>
        <w:t>企业生产设备数字化情况</w:t>
      </w:r>
      <w:bookmarkEnd w:id="23"/>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引进数字化生产设备或对原有设备进行数字化改造升级，实现自动化、数字化生产，从而提高生产效率和产品质量。对于流程行业，主要包括单体设备中具备数据信息自动采集功能的设备；对于离散行业，主要包括数控机床、数控加工中心、工业机器人、带数据接口的机电一体化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（说明企业实际建设现状、建设过程、得到的价值成效和存在的问题等，建设现状包括但不限于企业数字化生产设备的类别、使用情况以及实现的功能等）</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生产设备数字化率：</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24" w:name="_Toc111632848"/>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（六）</w:t>
      </w:r>
      <w:r>
        <w:rPr>
          <w:rFonts w:hint="eastAsia" w:ascii="Times New Roman" w:hAnsi="Times New Roman" w:eastAsia="楷体_GB2312" w:cs="Times New Roman"/>
          <w:sz w:val="32"/>
          <w:szCs w:val="32"/>
        </w:rPr>
        <w:t>企业</w:t>
      </w:r>
      <w:r>
        <w:rPr>
          <w:rFonts w:ascii="Times New Roman" w:hAnsi="Times New Roman" w:eastAsia="楷体_GB2312" w:cs="Times New Roman"/>
          <w:sz w:val="32"/>
          <w:szCs w:val="32"/>
        </w:rPr>
        <w:t>数字化生产设备联网</w:t>
      </w:r>
      <w:r>
        <w:rPr>
          <w:rFonts w:hint="eastAsia" w:ascii="Times New Roman" w:hAnsi="Times New Roman" w:eastAsia="楷体_GB2312" w:cs="Times New Roman"/>
          <w:sz w:val="32"/>
          <w:szCs w:val="32"/>
        </w:rPr>
        <w:t>情况</w:t>
      </w:r>
      <w:bookmarkEnd w:id="24"/>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企业通过对数字化生产设备进行联网，实现数字化生产设备与控制系统之间的数据交换，提高数字化生产设备的集成互联、数据贯通和协同运作水平。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（说明企业实际建设现状、建设过程、得到的价值成效和存在的问题等，建设现状包括但不限于企业自动化底层装备、车间数控设备、生产监控设备及现场物流设备等数字化设备的联网情况）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数字化生产设备联网率：</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25" w:name="_Toc111632852"/>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（七）企业工业设备上云</w:t>
      </w:r>
      <w:r>
        <w:rPr>
          <w:rFonts w:hint="eastAsia" w:ascii="Times New Roman" w:hAnsi="Times New Roman" w:eastAsia="楷体_GB2312" w:cs="Times New Roman"/>
          <w:sz w:val="32"/>
          <w:szCs w:val="32"/>
        </w:rPr>
        <w:t>情况</w:t>
      </w:r>
      <w:bookmarkEnd w:id="25"/>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推动工业设备上云上平台，实现设备状态监测、优化调度、远程控制、预测性维护、风险预警等功能，强化工业设备的数字化管理能力。其中，上云上平台包括连接私有云、公有云和混合云，私有云指企业专有并独立使用的云资源及服务，公有云指第三方服务商为企业提供的云资源及服务，混合云则是融合了私有云和公有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（说明企业实际建设现状、建设过程、得到的价值成效和存在的问题等，建设现状包括但不限于企业上云上平台的工业设备数量、设备种类、云端数据交换情况等）</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工业设备上云率：</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26" w:name="_Toc111632856"/>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（八）</w:t>
      </w:r>
      <w:r>
        <w:rPr>
          <w:rFonts w:hint="eastAsia" w:ascii="Times New Roman" w:hAnsi="Times New Roman" w:eastAsia="楷体_GB2312" w:cs="Times New Roman"/>
          <w:sz w:val="32"/>
          <w:szCs w:val="32"/>
        </w:rPr>
        <w:t>企业</w:t>
      </w:r>
      <w:r>
        <w:rPr>
          <w:rFonts w:ascii="Times New Roman" w:hAnsi="Times New Roman" w:eastAsia="楷体_GB2312" w:cs="Times New Roman"/>
          <w:sz w:val="32"/>
          <w:szCs w:val="32"/>
        </w:rPr>
        <w:t>工业云平台</w:t>
      </w:r>
      <w:r>
        <w:rPr>
          <w:rFonts w:hint="eastAsia" w:ascii="Times New Roman" w:hAnsi="Times New Roman" w:eastAsia="楷体_GB2312" w:cs="Times New Roman"/>
          <w:sz w:val="32"/>
          <w:szCs w:val="32"/>
        </w:rPr>
        <w:t>应用情况</w:t>
      </w:r>
      <w:bookmarkEnd w:id="26"/>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应用工业云平台，有效利用云平台提供的云存储、云计算、工业微服务组件、工业APP等服务和功能，实现研发、生产、管理等方面数字化能力提升。其中，工业云平台包括私有云、公有云和混合云，私有云指企业专有并独立使用的云资源及服务，公有云指第三方服务商为企业提供的云资源及服务，混合云则是融合了私有云和公有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（说明企业实际建设现状、建设过程、得到的价值成效和存在的问题等，建设现状包括但不限于基于工业云平台的数据存储、数据计算、软件应用、云端管理等情况）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是否应用工业云平台：</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27" w:name="_Toc111632860"/>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（九）</w:t>
      </w:r>
      <w:r>
        <w:rPr>
          <w:rFonts w:hint="eastAsia" w:ascii="Times New Roman" w:hAnsi="Times New Roman" w:eastAsia="楷体_GB2312" w:cs="Times New Roman"/>
          <w:sz w:val="32"/>
          <w:szCs w:val="32"/>
        </w:rPr>
        <w:t>企业</w:t>
      </w:r>
      <w:r>
        <w:rPr>
          <w:rFonts w:ascii="Times New Roman" w:hAnsi="Times New Roman" w:eastAsia="楷体_GB2312" w:cs="Times New Roman"/>
          <w:sz w:val="32"/>
          <w:szCs w:val="32"/>
        </w:rPr>
        <w:t>工业互联网平台</w:t>
      </w:r>
      <w:r>
        <w:rPr>
          <w:rFonts w:hint="eastAsia" w:ascii="Times New Roman" w:hAnsi="Times New Roman" w:eastAsia="楷体_GB2312" w:cs="Times New Roman"/>
          <w:sz w:val="32"/>
          <w:szCs w:val="32"/>
        </w:rPr>
        <w:t>应用情况</w:t>
      </w:r>
      <w:bookmarkEnd w:id="27"/>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492"/>
        <w:gridCol w:w="4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应用工业互联网平台，开展研发、生产、经营、服务等各类数据的云端分类分级存储，实现数据可视化、数据融合、数据挖掘、数据共享等功能，实现生产方式优化与组织形态变革，提升企业核心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（说明企业实际建设现状、建设过程、得到的价值成效和存在的问题等，包括但不限于企业在工业互联网平台应用方面的战略制定、资金投入、云端业务协同、新模式新业态创新、经济社会效益提升等情况）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462" w:type="pct"/>
            <w:shd w:val="clear" w:color="auto" w:fill="auto"/>
            <w:vAlign w:val="center"/>
          </w:tcPr>
          <w:p>
            <w:pPr>
              <w:jc w:val="center"/>
              <w:rPr>
                <w:rFonts w:eastAsia="方正仿宋_GBK"/>
                <w:sz w:val="28"/>
                <w:szCs w:val="28"/>
              </w:rPr>
            </w:pPr>
            <w:r>
              <w:rPr>
                <w:rFonts w:hint="eastAsia" w:eastAsia="方正仿宋_GBK"/>
                <w:sz w:val="28"/>
                <w:szCs w:val="28"/>
              </w:rPr>
              <w:t>是否应用工业互联网平台：</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704"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28" w:name="_Toc111632864"/>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（十）</w:t>
      </w:r>
      <w:r>
        <w:rPr>
          <w:rFonts w:hint="eastAsia" w:ascii="Times New Roman" w:hAnsi="Times New Roman" w:eastAsia="楷体_GB2312" w:cs="Times New Roman"/>
          <w:sz w:val="32"/>
          <w:szCs w:val="32"/>
        </w:rPr>
        <w:t>企业工业软件应用情况</w:t>
      </w:r>
      <w:bookmarkEnd w:id="28"/>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企业通过应用工业软件，实现研发、生产、管理等方面数字化能力有效提升。其中，工业软件类型主要包括ERP、SCM、CRM等经营管理类软件，PLM、PDM、CAD</w:t>
            </w:r>
            <w:r>
              <w:rPr>
                <w:rFonts w:eastAsia="方正仿宋_GBK"/>
                <w:sz w:val="28"/>
                <w:szCs w:val="28"/>
              </w:rPr>
              <w:t>/CAE/CAPP</w:t>
            </w:r>
            <w:r>
              <w:rPr>
                <w:rFonts w:hint="eastAsia" w:eastAsia="方正仿宋_GBK"/>
                <w:sz w:val="28"/>
                <w:szCs w:val="28"/>
              </w:rPr>
              <w:t>等产品研发类软件，以及MES、CAM、SCADA等生产管控类软件。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包括但不限于企业应用ERP系统实现生产、采购、销售、人力、财务等环节的数字化管理，应用PLM系统实现产品设计、工艺设计、产品变更等产品全生命周期管理，以及应用MES系统实现生产管理、销售管理、设备管理、质量计量管理的可视化与协同化等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是否应用工业软件：</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29" w:name="_Toc111632868"/>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（十</w:t>
      </w:r>
      <w:r>
        <w:rPr>
          <w:rFonts w:hint="eastAsia" w:ascii="Times New Roman" w:hAnsi="Times New Roman" w:eastAsia="楷体_GB2312" w:cs="Times New Roman"/>
          <w:sz w:val="32"/>
          <w:szCs w:val="32"/>
        </w:rPr>
        <w:t>一</w:t>
      </w:r>
      <w:r>
        <w:rPr>
          <w:rFonts w:ascii="Times New Roman" w:hAnsi="Times New Roman" w:eastAsia="楷体_GB2312" w:cs="Times New Roman"/>
          <w:sz w:val="32"/>
          <w:szCs w:val="32"/>
        </w:rPr>
        <w:t>）</w:t>
      </w:r>
      <w:bookmarkEnd w:id="29"/>
      <w:r>
        <w:rPr>
          <w:rFonts w:hint="eastAsia" w:ascii="Times New Roman" w:hAnsi="Times New Roman" w:eastAsia="楷体_GB2312" w:cs="Times New Roman"/>
          <w:sz w:val="32"/>
          <w:szCs w:val="32"/>
        </w:rPr>
        <w:t>企业实现管理与控制集成情况</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基于不同业务环节建设应用的信息系统，通过数据打通和业务集成等方式，实现企业车间生产制造过程控制系统、车间生产制造执行系统、经营管理系统之间的纵向集成运作，提高企业计划层、执行层、控制层之间的集成管理效率和价值协同创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生产管理（计划层）、车间生产制造执行（执行层）、生产制造过程控制（控制层）之间的信息上传、指令下达等无缝衔接和业务集成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是否实现管控集成：</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30" w:name="_Toc111632872"/>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（十</w:t>
      </w:r>
      <w:r>
        <w:rPr>
          <w:rFonts w:hint="eastAsia" w:ascii="Times New Roman" w:hAnsi="Times New Roman" w:eastAsia="楷体_GB2312" w:cs="Times New Roman"/>
          <w:sz w:val="32"/>
          <w:szCs w:val="32"/>
        </w:rPr>
        <w:t>二</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企业</w:t>
      </w:r>
      <w:r>
        <w:rPr>
          <w:rFonts w:ascii="Times New Roman" w:hAnsi="Times New Roman" w:eastAsia="楷体_GB2312" w:cs="Times New Roman"/>
          <w:sz w:val="32"/>
          <w:szCs w:val="32"/>
        </w:rPr>
        <w:t>实现产供销集成</w:t>
      </w:r>
      <w:r>
        <w:rPr>
          <w:rFonts w:hint="eastAsia" w:ascii="Times New Roman" w:hAnsi="Times New Roman" w:eastAsia="楷体_GB2312" w:cs="Times New Roman"/>
          <w:sz w:val="32"/>
          <w:szCs w:val="32"/>
        </w:rPr>
        <w:t>情况</w:t>
      </w:r>
      <w:bookmarkEnd w:id="30"/>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企业通过产供销全过程重点环节的信息系统建设应用，实现内部供应链中物料采购、原料和产成品库、生产制造、产品销售等环节的业务集成运作，以及与财务系统的互联互通，有效提升产供销一体化运行效率。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利用信息系统集成实现内部供应链各业务环节集成运作的情况，以及各业务环节与财务管理进行无缝衔接的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是否实现产供销集成：</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31" w:name="_Toc111632876"/>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（十</w:t>
      </w:r>
      <w:r>
        <w:rPr>
          <w:rFonts w:hint="eastAsia" w:ascii="Times New Roman" w:hAnsi="Times New Roman" w:eastAsia="楷体_GB2312" w:cs="Times New Roman"/>
          <w:sz w:val="32"/>
          <w:szCs w:val="32"/>
        </w:rPr>
        <w:t>三</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企业</w:t>
      </w:r>
      <w:r>
        <w:rPr>
          <w:rFonts w:ascii="Times New Roman" w:hAnsi="Times New Roman" w:eastAsia="楷体_GB2312" w:cs="Times New Roman"/>
          <w:sz w:val="32"/>
          <w:szCs w:val="32"/>
        </w:rPr>
        <w:t>实现产业链协同</w:t>
      </w:r>
      <w:r>
        <w:rPr>
          <w:rFonts w:hint="eastAsia" w:ascii="Times New Roman" w:hAnsi="Times New Roman" w:eastAsia="楷体_GB2312" w:cs="Times New Roman"/>
          <w:sz w:val="32"/>
          <w:szCs w:val="32"/>
        </w:rPr>
        <w:t>情况</w:t>
      </w:r>
      <w:bookmarkEnd w:id="31"/>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基于自身数字化建设情况，推动与产业链上下游企业间在研发、采购、生产、销售、财务等关键业务环节的协同运作，实现产业链企业间信息交互共享和业务协同一体化，包括但不限于企业间的信息协同、资源协同、业务协同、市场协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（说明企业实际建设现状、建设过程、得到的价值成效和存在的问题等，建设现状包括但不限于企业利用信息系统实现与产业链上下游企业协同化的研发设计、生产制造、物料采购、产品销售、财务管理等情况）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是否实现产业链协同：</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32" w:name="_Toc111632880"/>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（十</w:t>
      </w:r>
      <w:r>
        <w:rPr>
          <w:rFonts w:hint="eastAsia" w:ascii="Times New Roman" w:hAnsi="Times New Roman" w:eastAsia="楷体_GB2312" w:cs="Times New Roman"/>
          <w:sz w:val="32"/>
          <w:szCs w:val="32"/>
        </w:rPr>
        <w:t>四</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企业实现</w:t>
      </w:r>
      <w:r>
        <w:rPr>
          <w:rFonts w:ascii="Times New Roman" w:hAnsi="Times New Roman" w:eastAsia="楷体_GB2312" w:cs="Times New Roman"/>
          <w:sz w:val="32"/>
          <w:szCs w:val="32"/>
        </w:rPr>
        <w:t>网络化协同</w:t>
      </w:r>
      <w:r>
        <w:rPr>
          <w:rFonts w:hint="eastAsia" w:ascii="Times New Roman" w:hAnsi="Times New Roman" w:eastAsia="楷体_GB2312" w:cs="Times New Roman"/>
          <w:sz w:val="32"/>
          <w:szCs w:val="32"/>
        </w:rPr>
        <w:t>情况</w:t>
      </w:r>
      <w:bookmarkEnd w:id="32"/>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应用云化设计软件（CAX）、云化企业资源计划系统（ERP）、云化制造执行系统（MES）、云化供应链管理系统（SCM）等新型软件工具，开展跨企业的网络化产品协同设计与网络化协同生产制造，共享设计模型、生产数据、用户使用信息、产品数据库等，有效提升资源配置效率，提高企业研发创新与生产制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（说明企业实际建设现状、建设过程、得到的价值成效和存在的问题等，建设现状包括但不限于跨企业网络化产品协同设计与制造等情况）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是否开展网络化协同：</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33" w:name="_Toc111632884"/>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（十</w:t>
      </w:r>
      <w:r>
        <w:rPr>
          <w:rFonts w:hint="eastAsia" w:ascii="Times New Roman" w:hAnsi="Times New Roman" w:eastAsia="楷体_GB2312" w:cs="Times New Roman"/>
          <w:sz w:val="32"/>
          <w:szCs w:val="32"/>
        </w:rPr>
        <w:t>五</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企业</w:t>
      </w:r>
      <w:r>
        <w:rPr>
          <w:rFonts w:ascii="Times New Roman" w:hAnsi="Times New Roman" w:eastAsia="楷体_GB2312" w:cs="Times New Roman"/>
          <w:sz w:val="32"/>
          <w:szCs w:val="32"/>
        </w:rPr>
        <w:t>开展服务型制造</w:t>
      </w:r>
      <w:r>
        <w:rPr>
          <w:rFonts w:hint="eastAsia" w:ascii="Times New Roman" w:hAnsi="Times New Roman" w:eastAsia="楷体_GB2312" w:cs="Times New Roman"/>
          <w:sz w:val="32"/>
          <w:szCs w:val="32"/>
        </w:rPr>
        <w:t>情况</w:t>
      </w:r>
      <w:bookmarkEnd w:id="33"/>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拓展设备健康管理、产品远程运维、设备融资租赁、共享制造、供应链金融、总集成总承包等新型服务，实现从单纯出售产品向出售“产品+服务”的模式转变，从原有制造业务向价值链两端高附加值环节延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（说明企业实际建设现状、建设过程、得到的价值成效和存在的问题等，建设现状包括但不限于企业基于产品的远程在线服务、网络化精准营销、质量全流程可追溯等情况）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是否开展服务型制造：</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34" w:name="_Toc111632888"/>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（十</w:t>
      </w:r>
      <w:r>
        <w:rPr>
          <w:rFonts w:hint="eastAsia" w:ascii="Times New Roman" w:hAnsi="Times New Roman" w:eastAsia="楷体_GB2312" w:cs="Times New Roman"/>
          <w:sz w:val="32"/>
          <w:szCs w:val="32"/>
        </w:rPr>
        <w:t>六</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企业</w:t>
      </w:r>
      <w:r>
        <w:rPr>
          <w:rFonts w:ascii="Times New Roman" w:hAnsi="Times New Roman" w:eastAsia="楷体_GB2312" w:cs="Times New Roman"/>
          <w:sz w:val="32"/>
          <w:szCs w:val="32"/>
        </w:rPr>
        <w:t>开展个性化定制</w:t>
      </w:r>
      <w:r>
        <w:rPr>
          <w:rFonts w:hint="eastAsia" w:ascii="Times New Roman" w:hAnsi="Times New Roman" w:eastAsia="楷体_GB2312" w:cs="Times New Roman"/>
          <w:sz w:val="32"/>
          <w:szCs w:val="32"/>
        </w:rPr>
        <w:t>情况</w:t>
      </w:r>
      <w:bookmarkEnd w:id="34"/>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基于个性化定制平台及模型库，面向客户个性化需求，发展客户需求分析、敏捷产品开发设计、柔性智能生产、精准交付服务等系统，增强用户在产品全生命周期中的参与度，实现供需精准对接和高效匹配，打造集用户需求获取、研发设计、柔性生产、交付服务于一体的产品和服务个性化定制系统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面向客户个性化需求实现产品供需精准对接和高效匹配，以及客户深度参与产品研发、生产、供应链等全过程的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是否开展个性化定制：</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35" w:name="_Toc111632892"/>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十七</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企业</w:t>
      </w:r>
      <w:r>
        <w:rPr>
          <w:rFonts w:ascii="Times New Roman" w:hAnsi="Times New Roman" w:eastAsia="楷体_GB2312" w:cs="Times New Roman"/>
          <w:sz w:val="32"/>
          <w:szCs w:val="32"/>
        </w:rPr>
        <w:t>应用电子商务</w:t>
      </w:r>
      <w:r>
        <w:rPr>
          <w:rFonts w:hint="eastAsia" w:ascii="Times New Roman" w:hAnsi="Times New Roman" w:eastAsia="楷体_GB2312" w:cs="Times New Roman"/>
          <w:sz w:val="32"/>
          <w:szCs w:val="32"/>
        </w:rPr>
        <w:t>情况</w:t>
      </w:r>
      <w:bookmarkEnd w:id="35"/>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492"/>
        <w:gridCol w:w="4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企业基于工业电子商务平台，开展网上询报价、网上招投标、订单交互、物流交互、网上结算等采购电子商务和销售电子商务相关活动，从而拓宽供应商渠道和客户群体，降低采购成本，提高经济效益。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（说明企业实际建设现状、建设过程、得到的价值成效和存在的问题等，建设现状包括但不限于企业基于工业电子商务平台实现线上采购、销售等经营活动的情况）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462" w:type="pct"/>
            <w:shd w:val="clear" w:color="auto" w:fill="auto"/>
            <w:vAlign w:val="center"/>
          </w:tcPr>
          <w:p>
            <w:pPr>
              <w:jc w:val="center"/>
              <w:rPr>
                <w:rFonts w:eastAsia="方正仿宋_GBK"/>
                <w:sz w:val="28"/>
                <w:szCs w:val="28"/>
              </w:rPr>
            </w:pPr>
            <w:r>
              <w:rPr>
                <w:rFonts w:hint="eastAsia" w:eastAsia="方正仿宋_GBK"/>
                <w:sz w:val="28"/>
                <w:szCs w:val="28"/>
              </w:rPr>
              <w:t>是否应用工业电子商务：</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704"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36" w:name="_Toc111632896"/>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十八</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企业</w:t>
      </w:r>
      <w:r>
        <w:rPr>
          <w:rFonts w:ascii="Times New Roman" w:hAnsi="Times New Roman" w:eastAsia="楷体_GB2312" w:cs="Times New Roman"/>
          <w:sz w:val="32"/>
          <w:szCs w:val="32"/>
        </w:rPr>
        <w:t>智能制造就绪</w:t>
      </w:r>
      <w:r>
        <w:rPr>
          <w:rFonts w:hint="eastAsia" w:ascii="Times New Roman" w:hAnsi="Times New Roman" w:eastAsia="楷体_GB2312" w:cs="Times New Roman"/>
          <w:sz w:val="32"/>
          <w:szCs w:val="32"/>
        </w:rPr>
        <w:t>情况</w:t>
      </w:r>
      <w:bookmarkEnd w:id="36"/>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996"/>
        <w:gridCol w:w="4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企业通过智能制造基础建设，达到较高的底层装备数控化水平，实现管理信息化与底层自动化之间以及内部供应链上采购、生产、销售、库存、财务等环节间的集成互联，并向智能工厂、智慧企业迈进。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生产制造环节数字化/网络化/智能化水平、内部综合集成水平、企业间协同创新能力，以及智能工厂、数字化车间建设应用情况等）</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758" w:type="pct"/>
            <w:shd w:val="clear" w:color="auto" w:fill="auto"/>
            <w:vAlign w:val="center"/>
          </w:tcPr>
          <w:p>
            <w:pPr>
              <w:jc w:val="center"/>
              <w:rPr>
                <w:rFonts w:eastAsia="方正仿宋_GBK"/>
                <w:sz w:val="28"/>
                <w:szCs w:val="28"/>
              </w:rPr>
            </w:pPr>
            <w:r>
              <w:rPr>
                <w:rFonts w:hint="eastAsia" w:eastAsia="方正仿宋_GBK"/>
                <w:sz w:val="28"/>
                <w:szCs w:val="28"/>
              </w:rPr>
              <w:t>是否初步具备智能制造基础条件：</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407"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37" w:name="_Toc111632900"/>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十九</w:t>
      </w:r>
      <w:r>
        <w:rPr>
          <w:rFonts w:ascii="Times New Roman" w:hAnsi="Times New Roman" w:eastAsia="楷体_GB2312" w:cs="Times New Roman"/>
          <w:sz w:val="32"/>
          <w:szCs w:val="32"/>
        </w:rPr>
        <w:t>）</w:t>
      </w:r>
      <w:bookmarkStart w:id="38" w:name="_Hlk111629330"/>
      <w:r>
        <w:rPr>
          <w:rFonts w:hint="eastAsia" w:ascii="Times New Roman" w:hAnsi="Times New Roman" w:eastAsia="楷体_GB2312" w:cs="Times New Roman"/>
          <w:sz w:val="32"/>
          <w:szCs w:val="32"/>
        </w:rPr>
        <w:t>企业智能化产品生产</w:t>
      </w:r>
      <w:bookmarkEnd w:id="38"/>
      <w:r>
        <w:rPr>
          <w:rFonts w:hint="eastAsia" w:ascii="Times New Roman" w:hAnsi="Times New Roman" w:eastAsia="楷体_GB2312" w:cs="Times New Roman"/>
          <w:sz w:val="32"/>
          <w:szCs w:val="32"/>
        </w:rPr>
        <w:t>情况</w:t>
      </w:r>
      <w:bookmarkEnd w:id="37"/>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618"/>
        <w:gridCol w:w="4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融合应用人工智能、5G、先进传感等新技术，培育工业级智能硬件、智能机器人、智能网联汽车、智能船舶、无人机、智能可穿戴设备、智能家居等新型智能产品，并不断拓展基于智能产品的场景化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（说明企业实际建设现状、建设过程、得到的价值成效和存在的问题等，建设现状包括但不限于企业开展智能化产品研发、生产及全生命周期跟踪服务等情况）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536" w:type="pct"/>
            <w:shd w:val="clear" w:color="auto" w:fill="auto"/>
            <w:vAlign w:val="center"/>
          </w:tcPr>
          <w:p>
            <w:pPr>
              <w:jc w:val="center"/>
              <w:rPr>
                <w:rFonts w:eastAsia="方正仿宋_GBK"/>
                <w:sz w:val="28"/>
                <w:szCs w:val="28"/>
              </w:rPr>
            </w:pPr>
            <w:r>
              <w:rPr>
                <w:rFonts w:hint="eastAsia" w:eastAsia="方正仿宋_GBK"/>
                <w:sz w:val="28"/>
                <w:szCs w:val="28"/>
              </w:rPr>
              <w:t>是否能够生产智能化产品：</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630"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39" w:name="_Toc111632904"/>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二十</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企业智能化生产情况</w:t>
      </w:r>
      <w:bookmarkEnd w:id="39"/>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企业基于生产管理过程数据资源的互联互通，通过在嵌入式系统、工业机器人等多场景应用人工智能技术，实现高端化、智能化生产，大幅度提升生产制造与生产管理效率，提高企业的产品附加值和经济效益。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说明企业实际建设现状、建设过程、得到的价值成效和存在的问题等，智能化生产过程应用的人工智能技术包括但不限于深度学习、增强学习、知识图谱、生物特征识别、机器视觉、自然语言处理、运动控制/工业机器人等）</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是否实现智能化生产：</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40" w:name="_Toc111632908"/>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二十一</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企业生产经营智能分析情况</w:t>
      </w:r>
      <w:bookmarkEnd w:id="40"/>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744"/>
        <w:gridCol w:w="4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企业基于智能知识模型自动采集生产经营相关数据信息，并在生产流程优化、销售预测与需求管理等多场景开展大数据应用，实现生产经营智能化分析决策，提高企业生产经营决策的及时性、正确性和准确性。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基于智能知识模型自动采集生产经营相关数据信息的情况，以及在生产流程优化、销售预测与需求管理等多场景开展大数据应用的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610" w:type="pct"/>
            <w:shd w:val="clear" w:color="auto" w:fill="auto"/>
            <w:vAlign w:val="center"/>
          </w:tcPr>
          <w:p>
            <w:pPr>
              <w:jc w:val="center"/>
              <w:rPr>
                <w:rFonts w:eastAsia="方正仿宋_GBK"/>
                <w:sz w:val="28"/>
                <w:szCs w:val="28"/>
              </w:rPr>
            </w:pPr>
            <w:r>
              <w:rPr>
                <w:rFonts w:hint="eastAsia" w:eastAsia="方正仿宋_GBK"/>
                <w:sz w:val="28"/>
                <w:szCs w:val="28"/>
              </w:rPr>
              <w:t>是否实现生产经营智能分析：</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556"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41" w:name="_Toc111632912"/>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二十二</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企业开展平台化设计的情况</w:t>
      </w:r>
      <w:bookmarkEnd w:id="41"/>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240"/>
        <w:gridCol w:w="4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企业依托工业互联网平台创新变革传统产品研发设计方式，实现高水平高效率的轻量化设计、并行设计、敏捷设计、交互设计和基于模型的设计，有效提高研发设计质量和效率。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（说明企业实际建设现状、建设过程、得到的价值成效和存在的问题等，建设现状包括但不限于企业平台化的产品设计和工艺设计情况）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314" w:type="pct"/>
            <w:shd w:val="clear" w:color="auto" w:fill="auto"/>
            <w:vAlign w:val="center"/>
          </w:tcPr>
          <w:p>
            <w:pPr>
              <w:jc w:val="center"/>
              <w:rPr>
                <w:rFonts w:eastAsia="方正仿宋_GBK"/>
                <w:sz w:val="28"/>
                <w:szCs w:val="28"/>
              </w:rPr>
            </w:pPr>
            <w:r>
              <w:rPr>
                <w:rFonts w:hint="eastAsia" w:eastAsia="方正仿宋_GBK"/>
                <w:sz w:val="28"/>
                <w:szCs w:val="28"/>
              </w:rPr>
              <w:t>是否开展平台化设计：</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852"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42" w:name="_Toc111632916"/>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二十三</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企业工控安全监测数据自动采集情况</w:t>
      </w:r>
      <w:bookmarkEnd w:id="42"/>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3376"/>
        <w:gridCol w:w="3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企业通过应用传感技术、大数据技术等，实现工控安全数据的自动监测与采集，提升基于数据的工控安全保障能力，以及工控安全隐患的预警和及时处理能力，有效避免工控安全事故的发生和由此带来的损失。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56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（说明企业实际建设现状、建设过程、得到的价值成效和存在的问题等，建设现状包括但不限于企业工控安全数据在线实时监测、监测数据自动报警、工控安全监测考核等情况）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981" w:type="pct"/>
            <w:shd w:val="clear" w:color="auto" w:fill="auto"/>
            <w:vAlign w:val="center"/>
          </w:tcPr>
          <w:p>
            <w:pPr>
              <w:jc w:val="center"/>
              <w:rPr>
                <w:rFonts w:eastAsia="方正仿宋_GBK"/>
                <w:sz w:val="28"/>
                <w:szCs w:val="28"/>
              </w:rPr>
            </w:pPr>
            <w:r>
              <w:rPr>
                <w:rFonts w:hint="eastAsia" w:eastAsia="方正仿宋_GBK"/>
                <w:sz w:val="28"/>
                <w:szCs w:val="28"/>
              </w:rPr>
              <w:t>是否实现工控安全监测数据自动采集：</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185"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widowControl/>
        <w:jc w:val="left"/>
        <w:rPr>
          <w:rFonts w:ascii="Times New Roman" w:hAnsi="Times New Roman" w:eastAsia="楷体_GB2312" w:cs="Times New Roman"/>
          <w:sz w:val="32"/>
          <w:szCs w:val="32"/>
        </w:rPr>
      </w:pPr>
      <w:bookmarkStart w:id="43" w:name="_Toc111632920"/>
      <w:r>
        <w:rPr>
          <w:rFonts w:ascii="Times New Roman" w:hAnsi="Times New Roman" w:eastAsia="楷体_GB2312" w:cs="Times New Roman"/>
          <w:sz w:val="32"/>
          <w:szCs w:val="32"/>
        </w:rPr>
        <w:br w:type="page"/>
      </w:r>
    </w:p>
    <w:p>
      <w:pPr>
        <w:adjustRightInd w:val="0"/>
        <w:snapToGrid w:val="0"/>
        <w:spacing w:before="156" w:beforeLines="50" w:line="360" w:lineRule="auto"/>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二十四</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企业数据要素资源开发利用情况</w:t>
      </w:r>
      <w:bookmarkEnd w:id="43"/>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996"/>
        <w:gridCol w:w="4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建设</w:t>
            </w:r>
            <w:r>
              <w:rPr>
                <w:rFonts w:eastAsia="方正仿宋_GBK"/>
                <w:sz w:val="28"/>
                <w:szCs w:val="28"/>
              </w:rPr>
              <w:t>要求</w:t>
            </w:r>
          </w:p>
        </w:tc>
        <w:tc>
          <w:tcPr>
            <w:tcW w:w="4166" w:type="pct"/>
            <w:gridSpan w:val="2"/>
            <w:shd w:val="clear" w:color="auto" w:fill="auto"/>
          </w:tcPr>
          <w:p>
            <w:pPr>
              <w:pStyle w:val="27"/>
              <w:ind w:firstLine="560"/>
              <w:rPr>
                <w:rFonts w:eastAsia="方正仿宋_GBK"/>
                <w:sz w:val="28"/>
                <w:szCs w:val="28"/>
                <w:highlight w:val="yellow"/>
              </w:rPr>
            </w:pPr>
            <w:r>
              <w:rPr>
                <w:rFonts w:hint="eastAsia" w:eastAsia="方正仿宋_GBK"/>
                <w:sz w:val="28"/>
                <w:szCs w:val="28"/>
              </w:rPr>
              <w:t>企业通过开展数据要素资源的自动采集、存储与管理、综合分析、二次开发利用等，充分挖掘数据要素资源价值，赋能研发、生产、管理等各业务环节效能效益提升。其中，数据要素资源主要类型包括工艺数据、制造数据、试验数据、仿真数据、技术信息、文档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企业实际情况</w:t>
            </w:r>
          </w:p>
        </w:tc>
        <w:tc>
          <w:tcPr>
            <w:tcW w:w="4166" w:type="pct"/>
            <w:gridSpan w:val="2"/>
            <w:shd w:val="clear" w:color="auto" w:fill="auto"/>
          </w:tcPr>
          <w:p>
            <w:pPr>
              <w:pStyle w:val="27"/>
              <w:ind w:firstLine="0" w:firstLineChars="0"/>
              <w:rPr>
                <w:rFonts w:eastAsia="方正仿宋_GBK"/>
                <w:sz w:val="28"/>
                <w:szCs w:val="28"/>
              </w:rPr>
            </w:pPr>
            <w:r>
              <w:rPr>
                <w:rFonts w:hint="eastAsia" w:eastAsia="方正仿宋_GBK"/>
                <w:sz w:val="28"/>
                <w:szCs w:val="28"/>
              </w:rPr>
              <w:t>（说明企业实际建设现状、建设过程、得到的价值成效和存在的问题等，建设现状包括但不限于企业利用数据要素资源赋能研发、生产、管理等各业务环节效能效益提升的情况）</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指标情况与</w:t>
            </w:r>
            <w:r>
              <w:rPr>
                <w:rFonts w:eastAsia="方正仿宋_GBK"/>
                <w:sz w:val="28"/>
                <w:szCs w:val="28"/>
              </w:rPr>
              <w:t>符合度</w:t>
            </w:r>
          </w:p>
        </w:tc>
        <w:tc>
          <w:tcPr>
            <w:tcW w:w="1758" w:type="pct"/>
            <w:shd w:val="clear" w:color="auto" w:fill="auto"/>
            <w:vAlign w:val="center"/>
          </w:tcPr>
          <w:p>
            <w:pPr>
              <w:jc w:val="center"/>
              <w:rPr>
                <w:rFonts w:eastAsia="方正仿宋_GBK"/>
                <w:sz w:val="28"/>
                <w:szCs w:val="28"/>
              </w:rPr>
            </w:pPr>
            <w:r>
              <w:rPr>
                <w:rFonts w:hint="eastAsia" w:eastAsia="方正仿宋_GBK"/>
                <w:sz w:val="28"/>
                <w:szCs w:val="28"/>
              </w:rPr>
              <w:t>是否实现数据要素资源开发利用：</w:t>
            </w:r>
            <w:r>
              <w:rPr>
                <w:rFonts w:hint="eastAsia" w:eastAsia="方正仿宋_GBK"/>
                <w:sz w:val="28"/>
                <w:szCs w:val="28"/>
                <w:u w:val="single"/>
              </w:rPr>
              <w:t xml:space="preserve"> </w:t>
            </w:r>
            <w:r>
              <w:rPr>
                <w:rFonts w:eastAsia="方正仿宋_GBK"/>
                <w:sz w:val="28"/>
                <w:szCs w:val="28"/>
                <w:u w:val="single"/>
              </w:rPr>
              <w:t xml:space="preserve">  </w:t>
            </w:r>
            <w:r>
              <w:rPr>
                <w:rFonts w:hint="eastAsia" w:eastAsia="方正仿宋_GBK"/>
                <w:sz w:val="28"/>
                <w:szCs w:val="28"/>
              </w:rPr>
              <w:t>（是/否）</w:t>
            </w:r>
          </w:p>
        </w:tc>
        <w:tc>
          <w:tcPr>
            <w:tcW w:w="2407" w:type="pct"/>
            <w:shd w:val="clear" w:color="auto" w:fill="auto"/>
            <w:vAlign w:val="center"/>
          </w:tcPr>
          <w:p>
            <w:pPr>
              <w:jc w:val="center"/>
              <w:rPr>
                <w:rFonts w:eastAsia="方正仿宋_GBK"/>
                <w:sz w:val="28"/>
                <w:szCs w:val="28"/>
              </w:rPr>
            </w:pPr>
            <w:r>
              <w:rPr>
                <w:rFonts w:eastAsia="方正仿宋_GBK"/>
                <w:sz w:val="28"/>
                <w:szCs w:val="28"/>
              </w:rPr>
              <w:t>☐符合   ☐基本符合   ☐需改进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未符合要求的原因</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（若已符合要求，则填写“已符合要求”；若未符合要求，则说明具体原因）</w:t>
            </w:r>
          </w:p>
          <w:p>
            <w:pPr>
              <w:pStyle w:val="27"/>
              <w:ind w:firstLine="0" w:firstLineChars="0"/>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shd w:val="clear" w:color="auto" w:fill="E7E6E6"/>
            <w:vAlign w:val="center"/>
          </w:tcPr>
          <w:p>
            <w:pPr>
              <w:pStyle w:val="27"/>
              <w:ind w:firstLine="0" w:firstLineChars="0"/>
              <w:jc w:val="center"/>
              <w:rPr>
                <w:rFonts w:eastAsia="方正仿宋_GBK"/>
                <w:sz w:val="28"/>
                <w:szCs w:val="28"/>
              </w:rPr>
            </w:pPr>
            <w:r>
              <w:rPr>
                <w:rFonts w:hint="eastAsia" w:eastAsia="方正仿宋_GBK"/>
                <w:sz w:val="28"/>
                <w:szCs w:val="28"/>
              </w:rPr>
              <w:t>改进建议</w:t>
            </w:r>
          </w:p>
        </w:tc>
        <w:tc>
          <w:tcPr>
            <w:tcW w:w="4166" w:type="pct"/>
            <w:gridSpan w:val="2"/>
            <w:shd w:val="clear" w:color="auto" w:fill="auto"/>
            <w:vAlign w:val="center"/>
          </w:tcPr>
          <w:p>
            <w:pPr>
              <w:pStyle w:val="27"/>
              <w:ind w:firstLine="0" w:firstLineChars="0"/>
              <w:rPr>
                <w:rFonts w:eastAsia="方正仿宋_GBK"/>
                <w:sz w:val="28"/>
                <w:szCs w:val="28"/>
              </w:rPr>
            </w:pPr>
            <w:r>
              <w:rPr>
                <w:rFonts w:hint="eastAsia" w:eastAsia="方正仿宋_GBK"/>
                <w:sz w:val="28"/>
                <w:szCs w:val="28"/>
              </w:rPr>
              <w:t>（若已符合要求，则填写“已符合要求，需要继续保持并动态优化调整”；若未符合要求，则针对具体原因提出相应的改进建议）</w:t>
            </w:r>
          </w:p>
          <w:p>
            <w:pPr>
              <w:pStyle w:val="27"/>
              <w:ind w:firstLine="0" w:firstLineChars="0"/>
              <w:rPr>
                <w:rFonts w:eastAsia="方正仿宋_GBK"/>
                <w:sz w:val="28"/>
                <w:szCs w:val="28"/>
              </w:rPr>
            </w:pPr>
          </w:p>
        </w:tc>
      </w:tr>
    </w:tbl>
    <w:p>
      <w:pPr>
        <w:spacing w:line="360" w:lineRule="auto"/>
        <w:ind w:firstLine="640" w:firstLineChars="200"/>
        <w:rPr>
          <w:rFonts w:ascii="Times New Roman" w:hAnsi="Times New Roman" w:eastAsia="楷体_GB2312" w:cs="Times New Roman"/>
          <w:sz w:val="32"/>
          <w:szCs w:val="32"/>
        </w:rPr>
      </w:pPr>
    </w:p>
    <w:p>
      <w:pPr>
        <w:pStyle w:val="2"/>
        <w:ind w:firstLine="420"/>
      </w:pPr>
      <w:r>
        <w:br w:type="page"/>
      </w:r>
    </w:p>
    <w:p>
      <w:pPr>
        <w:spacing w:line="360" w:lineRule="auto"/>
        <w:ind w:firstLine="640" w:firstLineChars="200"/>
        <w:jc w:val="left"/>
        <w:outlineLvl w:val="0"/>
        <w:rPr>
          <w:rFonts w:ascii="Times New Roman" w:hAnsi="Times New Roman" w:eastAsia="黑体" w:cs="Times New Roman"/>
          <w:sz w:val="32"/>
          <w:szCs w:val="32"/>
        </w:rPr>
      </w:pPr>
      <w:bookmarkStart w:id="44" w:name="_Toc111632924"/>
      <w:r>
        <w:rPr>
          <w:rFonts w:ascii="Times New Roman" w:hAnsi="Times New Roman" w:eastAsia="黑体" w:cs="Times New Roman"/>
          <w:sz w:val="32"/>
          <w:szCs w:val="32"/>
        </w:rPr>
        <w:t>四、企业转型问题及建议</w:t>
      </w:r>
      <w:bookmarkEnd w:id="44"/>
    </w:p>
    <w:p>
      <w:pPr>
        <w:spacing w:line="360" w:lineRule="auto"/>
        <w:ind w:firstLine="640" w:firstLineChars="200"/>
        <w:jc w:val="left"/>
        <w:outlineLvl w:val="1"/>
        <w:rPr>
          <w:rFonts w:ascii="Times New Roman" w:hAnsi="Times New Roman" w:eastAsia="楷体_GB2312" w:cs="Times New Roman"/>
          <w:sz w:val="32"/>
          <w:szCs w:val="32"/>
        </w:rPr>
      </w:pPr>
      <w:bookmarkStart w:id="45" w:name="_Toc111632925"/>
      <w:r>
        <w:rPr>
          <w:rFonts w:ascii="Times New Roman" w:hAnsi="Times New Roman" w:eastAsia="楷体_GB2312" w:cs="Times New Roman"/>
          <w:sz w:val="32"/>
          <w:szCs w:val="32"/>
        </w:rPr>
        <w:t>（一）痛点问题</w:t>
      </w:r>
      <w:bookmarkEnd w:id="45"/>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（基于2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项关键指标的评估验证情况，总结梳理</w:t>
      </w:r>
      <w:r>
        <w:rPr>
          <w:rFonts w:ascii="Times New Roman" w:hAnsi="Times New Roman" w:eastAsia="仿宋_GB2312" w:cs="Times New Roman"/>
          <w:sz w:val="32"/>
          <w:szCs w:val="32"/>
        </w:rPr>
        <w:t>企业</w:t>
      </w:r>
      <w:r>
        <w:rPr>
          <w:rFonts w:hint="eastAsia" w:ascii="Times New Roman" w:hAnsi="Times New Roman" w:eastAsia="仿宋_GB2312" w:cs="Times New Roman"/>
          <w:sz w:val="32"/>
          <w:szCs w:val="32"/>
        </w:rPr>
        <w:t>数字化转型发展的</w:t>
      </w:r>
      <w:r>
        <w:rPr>
          <w:rFonts w:ascii="Times New Roman" w:hAnsi="Times New Roman" w:eastAsia="仿宋_GB2312" w:cs="Times New Roman"/>
          <w:sz w:val="32"/>
          <w:szCs w:val="32"/>
        </w:rPr>
        <w:t>痛点难点问题，包括但不限于</w:t>
      </w:r>
      <w:r>
        <w:rPr>
          <w:rFonts w:hint="eastAsia" w:ascii="Times New Roman" w:hAnsi="Times New Roman" w:eastAsia="仿宋_GB2312" w:cs="Times New Roman"/>
          <w:sz w:val="32"/>
          <w:szCs w:val="32"/>
        </w:rPr>
        <w:t>战略规划、</w:t>
      </w:r>
      <w:r>
        <w:rPr>
          <w:rFonts w:ascii="Times New Roman" w:hAnsi="Times New Roman" w:eastAsia="仿宋_GB2312" w:cs="Times New Roman"/>
          <w:sz w:val="32"/>
          <w:szCs w:val="32"/>
        </w:rPr>
        <w:t>组织结构、</w:t>
      </w:r>
      <w:r>
        <w:rPr>
          <w:rFonts w:hint="eastAsia" w:ascii="Times New Roman" w:hAnsi="Times New Roman" w:eastAsia="仿宋_GB2312" w:cs="Times New Roman"/>
          <w:sz w:val="32"/>
          <w:szCs w:val="32"/>
        </w:rPr>
        <w:t>业务流程</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基础保障</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技术实现</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数据开发利用</w:t>
      </w:r>
      <w:r>
        <w:rPr>
          <w:rFonts w:ascii="Times New Roman" w:hAnsi="Times New Roman" w:eastAsia="仿宋_GB2312" w:cs="Times New Roman"/>
          <w:sz w:val="32"/>
          <w:szCs w:val="32"/>
        </w:rPr>
        <w:t>等方面</w:t>
      </w:r>
      <w:r>
        <w:rPr>
          <w:rFonts w:hint="eastAsia" w:ascii="Times New Roman" w:hAnsi="Times New Roman" w:eastAsia="仿宋_GB2312" w:cs="Times New Roman"/>
          <w:sz w:val="32"/>
          <w:szCs w:val="32"/>
        </w:rPr>
        <w:t>）</w:t>
      </w:r>
    </w:p>
    <w:p>
      <w:pPr>
        <w:spacing w:line="360" w:lineRule="auto"/>
        <w:ind w:firstLine="640" w:firstLineChars="200"/>
        <w:jc w:val="left"/>
        <w:outlineLvl w:val="1"/>
        <w:rPr>
          <w:rFonts w:ascii="Times New Roman" w:hAnsi="Times New Roman" w:eastAsia="楷体_GB2312" w:cs="Times New Roman"/>
          <w:sz w:val="32"/>
          <w:szCs w:val="32"/>
        </w:rPr>
      </w:pPr>
      <w:bookmarkStart w:id="46" w:name="_Toc111632926"/>
      <w:r>
        <w:rPr>
          <w:rFonts w:ascii="Times New Roman" w:hAnsi="Times New Roman" w:eastAsia="楷体_GB2312" w:cs="Times New Roman"/>
          <w:sz w:val="32"/>
          <w:szCs w:val="32"/>
        </w:rPr>
        <w:t>（二）解决建议</w:t>
      </w:r>
      <w:bookmarkEnd w:id="46"/>
    </w:p>
    <w:p>
      <w:pPr>
        <w:spacing w:line="360" w:lineRule="auto"/>
        <w:ind w:firstLine="640" w:firstLineChars="200"/>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针对</w:t>
      </w:r>
      <w:r>
        <w:rPr>
          <w:rFonts w:hint="eastAsia" w:ascii="Times New Roman" w:hAnsi="Times New Roman" w:eastAsia="仿宋_GB2312" w:cs="Times New Roman"/>
          <w:sz w:val="32"/>
          <w:szCs w:val="32"/>
        </w:rPr>
        <w:t>企业目前存在的痛点难点问题，</w:t>
      </w:r>
      <w:r>
        <w:rPr>
          <w:rFonts w:ascii="Times New Roman" w:hAnsi="Times New Roman" w:eastAsia="仿宋_GB2312" w:cs="Times New Roman"/>
          <w:sz w:val="32"/>
          <w:szCs w:val="32"/>
        </w:rPr>
        <w:t>提出</w:t>
      </w:r>
      <w:r>
        <w:rPr>
          <w:rFonts w:hint="eastAsia" w:ascii="Times New Roman" w:hAnsi="Times New Roman" w:eastAsia="仿宋_GB2312" w:cs="Times New Roman"/>
          <w:sz w:val="32"/>
          <w:szCs w:val="32"/>
        </w:rPr>
        <w:t>符合企业短期和长期发展目标，并与企业数字化基础水平相适宜的发展建议</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明确企业数字化转型的阶段性目标，提出相应的系统</w:t>
      </w:r>
      <w:r>
        <w:rPr>
          <w:rFonts w:ascii="Times New Roman" w:hAnsi="Times New Roman" w:eastAsia="仿宋_GB2312" w:cs="Times New Roman"/>
          <w:sz w:val="32"/>
          <w:szCs w:val="32"/>
        </w:rPr>
        <w:t>解决方案</w:t>
      </w:r>
      <w:r>
        <w:rPr>
          <w:rFonts w:hint="eastAsia" w:ascii="Times New Roman" w:hAnsi="Times New Roman" w:eastAsia="仿宋_GB2312" w:cs="Times New Roman"/>
          <w:sz w:val="32"/>
          <w:szCs w:val="32"/>
        </w:rPr>
        <w:t>）</w:t>
      </w:r>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5525510"/>
      <w:docPartObj>
        <w:docPartGallery w:val="AutoText"/>
      </w:docPartObj>
    </w:sdtPr>
    <w:sdtEndPr>
      <w:rPr>
        <w:rFonts w:ascii="Times New Roman" w:hAnsi="Times New Roman" w:cs="Times New Roman"/>
        <w:sz w:val="21"/>
        <w:szCs w:val="21"/>
      </w:rPr>
    </w:sdtEndPr>
    <w:sdtContent>
      <w:p>
        <w:pPr>
          <w:pStyle w:val="9"/>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2</w:t>
        </w:r>
        <w:r>
          <w:rPr>
            <w:rFonts w:ascii="Times New Roman" w:hAnsi="Times New Roman" w:cs="Times New Roman"/>
            <w:sz w:val="21"/>
            <w:szCs w:val="21"/>
          </w:rPr>
          <w:fldChar w:fldCharType="end"/>
        </w:r>
      </w:p>
    </w:sdtContent>
  </w:sdt>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DF31F7"/>
    <w:rsid w:val="002B6493"/>
    <w:rsid w:val="00C02C59"/>
    <w:rsid w:val="00DF31F7"/>
    <w:rsid w:val="00E13AF1"/>
    <w:rsid w:val="71262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4"/>
    <w:next w:val="1"/>
    <w:link w:val="22"/>
    <w:qFormat/>
    <w:uiPriority w:val="1"/>
    <w:pPr>
      <w:spacing w:line="633" w:lineRule="exact"/>
      <w:ind w:left="913" w:right="1170"/>
    </w:pPr>
    <w:rPr>
      <w:rFonts w:ascii="方正小标宋_GBK" w:hAnsi="方正小标宋_GBK" w:eastAsia="方正小标宋_GBK" w:cs="方正小标宋_GBK"/>
      <w:sz w:val="36"/>
      <w:szCs w:val="36"/>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23"/>
    <w:unhideWhenUsed/>
    <w:qFormat/>
    <w:uiPriority w:val="99"/>
    <w:pPr>
      <w:spacing w:after="120" w:line="360" w:lineRule="auto"/>
      <w:ind w:firstLine="200" w:firstLineChars="200"/>
    </w:pPr>
    <w:rPr>
      <w:rFonts w:ascii="Arial" w:hAnsi="Arial"/>
    </w:rPr>
  </w:style>
  <w:style w:type="paragraph" w:styleId="4">
    <w:name w:val="Title"/>
    <w:basedOn w:val="1"/>
    <w:next w:val="1"/>
    <w:link w:val="24"/>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toc 7"/>
    <w:basedOn w:val="1"/>
    <w:next w:val="1"/>
    <w:unhideWhenUsed/>
    <w:qFormat/>
    <w:uiPriority w:val="39"/>
    <w:pPr>
      <w:ind w:left="2520" w:leftChars="1200"/>
    </w:pPr>
  </w:style>
  <w:style w:type="paragraph" w:styleId="6">
    <w:name w:val="toc 5"/>
    <w:basedOn w:val="1"/>
    <w:next w:val="1"/>
    <w:unhideWhenUsed/>
    <w:qFormat/>
    <w:uiPriority w:val="39"/>
    <w:pPr>
      <w:ind w:left="1680" w:leftChars="800"/>
    </w:pPr>
  </w:style>
  <w:style w:type="paragraph" w:styleId="7">
    <w:name w:val="toc 3"/>
    <w:basedOn w:val="1"/>
    <w:next w:val="1"/>
    <w:qFormat/>
    <w:uiPriority w:val="39"/>
    <w:pPr>
      <w:ind w:left="840" w:leftChars="400"/>
    </w:pPr>
  </w:style>
  <w:style w:type="paragraph" w:styleId="8">
    <w:name w:val="toc 8"/>
    <w:basedOn w:val="1"/>
    <w:next w:val="1"/>
    <w:unhideWhenUsed/>
    <w:qFormat/>
    <w:uiPriority w:val="39"/>
    <w:pPr>
      <w:ind w:left="2940" w:leftChars="1400"/>
    </w:p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8296"/>
      </w:tabs>
    </w:pPr>
  </w:style>
  <w:style w:type="paragraph" w:styleId="12">
    <w:name w:val="toc 4"/>
    <w:basedOn w:val="1"/>
    <w:next w:val="1"/>
    <w:unhideWhenUsed/>
    <w:uiPriority w:val="39"/>
    <w:pPr>
      <w:ind w:left="1260" w:leftChars="600"/>
    </w:pPr>
  </w:style>
  <w:style w:type="paragraph" w:styleId="13">
    <w:name w:val="toc 6"/>
    <w:basedOn w:val="1"/>
    <w:next w:val="1"/>
    <w:unhideWhenUsed/>
    <w:qFormat/>
    <w:uiPriority w:val="39"/>
    <w:pPr>
      <w:ind w:left="2100" w:leftChars="1000"/>
    </w:pPr>
  </w:style>
  <w:style w:type="paragraph" w:styleId="14">
    <w:name w:val="toc 2"/>
    <w:basedOn w:val="1"/>
    <w:next w:val="1"/>
    <w:unhideWhenUsed/>
    <w:qFormat/>
    <w:uiPriority w:val="39"/>
    <w:pPr>
      <w:tabs>
        <w:tab w:val="right" w:leader="dot" w:pos="8296"/>
      </w:tabs>
      <w:ind w:left="420" w:leftChars="200"/>
    </w:pPr>
  </w:style>
  <w:style w:type="paragraph" w:styleId="15">
    <w:name w:val="toc 9"/>
    <w:basedOn w:val="1"/>
    <w:next w:val="1"/>
    <w:unhideWhenUsed/>
    <w:qFormat/>
    <w:uiPriority w:val="39"/>
    <w:pPr>
      <w:ind w:left="3360" w:leftChars="1600"/>
    </w:pPr>
  </w:style>
  <w:style w:type="table" w:styleId="17">
    <w:name w:val="Table Grid"/>
    <w:basedOn w:val="16"/>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customStyle="1" w:styleId="20">
    <w:name w:val="页眉 字符"/>
    <w:basedOn w:val="18"/>
    <w:link w:val="10"/>
    <w:qFormat/>
    <w:uiPriority w:val="99"/>
    <w:rPr>
      <w:sz w:val="18"/>
      <w:szCs w:val="18"/>
    </w:rPr>
  </w:style>
  <w:style w:type="character" w:customStyle="1" w:styleId="21">
    <w:name w:val="页脚 字符"/>
    <w:basedOn w:val="18"/>
    <w:link w:val="9"/>
    <w:qFormat/>
    <w:uiPriority w:val="99"/>
    <w:rPr>
      <w:sz w:val="18"/>
      <w:szCs w:val="18"/>
    </w:rPr>
  </w:style>
  <w:style w:type="character" w:customStyle="1" w:styleId="22">
    <w:name w:val="标题 1 字符"/>
    <w:basedOn w:val="18"/>
    <w:link w:val="3"/>
    <w:qFormat/>
    <w:uiPriority w:val="1"/>
    <w:rPr>
      <w:rFonts w:ascii="方正小标宋_GBK" w:hAnsi="方正小标宋_GBK" w:eastAsia="方正小标宋_GBK" w:cs="方正小标宋_GBK"/>
      <w:b/>
      <w:bCs/>
      <w:sz w:val="36"/>
      <w:szCs w:val="36"/>
    </w:rPr>
  </w:style>
  <w:style w:type="character" w:customStyle="1" w:styleId="23">
    <w:name w:val="正文文本 字符"/>
    <w:basedOn w:val="18"/>
    <w:link w:val="2"/>
    <w:uiPriority w:val="99"/>
    <w:rPr>
      <w:rFonts w:ascii="Arial" w:hAnsi="Arial"/>
    </w:rPr>
  </w:style>
  <w:style w:type="character" w:customStyle="1" w:styleId="24">
    <w:name w:val="标题 字符"/>
    <w:basedOn w:val="18"/>
    <w:link w:val="4"/>
    <w:qFormat/>
    <w:uiPriority w:val="10"/>
    <w:rPr>
      <w:rFonts w:asciiTheme="majorHAnsi" w:hAnsiTheme="majorHAnsi" w:eastAsiaTheme="majorEastAsia" w:cstheme="majorBidi"/>
      <w:b/>
      <w:bCs/>
      <w:sz w:val="32"/>
      <w:szCs w:val="32"/>
    </w:rPr>
  </w:style>
  <w:style w:type="paragraph" w:customStyle="1" w:styleId="25">
    <w:name w:val="Table Paragraph"/>
    <w:basedOn w:val="1"/>
    <w:qFormat/>
    <w:uiPriority w:val="1"/>
    <w:rPr>
      <w:rFonts w:ascii="方正仿宋_GBK" w:hAnsi="方正仿宋_GBK" w:eastAsia="方正仿宋_GBK" w:cs="方正仿宋_GBK"/>
    </w:rPr>
  </w:style>
  <w:style w:type="character" w:customStyle="1" w:styleId="26">
    <w:name w:val="Unresolved Mention"/>
    <w:basedOn w:val="18"/>
    <w:semiHidden/>
    <w:unhideWhenUsed/>
    <w:qFormat/>
    <w:uiPriority w:val="99"/>
    <w:rPr>
      <w:color w:val="605E5C"/>
      <w:shd w:val="clear" w:color="auto" w:fill="E1DFDD"/>
    </w:rPr>
  </w:style>
  <w:style w:type="paragraph" w:customStyle="1" w:styleId="27">
    <w:name w:val="List Paragraphd0e4727f"/>
    <w:basedOn w:val="1"/>
    <w:qFormat/>
    <w:uiPriority w:val="0"/>
    <w:pPr>
      <w:spacing w:line="560" w:lineRule="exact"/>
      <w:ind w:firstLine="420" w:firstLineChars="200"/>
    </w:pPr>
    <w:rPr>
      <w:rFonts w:ascii="Times New Roman" w:hAnsi="Times New Roman" w:eastAsia="仿宋_GB2312" w:cs="Times New Roman"/>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9719</Words>
  <Characters>9793</Characters>
  <Lines>76</Lines>
  <Paragraphs>21</Paragraphs>
  <TotalTime>2</TotalTime>
  <ScaleCrop>false</ScaleCrop>
  <LinksUpToDate>false</LinksUpToDate>
  <CharactersWithSpaces>10090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2022-09-09T09:13:00Z</dcterms:created>
  <dc:creator>王 庆瑜</dc:creator>
  <cp:lastModifiedBy>王丹</cp:lastModifiedBy>
  <dcterms:modified xsi:type="dcterms:W3CDTF">2022-09-28T07:07:58Z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CA06AC5F92684E94BF5738DA4F8972A4</vt:lpwstr>
  </property>
</Properties>
</file>