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宋体"/>
          <w:sz w:val="32"/>
          <w:szCs w:val="32"/>
        </w:rPr>
      </w:pPr>
      <w:r>
        <w:rPr>
          <w:rFonts w:hint="eastAsia" w:ascii="宋体" w:hAnsi="宋体" w:cs="宋体"/>
          <w:b/>
          <w:bCs/>
          <w:kern w:val="44"/>
          <w:sz w:val="32"/>
          <w:szCs w:val="32"/>
        </w:rPr>
        <w:t>沥青混合料及改性沥青混合料</w:t>
      </w:r>
    </w:p>
    <w:p>
      <w:pPr>
        <w:rPr>
          <w:rFonts w:ascii="宋体" w:cs="宋体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沥青:90号道路石油沥青（A级）技术指标满足《公路沥青路面施工技术规范》JTG  F40-2004中表4.2.1-2 的质量要求。</w:t>
      </w:r>
      <w:bookmarkStart w:id="0" w:name="_GoBack"/>
      <w:bookmarkEnd w:id="0"/>
    </w:p>
    <w:p>
      <w:pPr>
        <w:ind w:firstLine="640" w:firstLineChars="200"/>
        <w:jc w:val="left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改性沥青：改性沥青的基质沥青（</w:t>
      </w:r>
      <w:r>
        <w:rPr>
          <w:rFonts w:hint="eastAsia" w:ascii="仿宋" w:hAnsi="仿宋" w:eastAsia="仿宋" w:cs="仿宋"/>
          <w:sz w:val="32"/>
          <w:szCs w:val="32"/>
        </w:rPr>
        <w:t>90号道路石油沥青（A级）</w:t>
      </w:r>
      <w:r>
        <w:rPr>
          <w:rFonts w:hint="eastAsia" w:ascii="仿宋" w:hAnsi="仿宋" w:eastAsia="仿宋" w:cs="仿宋"/>
          <w:bCs/>
          <w:sz w:val="32"/>
          <w:szCs w:val="32"/>
        </w:rPr>
        <w:t>）应与改性剂有良好的配伍性。改性沥青主要技术要求应符合</w:t>
      </w:r>
      <w:r>
        <w:rPr>
          <w:rFonts w:hint="eastAsia" w:ascii="仿宋" w:hAnsi="仿宋" w:eastAsia="仿宋" w:cs="仿宋"/>
          <w:sz w:val="32"/>
          <w:szCs w:val="32"/>
        </w:rPr>
        <w:t>《公路沥青路面施工技术规范》JTG  F40-2004</w:t>
      </w:r>
      <w:r>
        <w:rPr>
          <w:rFonts w:hint="eastAsia" w:ascii="仿宋" w:hAnsi="仿宋" w:eastAsia="仿宋" w:cs="仿宋"/>
          <w:bCs/>
          <w:sz w:val="32"/>
          <w:szCs w:val="32"/>
        </w:rPr>
        <w:t>表4.6.2的规定。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粗集料：技术指标满足《公路沥青路面施工技术规范》JTG  F40-2004中表4.8.2的质量要求.粒径规格满足《公路沥青路面施工技术规范》JTG  F40-2004中表4.8.3的质量要求。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细集料：技术指标满足《公路沥青路面施工技术规范》JTG  F40-2004中表4.9.2的质量要求. 粒径规格满足《公路沥青路面施工技术规范》JTG  F40-2004中表4.9.3、4.9.4的质量要求。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矿粉：技术指标满足《公路沥青路面施工技术规范》JTG  F40-2004中表4.10.1的质量要求.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关键性筛孔通过率（4.75/2.36）满足《公路沥青路面施工技术规范》JTG  F40-2004中表5.3.2-1 的要求.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矿料级配范围满足《公路沥青路面施工技术规范》JTG  F40-2004中表5.3.2-2的要求。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马歇尔试验技术标准满足《公路沥青路面施工技术规范》JTG  F40-2004中表5.3.3-1的要求。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在配合比的矿料合成级配中，0.075mm  2.36mm  4.75mm及公称最大粒径筛孔的通过率接近中值，0.3—0.6mm处避免出现驼峰。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供应商必须向使用单位按照单位工程的部位(层、段)提交近期沥青出厂合格证、有资质的检测单位出具的原材料试验报告、混合料配合比报告、马歇尔稳定度试验报告、沥青复检报告等。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混合料在出厂时，供应商应提供出厂合格证、车车出厂温度、记录出厂时间，签发运料单。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最佳油石比不低于如下标准：</w:t>
      </w:r>
    </w:p>
    <w:p>
      <w:pPr>
        <w:ind w:firstLine="1600" w:firstLineChars="5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AC-10  5.5%         AC-13  5.0%</w:t>
      </w:r>
    </w:p>
    <w:p>
      <w:pPr>
        <w:ind w:firstLine="1600" w:firstLineChars="5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AC-16  4.8%         AC-20  4.5%</w:t>
      </w:r>
    </w:p>
    <w:p>
      <w:pPr>
        <w:ind w:firstLine="1600" w:firstLineChars="5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AC-25   4.2%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最终数据由试验确定，改性沥青混合料为容易摊铺，可适当增加含油量。冬季施工最佳油石比在原有基础上上浮0.3%-0.5%。</w:t>
      </w:r>
    </w:p>
    <w:p>
      <w:pPr>
        <w:jc w:val="center"/>
        <w:rPr>
          <w:rFonts w:hint="eastAsia" w:ascii="仿宋" w:hAnsi="仿宋" w:eastAsia="仿宋" w:cs="仿宋"/>
          <w:b/>
          <w:bCs/>
          <w:kern w:val="44"/>
          <w:sz w:val="32"/>
          <w:szCs w:val="32"/>
        </w:rPr>
      </w:pPr>
    </w:p>
    <w:p>
      <w:pPr>
        <w:jc w:val="center"/>
        <w:rPr>
          <w:rFonts w:hint="eastAsia" w:ascii="仿宋" w:hAnsi="仿宋" w:eastAsia="仿宋" w:cs="仿宋"/>
          <w:b/>
          <w:bCs/>
          <w:kern w:val="44"/>
          <w:sz w:val="32"/>
          <w:szCs w:val="32"/>
        </w:rPr>
      </w:pPr>
    </w:p>
    <w:p>
      <w:pPr>
        <w:jc w:val="center"/>
        <w:rPr>
          <w:rFonts w:hint="eastAsia" w:ascii="仿宋" w:hAnsi="仿宋" w:eastAsia="仿宋" w:cs="仿宋"/>
          <w:b/>
          <w:bCs/>
          <w:kern w:val="44"/>
          <w:sz w:val="32"/>
          <w:szCs w:val="32"/>
        </w:rPr>
      </w:pP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44"/>
          <w:sz w:val="32"/>
          <w:szCs w:val="32"/>
        </w:rPr>
        <w:t>乳化沥青</w:t>
      </w:r>
    </w:p>
    <w:p>
      <w:pPr>
        <w:ind w:firstLine="643"/>
        <w:jc w:val="center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依据《JTG F40-2004公路沥青路面施工技术规范》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乳化沥青适用于适用于沥青表面处治、沥青贯入式路面、冷拌沥青混合料路面,修补裂缝，喷洒透层、粘层与封层等。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乳化沥青的质量应符合表4.3.2要求。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76850" cy="42291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乳化沥青在存贮期不离析、不冻结、不破乳。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质保期：一年</w:t>
      </w: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44"/>
          <w:sz w:val="32"/>
          <w:szCs w:val="32"/>
        </w:rPr>
        <w:t>改性乳化沥青</w:t>
      </w:r>
    </w:p>
    <w:p>
      <w:pPr>
        <w:ind w:firstLine="640" w:firstLineChars="200"/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改性乳化沥青采用阳离子型聚合物改性乳化沥青，改性乳化沥青指标符合下表规定。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794"/>
        <w:gridCol w:w="971"/>
        <w:gridCol w:w="1251"/>
        <w:gridCol w:w="1521"/>
        <w:gridCol w:w="1564"/>
        <w:gridCol w:w="7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63" w:type="dxa"/>
          <w:cantSplit/>
          <w:trHeight w:val="420" w:hRule="atLeast"/>
        </w:trPr>
        <w:tc>
          <w:tcPr>
            <w:tcW w:w="3590" w:type="dxa"/>
            <w:gridSpan w:val="2"/>
            <w:vMerge w:val="restart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试验项目</w:t>
            </w:r>
          </w:p>
        </w:tc>
        <w:tc>
          <w:tcPr>
            <w:tcW w:w="971" w:type="dxa"/>
            <w:vMerge w:val="restart"/>
            <w:noWrap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</w:t>
            </w:r>
          </w:p>
        </w:tc>
        <w:tc>
          <w:tcPr>
            <w:tcW w:w="2772" w:type="dxa"/>
            <w:gridSpan w:val="2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品种及单位</w:t>
            </w:r>
          </w:p>
        </w:tc>
        <w:tc>
          <w:tcPr>
            <w:tcW w:w="1564" w:type="dxa"/>
            <w:vMerge w:val="restart"/>
            <w:noWrap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试验方法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63" w:type="dxa"/>
          <w:cantSplit/>
          <w:trHeight w:val="420" w:hRule="atLeast"/>
        </w:trPr>
        <w:tc>
          <w:tcPr>
            <w:tcW w:w="3590" w:type="dxa"/>
            <w:gridSpan w:val="2"/>
            <w:vMerge w:val="continue"/>
            <w:noWrap/>
            <w:vAlign w:val="center"/>
          </w:tcPr>
          <w:p>
            <w:pPr>
              <w:widowControl/>
              <w:ind w:firstLine="36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vMerge w:val="continue"/>
            <w:noWrap/>
            <w:vAlign w:val="center"/>
          </w:tcPr>
          <w:p>
            <w:pPr>
              <w:widowControl/>
              <w:ind w:firstLine="36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PCR</w:t>
            </w:r>
          </w:p>
        </w:tc>
        <w:tc>
          <w:tcPr>
            <w:tcW w:w="152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BCR</w:t>
            </w:r>
          </w:p>
        </w:tc>
        <w:tc>
          <w:tcPr>
            <w:tcW w:w="1564" w:type="dxa"/>
            <w:vMerge w:val="continue"/>
            <w:noWrap/>
            <w:vAlign w:val="center"/>
          </w:tcPr>
          <w:p>
            <w:pPr>
              <w:widowControl/>
              <w:ind w:firstLine="36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63" w:type="dxa"/>
          <w:trHeight w:val="420" w:hRule="atLeast"/>
        </w:trPr>
        <w:tc>
          <w:tcPr>
            <w:tcW w:w="3590" w:type="dxa"/>
            <w:gridSpan w:val="2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破乳速度</w:t>
            </w:r>
          </w:p>
        </w:tc>
        <w:tc>
          <w:tcPr>
            <w:tcW w:w="97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---</w:t>
            </w:r>
          </w:p>
        </w:tc>
        <w:tc>
          <w:tcPr>
            <w:tcW w:w="125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快裂或中裂</w:t>
            </w:r>
          </w:p>
        </w:tc>
        <w:tc>
          <w:tcPr>
            <w:tcW w:w="152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慢裂</w:t>
            </w:r>
          </w:p>
        </w:tc>
        <w:tc>
          <w:tcPr>
            <w:tcW w:w="156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T0658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63" w:type="dxa"/>
          <w:trHeight w:val="465" w:hRule="atLeast"/>
        </w:trPr>
        <w:tc>
          <w:tcPr>
            <w:tcW w:w="3590" w:type="dxa"/>
            <w:gridSpan w:val="2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离子电荷</w:t>
            </w:r>
          </w:p>
        </w:tc>
        <w:tc>
          <w:tcPr>
            <w:tcW w:w="97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---</w:t>
            </w:r>
          </w:p>
        </w:tc>
        <w:tc>
          <w:tcPr>
            <w:tcW w:w="125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阳离子（+）</w:t>
            </w:r>
          </w:p>
        </w:tc>
        <w:tc>
          <w:tcPr>
            <w:tcW w:w="152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阳离子（+）</w:t>
            </w:r>
          </w:p>
        </w:tc>
        <w:tc>
          <w:tcPr>
            <w:tcW w:w="156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T0653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63" w:type="dxa"/>
          <w:trHeight w:val="465" w:hRule="atLeast"/>
        </w:trPr>
        <w:tc>
          <w:tcPr>
            <w:tcW w:w="3590" w:type="dxa"/>
            <w:gridSpan w:val="2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筛上剩余量（1.18㎜），不打于</w:t>
            </w:r>
          </w:p>
        </w:tc>
        <w:tc>
          <w:tcPr>
            <w:tcW w:w="97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%</w:t>
            </w:r>
          </w:p>
        </w:tc>
        <w:tc>
          <w:tcPr>
            <w:tcW w:w="125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0.1</w:t>
            </w:r>
          </w:p>
        </w:tc>
        <w:tc>
          <w:tcPr>
            <w:tcW w:w="152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0.1</w:t>
            </w:r>
          </w:p>
        </w:tc>
        <w:tc>
          <w:tcPr>
            <w:tcW w:w="156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T0652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63" w:type="dxa"/>
          <w:cantSplit/>
          <w:trHeight w:val="465" w:hRule="atLeast"/>
        </w:trPr>
        <w:tc>
          <w:tcPr>
            <w:tcW w:w="796" w:type="dxa"/>
            <w:vMerge w:val="restart"/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粘度</w:t>
            </w:r>
          </w:p>
        </w:tc>
        <w:tc>
          <w:tcPr>
            <w:tcW w:w="279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subscript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恩格拉粘度E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subscript"/>
              </w:rPr>
              <w:t>25</w:t>
            </w:r>
          </w:p>
        </w:tc>
        <w:tc>
          <w:tcPr>
            <w:tcW w:w="97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---</w:t>
            </w:r>
          </w:p>
        </w:tc>
        <w:tc>
          <w:tcPr>
            <w:tcW w:w="125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1～10</w:t>
            </w:r>
          </w:p>
        </w:tc>
        <w:tc>
          <w:tcPr>
            <w:tcW w:w="152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3～30</w:t>
            </w:r>
          </w:p>
        </w:tc>
        <w:tc>
          <w:tcPr>
            <w:tcW w:w="156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T0622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63" w:type="dxa"/>
          <w:cantSplit/>
          <w:trHeight w:val="465" w:hRule="atLeast"/>
        </w:trPr>
        <w:tc>
          <w:tcPr>
            <w:tcW w:w="796" w:type="dxa"/>
            <w:vMerge w:val="continue"/>
            <w:noWrap/>
            <w:vAlign w:val="center"/>
          </w:tcPr>
          <w:p>
            <w:pPr>
              <w:widowControl/>
              <w:ind w:firstLine="36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9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subscript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沥青标准粘度C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subscript"/>
              </w:rPr>
              <w:t>25,3</w:t>
            </w:r>
          </w:p>
        </w:tc>
        <w:tc>
          <w:tcPr>
            <w:tcW w:w="97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S</w:t>
            </w:r>
          </w:p>
        </w:tc>
        <w:tc>
          <w:tcPr>
            <w:tcW w:w="125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2～25</w:t>
            </w:r>
          </w:p>
        </w:tc>
        <w:tc>
          <w:tcPr>
            <w:tcW w:w="152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12～60</w:t>
            </w:r>
          </w:p>
        </w:tc>
        <w:tc>
          <w:tcPr>
            <w:tcW w:w="156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T0621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63" w:type="dxa"/>
          <w:cantSplit/>
          <w:trHeight w:val="465" w:hRule="atLeast"/>
        </w:trPr>
        <w:tc>
          <w:tcPr>
            <w:tcW w:w="796" w:type="dxa"/>
            <w:vMerge w:val="restart"/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蒸发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残留物</w:t>
            </w:r>
          </w:p>
        </w:tc>
        <w:tc>
          <w:tcPr>
            <w:tcW w:w="279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含量，不小于</w:t>
            </w:r>
          </w:p>
        </w:tc>
        <w:tc>
          <w:tcPr>
            <w:tcW w:w="97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%</w:t>
            </w:r>
          </w:p>
        </w:tc>
        <w:tc>
          <w:tcPr>
            <w:tcW w:w="125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</w:t>
            </w:r>
          </w:p>
        </w:tc>
        <w:tc>
          <w:tcPr>
            <w:tcW w:w="152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</w:t>
            </w:r>
          </w:p>
        </w:tc>
        <w:tc>
          <w:tcPr>
            <w:tcW w:w="156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T0651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63" w:type="dxa"/>
          <w:cantSplit/>
          <w:trHeight w:val="465" w:hRule="atLeast"/>
        </w:trPr>
        <w:tc>
          <w:tcPr>
            <w:tcW w:w="796" w:type="dxa"/>
            <w:vMerge w:val="continue"/>
            <w:noWrap/>
            <w:vAlign w:val="center"/>
          </w:tcPr>
          <w:p>
            <w:pPr>
              <w:widowControl/>
              <w:ind w:firstLine="36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9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针入度（100g,25℃,5s）</w:t>
            </w:r>
          </w:p>
        </w:tc>
        <w:tc>
          <w:tcPr>
            <w:tcW w:w="97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0.1㎜</w:t>
            </w:r>
          </w:p>
        </w:tc>
        <w:tc>
          <w:tcPr>
            <w:tcW w:w="125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40～120</w:t>
            </w:r>
          </w:p>
        </w:tc>
        <w:tc>
          <w:tcPr>
            <w:tcW w:w="152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40～100</w:t>
            </w:r>
          </w:p>
        </w:tc>
        <w:tc>
          <w:tcPr>
            <w:tcW w:w="156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T0604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63" w:type="dxa"/>
          <w:cantSplit/>
          <w:trHeight w:val="465" w:hRule="atLeast"/>
        </w:trPr>
        <w:tc>
          <w:tcPr>
            <w:tcW w:w="796" w:type="dxa"/>
            <w:vMerge w:val="continue"/>
            <w:noWrap/>
            <w:vAlign w:val="center"/>
          </w:tcPr>
          <w:p>
            <w:pPr>
              <w:widowControl/>
              <w:ind w:firstLine="36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9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软化点，不小于</w:t>
            </w:r>
          </w:p>
        </w:tc>
        <w:tc>
          <w:tcPr>
            <w:tcW w:w="97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℃</w:t>
            </w:r>
          </w:p>
        </w:tc>
        <w:tc>
          <w:tcPr>
            <w:tcW w:w="125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</w:t>
            </w:r>
          </w:p>
        </w:tc>
        <w:tc>
          <w:tcPr>
            <w:tcW w:w="152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53</w:t>
            </w:r>
          </w:p>
        </w:tc>
        <w:tc>
          <w:tcPr>
            <w:tcW w:w="156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T0606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63" w:type="dxa"/>
          <w:cantSplit/>
          <w:trHeight w:val="465" w:hRule="atLeast"/>
        </w:trPr>
        <w:tc>
          <w:tcPr>
            <w:tcW w:w="796" w:type="dxa"/>
            <w:vMerge w:val="continue"/>
            <w:noWrap/>
            <w:vAlign w:val="center"/>
          </w:tcPr>
          <w:p>
            <w:pPr>
              <w:widowControl/>
              <w:ind w:firstLine="36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9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延度（5℃），不小于</w:t>
            </w:r>
          </w:p>
        </w:tc>
        <w:tc>
          <w:tcPr>
            <w:tcW w:w="97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㎝</w:t>
            </w:r>
          </w:p>
        </w:tc>
        <w:tc>
          <w:tcPr>
            <w:tcW w:w="125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</w:t>
            </w:r>
          </w:p>
        </w:tc>
        <w:tc>
          <w:tcPr>
            <w:tcW w:w="152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</w:t>
            </w:r>
          </w:p>
        </w:tc>
        <w:tc>
          <w:tcPr>
            <w:tcW w:w="156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T0605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63" w:type="dxa"/>
          <w:cantSplit/>
          <w:trHeight w:val="465" w:hRule="atLeast"/>
        </w:trPr>
        <w:tc>
          <w:tcPr>
            <w:tcW w:w="796" w:type="dxa"/>
            <w:vMerge w:val="continue"/>
            <w:noWrap/>
            <w:vAlign w:val="center"/>
          </w:tcPr>
          <w:p>
            <w:pPr>
              <w:widowControl/>
              <w:ind w:firstLine="36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9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溶解度（三氯乙烯），不小于</w:t>
            </w:r>
          </w:p>
        </w:tc>
        <w:tc>
          <w:tcPr>
            <w:tcW w:w="97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%</w:t>
            </w:r>
          </w:p>
        </w:tc>
        <w:tc>
          <w:tcPr>
            <w:tcW w:w="125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97.5</w:t>
            </w:r>
          </w:p>
        </w:tc>
        <w:tc>
          <w:tcPr>
            <w:tcW w:w="152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97.5</w:t>
            </w:r>
          </w:p>
        </w:tc>
        <w:tc>
          <w:tcPr>
            <w:tcW w:w="156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T0607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3590" w:type="dxa"/>
            <w:gridSpan w:val="2"/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与矿料的粘附性，裹覆面积，不小于</w:t>
            </w:r>
          </w:p>
        </w:tc>
        <w:tc>
          <w:tcPr>
            <w:tcW w:w="97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---</w:t>
            </w:r>
          </w:p>
        </w:tc>
        <w:tc>
          <w:tcPr>
            <w:tcW w:w="2772" w:type="dxa"/>
            <w:gridSpan w:val="2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2/3</w:t>
            </w:r>
          </w:p>
          <w:p>
            <w:pPr>
              <w:ind w:firstLine="36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</w:tcBorders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T0654</w:t>
            </w:r>
          </w:p>
        </w:tc>
        <w:tc>
          <w:tcPr>
            <w:tcW w:w="7463" w:type="dxa"/>
            <w:tcBorders>
              <w:top w:val="nil"/>
              <w:bottom w:val="nil"/>
            </w:tcBorders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63" w:type="dxa"/>
          <w:cantSplit/>
          <w:trHeight w:val="465" w:hRule="atLeast"/>
        </w:trPr>
        <w:tc>
          <w:tcPr>
            <w:tcW w:w="796" w:type="dxa"/>
            <w:vMerge w:val="restart"/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贮存稳定性</w:t>
            </w:r>
          </w:p>
        </w:tc>
        <w:tc>
          <w:tcPr>
            <w:tcW w:w="279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1d,不大于</w:t>
            </w:r>
          </w:p>
        </w:tc>
        <w:tc>
          <w:tcPr>
            <w:tcW w:w="97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%</w:t>
            </w:r>
          </w:p>
        </w:tc>
        <w:tc>
          <w:tcPr>
            <w:tcW w:w="125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2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4" w:type="dxa"/>
            <w:tcBorders>
              <w:top w:val="nil"/>
            </w:tcBorders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T0655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463" w:type="dxa"/>
          <w:cantSplit/>
          <w:trHeight w:val="465" w:hRule="atLeast"/>
        </w:trPr>
        <w:tc>
          <w:tcPr>
            <w:tcW w:w="796" w:type="dxa"/>
            <w:vMerge w:val="continue"/>
            <w:noWrap/>
            <w:vAlign w:val="center"/>
          </w:tcPr>
          <w:p>
            <w:pPr>
              <w:widowControl/>
              <w:ind w:firstLine="36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9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5d,不大于</w:t>
            </w:r>
          </w:p>
        </w:tc>
        <w:tc>
          <w:tcPr>
            <w:tcW w:w="97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%</w:t>
            </w:r>
          </w:p>
        </w:tc>
        <w:tc>
          <w:tcPr>
            <w:tcW w:w="125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521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564" w:type="dxa"/>
            <w:noWrap/>
            <w:vAlign w:val="center"/>
          </w:tcPr>
          <w:p>
            <w:pPr>
              <w:ind w:firstLine="36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T0655</w:t>
            </w:r>
          </w:p>
        </w:tc>
      </w:tr>
    </w:tbl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0F67F6"/>
    <w:rsid w:val="375C4928"/>
    <w:rsid w:val="41A86854"/>
    <w:rsid w:val="51E10749"/>
    <w:rsid w:val="78390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1038</Words>
  <Characters>1401</Characters>
  <Lines>0</Lines>
  <Paragraphs>0</Paragraphs>
  <TotalTime>21</TotalTime>
  <ScaleCrop>false</ScaleCrop>
  <LinksUpToDate>false</LinksUpToDate>
  <CharactersWithSpaces>1462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2021-03-22T08:13:00Z</dcterms:created>
  <dc:creator>xuefeng</dc:creator>
  <cp:lastModifiedBy>枫</cp:lastModifiedBy>
  <cp:lastPrinted>2022-04-13T07:36:30Z</cp:lastPrinted>
  <dcterms:modified xsi:type="dcterms:W3CDTF">2022-04-13T07:45:09Z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EBE6759171414C74A623506FE24F2199</vt:lpwstr>
  </property>
</Properties>
</file>