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花岗岩侧石技术要求</w:t>
      </w:r>
    </w:p>
    <w:p>
      <w:pPr>
        <w:pStyle w:val="2"/>
        <w:spacing w:before="0" w:beforeAutospacing="0" w:after="0" w:afterAutospacing="0"/>
        <w:ind w:firstLine="360"/>
        <w:rPr>
          <w:bCs/>
          <w:color w:val="000000"/>
          <w:kern w:val="2"/>
          <w:sz w:val="21"/>
          <w:szCs w:val="21"/>
        </w:rPr>
      </w:pPr>
      <w:r>
        <w:rPr>
          <w:rFonts w:hint="eastAsia"/>
          <w:bCs/>
          <w:color w:val="000000"/>
          <w:kern w:val="2"/>
          <w:sz w:val="21"/>
          <w:szCs w:val="21"/>
        </w:rPr>
        <w:t>一、适用标准：</w:t>
      </w:r>
    </w:p>
    <w:p>
      <w:pPr>
        <w:pStyle w:val="2"/>
        <w:spacing w:before="0" w:beforeAutospacing="0" w:after="0" w:afterAutospacing="0"/>
        <w:ind w:left="-181" w:leftChars="-86" w:firstLine="315" w:firstLineChars="150"/>
        <w:rPr>
          <w:color w:val="000000"/>
          <w:sz w:val="21"/>
          <w:szCs w:val="21"/>
        </w:rPr>
      </w:pPr>
      <w:r>
        <w:rPr>
          <w:rFonts w:hint="eastAsia"/>
          <w:sz w:val="21"/>
          <w:szCs w:val="21"/>
        </w:rPr>
        <w:t>盲道砖应符合现行国家《无障碍设计规范》</w:t>
      </w:r>
      <w:r>
        <w:rPr>
          <w:sz w:val="21"/>
          <w:szCs w:val="21"/>
        </w:rPr>
        <w:tab/>
      </w:r>
      <w:r>
        <w:rPr>
          <w:sz w:val="21"/>
          <w:szCs w:val="21"/>
        </w:rPr>
        <w:t>GB50763</w:t>
      </w:r>
      <w:r>
        <w:rPr>
          <w:rFonts w:hint="eastAsia"/>
          <w:sz w:val="21"/>
          <w:szCs w:val="21"/>
        </w:rPr>
        <w:t>要求。</w:t>
      </w:r>
      <w:r>
        <w:rPr>
          <w:rFonts w:hint="eastAsia"/>
          <w:bCs/>
          <w:kern w:val="2"/>
          <w:sz w:val="21"/>
          <w:szCs w:val="21"/>
        </w:rPr>
        <w:t>花岗石质量应符合《天然花岗石建筑板材》（</w:t>
      </w:r>
      <w:r>
        <w:rPr>
          <w:bCs/>
          <w:kern w:val="2"/>
          <w:sz w:val="21"/>
          <w:szCs w:val="21"/>
        </w:rPr>
        <w:t>GB/T18601-2009</w:t>
      </w:r>
      <w:r>
        <w:rPr>
          <w:rFonts w:hint="eastAsia"/>
          <w:bCs/>
          <w:kern w:val="2"/>
          <w:sz w:val="21"/>
          <w:szCs w:val="21"/>
        </w:rPr>
        <w:t>）、</w:t>
      </w:r>
      <w:r>
        <w:rPr>
          <w:rFonts w:hint="eastAsia"/>
          <w:sz w:val="21"/>
          <w:szCs w:val="21"/>
        </w:rPr>
        <w:t>《建筑地面工程施工质量验收规范》</w:t>
      </w:r>
      <w:r>
        <w:rPr>
          <w:sz w:val="21"/>
          <w:szCs w:val="21"/>
        </w:rPr>
        <w:t>GB50209—2002</w:t>
      </w:r>
      <w:r>
        <w:rPr>
          <w:rFonts w:hint="eastAsia"/>
          <w:bCs/>
          <w:kern w:val="2"/>
          <w:sz w:val="21"/>
          <w:szCs w:val="21"/>
        </w:rPr>
        <w:t>及《城镇道路工程施工与质量验收规范》标准的要求；放射性须符合《建筑材料放射性核素限量》（</w:t>
      </w:r>
      <w:r>
        <w:rPr>
          <w:bCs/>
          <w:kern w:val="2"/>
          <w:sz w:val="21"/>
          <w:szCs w:val="21"/>
        </w:rPr>
        <w:t>GB 6566</w:t>
      </w:r>
      <w:r>
        <w:rPr>
          <w:rFonts w:hint="eastAsia"/>
          <w:bCs/>
          <w:kern w:val="2"/>
          <w:sz w:val="21"/>
          <w:szCs w:val="21"/>
        </w:rPr>
        <w:t>）中分类使用的规定。</w:t>
      </w:r>
      <w:r>
        <w:rPr>
          <w:rFonts w:hint="eastAsia"/>
          <w:sz w:val="21"/>
          <w:szCs w:val="21"/>
        </w:rPr>
        <w:t>花岗岩面层表面应洁净、平整、无磨痕，且应图案清晰，色泽一致，接缝平整，周边顺直，镶嵌正确。板块无裂纹，缺楞、掉角等缺陷。</w:t>
      </w:r>
      <w:r>
        <w:rPr>
          <w:rFonts w:hint="eastAsia"/>
          <w:color w:val="000000"/>
          <w:sz w:val="21"/>
          <w:szCs w:val="21"/>
        </w:rPr>
        <w:t>花岗岩面层的允许偏差应符合</w:t>
      </w:r>
      <w:r>
        <w:rPr>
          <w:color w:val="000000"/>
          <w:sz w:val="21"/>
          <w:szCs w:val="21"/>
        </w:rPr>
        <w:t>GB50209—2002</w:t>
      </w:r>
      <w:r>
        <w:rPr>
          <w:rFonts w:hint="eastAsia"/>
          <w:color w:val="000000"/>
          <w:sz w:val="21"/>
          <w:szCs w:val="21"/>
        </w:rPr>
        <w:t>中表</w:t>
      </w:r>
      <w:r>
        <w:rPr>
          <w:color w:val="000000"/>
          <w:sz w:val="21"/>
          <w:szCs w:val="21"/>
        </w:rPr>
        <w:t>6.1.8</w:t>
      </w:r>
      <w:r>
        <w:rPr>
          <w:rFonts w:hint="eastAsia"/>
          <w:color w:val="000000"/>
          <w:sz w:val="21"/>
          <w:szCs w:val="21"/>
        </w:rPr>
        <w:t>的规定。检验方法：同</w:t>
      </w:r>
      <w:r>
        <w:rPr>
          <w:color w:val="000000"/>
          <w:sz w:val="21"/>
          <w:szCs w:val="21"/>
        </w:rPr>
        <w:t>GB50209—2002</w:t>
      </w:r>
      <w:r>
        <w:rPr>
          <w:rFonts w:hint="eastAsia"/>
          <w:color w:val="000000"/>
          <w:sz w:val="21"/>
          <w:szCs w:val="21"/>
        </w:rPr>
        <w:t>的检验方法及其中表</w:t>
      </w:r>
      <w:r>
        <w:rPr>
          <w:color w:val="000000"/>
          <w:sz w:val="21"/>
          <w:szCs w:val="21"/>
        </w:rPr>
        <w:t>6.1.8</w:t>
      </w:r>
      <w:r>
        <w:rPr>
          <w:rFonts w:hint="eastAsia"/>
          <w:color w:val="000000"/>
          <w:sz w:val="21"/>
          <w:szCs w:val="21"/>
        </w:rPr>
        <w:t>的规定相同。</w:t>
      </w:r>
      <w:r>
        <w:rPr>
          <w:rFonts w:hint="eastAsia"/>
          <w:sz w:val="21"/>
          <w:szCs w:val="21"/>
        </w:rPr>
        <w:t>质量记录提供花岗岩材质合格证明文件及检测报告、复试报告</w:t>
      </w:r>
    </w:p>
    <w:p>
      <w:pPr>
        <w:pStyle w:val="2"/>
        <w:spacing w:before="0" w:beforeAutospacing="0" w:after="0" w:afterAutospacing="0"/>
        <w:ind w:firstLine="360"/>
        <w:rPr>
          <w:bCs/>
          <w:color w:val="000000"/>
          <w:kern w:val="2"/>
          <w:sz w:val="21"/>
          <w:szCs w:val="21"/>
        </w:rPr>
      </w:pPr>
      <w:r>
        <w:rPr>
          <w:rFonts w:hint="eastAsia"/>
          <w:bCs/>
          <w:color w:val="000000"/>
          <w:kern w:val="2"/>
          <w:sz w:val="21"/>
          <w:szCs w:val="21"/>
        </w:rPr>
        <w:t>二、技术指标</w:t>
      </w:r>
    </w:p>
    <w:p>
      <w:pPr>
        <w:pStyle w:val="2"/>
        <w:spacing w:before="0" w:beforeAutospacing="0" w:after="0" w:afterAutospacing="0"/>
        <w:ind w:firstLine="105" w:firstLineChars="50"/>
        <w:rPr>
          <w:bCs/>
          <w:color w:val="000000"/>
          <w:kern w:val="2"/>
          <w:sz w:val="21"/>
          <w:szCs w:val="21"/>
        </w:rPr>
      </w:pPr>
      <w:r>
        <w:rPr>
          <w:rFonts w:hint="eastAsia"/>
          <w:bCs/>
          <w:color w:val="000000"/>
          <w:kern w:val="2"/>
          <w:sz w:val="21"/>
          <w:szCs w:val="21"/>
        </w:rPr>
        <w:t>（</w:t>
      </w:r>
      <w:r>
        <w:rPr>
          <w:bCs/>
          <w:color w:val="000000"/>
          <w:kern w:val="2"/>
          <w:sz w:val="21"/>
          <w:szCs w:val="21"/>
        </w:rPr>
        <w:t>1</w:t>
      </w:r>
      <w:r>
        <w:rPr>
          <w:rFonts w:hint="eastAsia"/>
          <w:bCs/>
          <w:color w:val="000000"/>
          <w:kern w:val="2"/>
          <w:sz w:val="21"/>
          <w:szCs w:val="21"/>
        </w:rPr>
        <w:t>）规格尺寸允许偏差（单位：</w:t>
      </w:r>
      <w:r>
        <w:rPr>
          <w:bCs/>
          <w:color w:val="000000"/>
          <w:kern w:val="2"/>
          <w:sz w:val="21"/>
          <w:szCs w:val="21"/>
        </w:rPr>
        <w:t>mm</w:t>
      </w:r>
      <w:r>
        <w:rPr>
          <w:rFonts w:hint="eastAsia"/>
          <w:bCs/>
          <w:color w:val="000000"/>
          <w:kern w:val="2"/>
          <w:sz w:val="21"/>
          <w:szCs w:val="21"/>
        </w:rPr>
        <w:t>）</w:t>
      </w:r>
    </w:p>
    <w:tbl>
      <w:tblPr>
        <w:tblStyle w:val="3"/>
        <w:tblW w:w="8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4"/>
        <w:gridCol w:w="4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7" w:hRule="atLeast"/>
        </w:trPr>
        <w:tc>
          <w:tcPr>
            <w:tcW w:w="4314" w:type="dxa"/>
            <w:noWrap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方向</w:t>
            </w:r>
            <w:r>
              <w:rPr>
                <w:color w:val="000000"/>
                <w:sz w:val="21"/>
                <w:szCs w:val="21"/>
              </w:rPr>
              <w:t>/</w:t>
            </w:r>
            <w:r>
              <w:rPr>
                <w:rFonts w:hint="eastAsia"/>
                <w:color w:val="000000"/>
                <w:sz w:val="21"/>
                <w:szCs w:val="21"/>
              </w:rPr>
              <w:t>分类</w:t>
            </w:r>
          </w:p>
        </w:tc>
        <w:tc>
          <w:tcPr>
            <w:tcW w:w="4314" w:type="dxa"/>
            <w:noWrap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花岗岩路缘石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4314" w:type="dxa"/>
            <w:noWrap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长、宽度</w:t>
            </w:r>
          </w:p>
        </w:tc>
        <w:tc>
          <w:tcPr>
            <w:tcW w:w="4314" w:type="dxa"/>
            <w:noWrap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  <w:r>
              <w:rPr>
                <w:rFonts w:hint="eastAsia"/>
                <w:b/>
                <w:color w:val="000000"/>
                <w:sz w:val="21"/>
                <w:szCs w:val="21"/>
                <w:vertAlign w:val="superscript"/>
              </w:rPr>
              <w:t>～～</w:t>
            </w:r>
            <w:r>
              <w:rPr>
                <w:color w:val="000000"/>
                <w:sz w:val="21"/>
                <w:szCs w:val="21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14" w:type="dxa"/>
            <w:noWrap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高度≤</w:t>
            </w:r>
            <w:r>
              <w:rPr>
                <w:color w:val="000000"/>
                <w:sz w:val="21"/>
                <w:szCs w:val="21"/>
              </w:rPr>
              <w:t>500</w:t>
            </w:r>
          </w:p>
        </w:tc>
        <w:tc>
          <w:tcPr>
            <w:tcW w:w="4314" w:type="dxa"/>
            <w:noWrap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±</w:t>
            </w:r>
            <w:r>
              <w:rPr>
                <w:color w:val="000000"/>
                <w:sz w:val="21"/>
                <w:szCs w:val="21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4314" w:type="dxa"/>
            <w:noWrap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高度≥</w:t>
            </w:r>
            <w:r>
              <w:rPr>
                <w:color w:val="000000"/>
                <w:sz w:val="21"/>
                <w:szCs w:val="21"/>
              </w:rPr>
              <w:t>500</w:t>
            </w:r>
          </w:p>
        </w:tc>
        <w:tc>
          <w:tcPr>
            <w:tcW w:w="4314" w:type="dxa"/>
            <w:noWrap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±</w:t>
            </w:r>
            <w:r>
              <w:rPr>
                <w:color w:val="000000"/>
                <w:sz w:val="21"/>
                <w:szCs w:val="21"/>
              </w:rPr>
              <w:t>2.5</w:t>
            </w:r>
          </w:p>
        </w:tc>
      </w:tr>
    </w:tbl>
    <w:p>
      <w:pPr>
        <w:spacing w:line="360" w:lineRule="auto"/>
        <w:rPr>
          <w:rFonts w:ascii="宋体" w:cs="宋体"/>
          <w:color w:val="000000"/>
          <w:szCs w:val="21"/>
        </w:rPr>
      </w:pPr>
    </w:p>
    <w:tbl>
      <w:tblPr>
        <w:tblStyle w:val="3"/>
        <w:tblW w:w="8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3"/>
        <w:gridCol w:w="4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4413" w:type="dxa"/>
            <w:noWrap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长度范围</w:t>
            </w:r>
          </w:p>
        </w:tc>
        <w:tc>
          <w:tcPr>
            <w:tcW w:w="4215" w:type="dxa"/>
            <w:noWrap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花岗岩路缘石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4413" w:type="dxa"/>
            <w:noWrap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500</w:t>
            </w:r>
            <w:r>
              <w:rPr>
                <w:rFonts w:hint="eastAsia"/>
                <w:b/>
                <w:color w:val="000000"/>
                <w:sz w:val="21"/>
                <w:szCs w:val="21"/>
                <w:vertAlign w:val="superscript"/>
              </w:rPr>
              <w:t>～</w:t>
            </w:r>
            <w:r>
              <w:rPr>
                <w:rFonts w:hint="eastAsia"/>
                <w:b/>
                <w:color w:val="000000"/>
                <w:sz w:val="21"/>
                <w:szCs w:val="21"/>
              </w:rPr>
              <w:t>≤</w:t>
            </w:r>
            <w:r>
              <w:rPr>
                <w:color w:val="000000"/>
                <w:sz w:val="21"/>
                <w:szCs w:val="21"/>
              </w:rPr>
              <w:t>1000</w:t>
            </w:r>
          </w:p>
        </w:tc>
        <w:tc>
          <w:tcPr>
            <w:tcW w:w="4215" w:type="dxa"/>
            <w:noWrap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1.5</w:t>
            </w:r>
          </w:p>
        </w:tc>
      </w:tr>
    </w:tbl>
    <w:p>
      <w:pPr>
        <w:spacing w:line="360" w:lineRule="auto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>）平面度允许极限偏差（单位：</w:t>
      </w:r>
      <w:r>
        <w:rPr>
          <w:rFonts w:ascii="宋体" w:hAnsi="宋体" w:cs="宋体"/>
          <w:color w:val="000000"/>
          <w:kern w:val="0"/>
          <w:szCs w:val="21"/>
        </w:rPr>
        <w:t>mm</w:t>
      </w:r>
      <w:r>
        <w:rPr>
          <w:rFonts w:hint="eastAsia" w:ascii="宋体" w:hAnsi="宋体" w:cs="宋体"/>
          <w:color w:val="000000"/>
          <w:kern w:val="0"/>
          <w:szCs w:val="21"/>
        </w:rPr>
        <w:t>）</w:t>
      </w:r>
    </w:p>
    <w:tbl>
      <w:tblPr>
        <w:tblStyle w:val="3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5"/>
        <w:gridCol w:w="4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5" w:type="dxa"/>
            <w:noWrap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长度范围</w:t>
            </w:r>
          </w:p>
        </w:tc>
        <w:tc>
          <w:tcPr>
            <w:tcW w:w="4208" w:type="dxa"/>
            <w:noWrap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花岗岩路缘石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5" w:type="dxa"/>
            <w:noWrap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≤</w:t>
            </w:r>
            <w:r>
              <w:rPr>
                <w:color w:val="000000"/>
                <w:sz w:val="21"/>
                <w:szCs w:val="21"/>
              </w:rPr>
              <w:t>1000</w:t>
            </w:r>
          </w:p>
        </w:tc>
        <w:tc>
          <w:tcPr>
            <w:tcW w:w="4208" w:type="dxa"/>
            <w:noWrap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1.0</w:t>
            </w:r>
          </w:p>
        </w:tc>
      </w:tr>
    </w:tbl>
    <w:p>
      <w:pPr>
        <w:spacing w:line="360" w:lineRule="auto"/>
        <w:rPr>
          <w:rFonts w:ascii="宋体" w:cs="宋体"/>
          <w:color w:val="000000"/>
          <w:kern w:val="0"/>
          <w:szCs w:val="21"/>
        </w:rPr>
      </w:pPr>
    </w:p>
    <w:p>
      <w:pPr>
        <w:spacing w:line="360" w:lineRule="auto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3</w:t>
      </w:r>
      <w:r>
        <w:rPr>
          <w:rFonts w:hint="eastAsia" w:ascii="宋体" w:hAnsi="宋体" w:cs="宋体"/>
          <w:color w:val="000000"/>
          <w:kern w:val="0"/>
          <w:szCs w:val="21"/>
        </w:rPr>
        <w:t>）角度允许极限公差（单位：</w:t>
      </w:r>
      <w:r>
        <w:rPr>
          <w:rFonts w:ascii="宋体" w:hAnsi="宋体" w:cs="宋体"/>
          <w:color w:val="000000"/>
          <w:kern w:val="0"/>
          <w:szCs w:val="21"/>
        </w:rPr>
        <w:t>mm</w:t>
      </w:r>
      <w:r>
        <w:rPr>
          <w:rFonts w:hint="eastAsia" w:ascii="宋体" w:hAnsi="宋体" w:cs="宋体"/>
          <w:color w:val="000000"/>
          <w:kern w:val="0"/>
          <w:szCs w:val="21"/>
        </w:rPr>
        <w:t>）</w:t>
      </w:r>
    </w:p>
    <w:tbl>
      <w:tblPr>
        <w:tblStyle w:val="3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4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4516" w:type="dxa"/>
            <w:noWrap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测定项目</w:t>
            </w:r>
          </w:p>
        </w:tc>
        <w:tc>
          <w:tcPr>
            <w:tcW w:w="4097" w:type="dxa"/>
            <w:noWrap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限量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4516" w:type="dxa"/>
            <w:noWrap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内照射指数（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Im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097" w:type="dxa"/>
            <w:noWrap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≤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4516" w:type="dxa"/>
            <w:noWrap/>
            <w:vAlign w:val="center"/>
          </w:tcPr>
          <w:p>
            <w:pPr>
              <w:adjustRightInd w:val="0"/>
              <w:snapToGrid w:val="0"/>
              <w:spacing w:before="240"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外照射指数（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Ir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097" w:type="dxa"/>
            <w:noWrap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≤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1.3</w:t>
            </w:r>
          </w:p>
        </w:tc>
      </w:tr>
    </w:tbl>
    <w:p>
      <w:pPr>
        <w:pStyle w:val="2"/>
        <w:spacing w:before="0" w:beforeAutospacing="0" w:after="0" w:afterAutospacing="0"/>
        <w:ind w:firstLine="105" w:firstLineChars="5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4</w:t>
      </w:r>
      <w:r>
        <w:rPr>
          <w:rFonts w:hint="eastAsia"/>
          <w:color w:val="000000"/>
          <w:sz w:val="21"/>
          <w:szCs w:val="21"/>
        </w:rPr>
        <w:t>）干燥（水饱合）压缩强度≧</w:t>
      </w:r>
      <w:r>
        <w:rPr>
          <w:color w:val="000000"/>
          <w:sz w:val="21"/>
          <w:szCs w:val="21"/>
        </w:rPr>
        <w:t>100 MPa</w:t>
      </w:r>
    </w:p>
    <w:p>
      <w:pPr>
        <w:pStyle w:val="2"/>
        <w:spacing w:before="0" w:beforeAutospacing="0" w:after="0" w:afterAutospacing="0"/>
        <w:ind w:firstLine="105" w:firstLineChars="5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5</w:t>
      </w:r>
      <w:r>
        <w:rPr>
          <w:rFonts w:hint="eastAsia"/>
          <w:color w:val="000000"/>
          <w:sz w:val="21"/>
          <w:szCs w:val="21"/>
        </w:rPr>
        <w:t>）干燥（水饱合）弯曲强度≧</w:t>
      </w:r>
      <w:r>
        <w:rPr>
          <w:color w:val="000000"/>
          <w:sz w:val="21"/>
          <w:szCs w:val="21"/>
        </w:rPr>
        <w:t>8.0 MPa</w:t>
      </w:r>
    </w:p>
    <w:p>
      <w:pPr>
        <w:pStyle w:val="2"/>
        <w:spacing w:before="0" w:beforeAutospacing="0" w:after="0" w:afterAutospacing="0"/>
        <w:ind w:firstLine="105" w:firstLineChars="5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6</w:t>
      </w:r>
      <w:r>
        <w:rPr>
          <w:rFonts w:hint="eastAsia"/>
          <w:color w:val="000000"/>
          <w:sz w:val="21"/>
          <w:szCs w:val="21"/>
        </w:rPr>
        <w:t>）</w:t>
      </w:r>
      <w:r>
        <w:rPr>
          <w:color w:val="000000"/>
          <w:sz w:val="21"/>
          <w:szCs w:val="21"/>
        </w:rPr>
        <w:t>25</w:t>
      </w:r>
      <w:r>
        <w:rPr>
          <w:rFonts w:hint="eastAsia"/>
          <w:color w:val="000000"/>
          <w:sz w:val="21"/>
          <w:szCs w:val="21"/>
        </w:rPr>
        <w:t>次冻融循环后压缩强度≧</w:t>
      </w:r>
      <w:r>
        <w:rPr>
          <w:color w:val="000000"/>
          <w:sz w:val="21"/>
          <w:szCs w:val="21"/>
        </w:rPr>
        <w:t>100 MPa</w:t>
      </w:r>
    </w:p>
    <w:p>
      <w:pPr>
        <w:spacing w:line="360" w:lineRule="auto"/>
        <w:ind w:firstLine="315" w:firstLineChars="150"/>
        <w:rPr>
          <w:rFonts w:asci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三、工艺标准</w:t>
      </w:r>
    </w:p>
    <w:p>
      <w:pPr>
        <w:spacing w:line="360" w:lineRule="auto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 xml:space="preserve">    </w:t>
      </w:r>
      <w:r>
        <w:rPr>
          <w:rFonts w:hint="eastAsia" w:ascii="宋体" w:hAnsi="宋体" w:cs="宋体"/>
          <w:color w:val="000000"/>
          <w:szCs w:val="21"/>
        </w:rPr>
        <w:t>规格品种均符合设计要求，外观颜色一致，表面平整，形状尺寸、图案花纹正确，厚度一致并符合设计要求，边角整齐，无翘曲、裂纹等缺陷。</w:t>
      </w:r>
    </w:p>
    <w:p>
      <w:pPr>
        <w:spacing w:line="360" w:lineRule="auto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 xml:space="preserve">   </w:t>
      </w:r>
      <w:r>
        <w:rPr>
          <w:rFonts w:hint="eastAsia" w:ascii="宋体" w:hAnsi="宋体" w:cs="宋体"/>
          <w:color w:val="000000"/>
          <w:szCs w:val="21"/>
        </w:rPr>
        <w:t>质量标准</w:t>
      </w:r>
    </w:p>
    <w:p>
      <w:pPr>
        <w:spacing w:line="360" w:lineRule="auto"/>
        <w:ind w:firstLine="315" w:firstLineChars="150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1.</w:t>
      </w:r>
      <w:r>
        <w:rPr>
          <w:rFonts w:hint="eastAsia" w:ascii="宋体" w:hAnsi="宋体" w:cs="宋体"/>
          <w:color w:val="000000"/>
          <w:szCs w:val="21"/>
        </w:rPr>
        <w:t>主控项目</w:t>
      </w:r>
    </w:p>
    <w:p>
      <w:pPr>
        <w:spacing w:line="360" w:lineRule="auto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 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hint="eastAsia" w:ascii="宋体" w:hAnsi="宋体" w:cs="宋体"/>
          <w:color w:val="000000"/>
          <w:szCs w:val="21"/>
        </w:rPr>
        <w:t>）原料应符合</w:t>
      </w:r>
      <w:r>
        <w:rPr>
          <w:rFonts w:ascii="宋体" w:hAnsi="宋体" w:cs="宋体"/>
          <w:color w:val="000000"/>
          <w:szCs w:val="21"/>
        </w:rPr>
        <w:t>9.19.4.2</w:t>
      </w:r>
      <w:r>
        <w:rPr>
          <w:rFonts w:hint="eastAsia" w:ascii="宋体" w:hAnsi="宋体" w:cs="宋体"/>
          <w:color w:val="000000"/>
          <w:szCs w:val="21"/>
        </w:rPr>
        <w:t>的要求。</w:t>
      </w:r>
    </w:p>
    <w:p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 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）检验方法：同</w:t>
      </w:r>
      <w:r>
        <w:rPr>
          <w:rFonts w:ascii="宋体" w:hAnsi="宋体" w:cs="宋体"/>
          <w:color w:val="000000"/>
          <w:szCs w:val="21"/>
        </w:rPr>
        <w:t>GB50209—2002</w:t>
      </w:r>
    </w:p>
    <w:p>
      <w:pPr>
        <w:spacing w:line="360" w:lineRule="auto"/>
        <w:ind w:firstLine="315" w:firstLineChars="150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2.</w:t>
      </w:r>
      <w:r>
        <w:rPr>
          <w:rFonts w:hint="eastAsia" w:ascii="宋体" w:hAnsi="宋体" w:cs="宋体"/>
          <w:color w:val="000000"/>
          <w:szCs w:val="21"/>
        </w:rPr>
        <w:t>一般项目</w:t>
      </w:r>
    </w:p>
    <w:p>
      <w:pPr>
        <w:spacing w:line="360" w:lineRule="auto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 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花岗岩面层表面应洁净、平整、无磨痕，且应图案清晰，色泽一致，接缝平整，周边顺直，镶嵌正确。板块无裂纹，缺楞、掉角等缺陷。</w:t>
      </w:r>
    </w:p>
    <w:p>
      <w:pPr>
        <w:spacing w:line="360" w:lineRule="auto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 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大理石和花岗岩面层的允许偏差应符合</w:t>
      </w:r>
      <w:r>
        <w:rPr>
          <w:rFonts w:ascii="宋体" w:hAnsi="宋体" w:cs="宋体"/>
          <w:color w:val="000000"/>
          <w:szCs w:val="21"/>
        </w:rPr>
        <w:t>GB50209—2002</w:t>
      </w:r>
      <w:r>
        <w:rPr>
          <w:rFonts w:hint="eastAsia" w:ascii="宋体" w:hAnsi="宋体" w:cs="宋体"/>
          <w:color w:val="000000"/>
          <w:szCs w:val="21"/>
        </w:rPr>
        <w:t>中表</w:t>
      </w:r>
      <w:r>
        <w:rPr>
          <w:rFonts w:ascii="宋体" w:hAnsi="宋体" w:cs="宋体"/>
          <w:color w:val="000000"/>
          <w:szCs w:val="21"/>
        </w:rPr>
        <w:t>6.1.8</w:t>
      </w:r>
      <w:r>
        <w:rPr>
          <w:rFonts w:hint="eastAsia" w:ascii="宋体" w:hAnsi="宋体" w:cs="宋体"/>
          <w:color w:val="000000"/>
          <w:szCs w:val="21"/>
        </w:rPr>
        <w:t>的规定。</w:t>
      </w:r>
    </w:p>
    <w:p>
      <w:pPr>
        <w:spacing w:line="360" w:lineRule="auto"/>
        <w:rPr>
          <w:rFonts w:asci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检验方法：同</w:t>
      </w:r>
      <w:r>
        <w:rPr>
          <w:rFonts w:ascii="宋体" w:hAnsi="宋体" w:cs="宋体"/>
          <w:color w:val="000000"/>
          <w:szCs w:val="21"/>
        </w:rPr>
        <w:t>GB50209—2002</w:t>
      </w:r>
      <w:r>
        <w:rPr>
          <w:rFonts w:hint="eastAsia" w:ascii="宋体" w:hAnsi="宋体" w:cs="宋体"/>
          <w:color w:val="000000"/>
          <w:szCs w:val="21"/>
        </w:rPr>
        <w:t>的检验方法及其中表</w:t>
      </w:r>
      <w:r>
        <w:rPr>
          <w:rFonts w:ascii="宋体" w:hAnsi="宋体" w:cs="宋体"/>
          <w:color w:val="000000"/>
          <w:szCs w:val="21"/>
        </w:rPr>
        <w:t>6.1.8</w:t>
      </w:r>
      <w:r>
        <w:rPr>
          <w:rFonts w:hint="eastAsia" w:ascii="宋体" w:hAnsi="宋体" w:cs="宋体"/>
          <w:color w:val="000000"/>
          <w:szCs w:val="21"/>
        </w:rPr>
        <w:t>的规定相同。</w:t>
      </w:r>
    </w:p>
    <w:p>
      <w:pPr>
        <w:pStyle w:val="2"/>
        <w:spacing w:before="0" w:beforeAutospacing="0" w:after="0" w:afterAutospacing="0"/>
        <w:ind w:firstLine="315" w:firstLineChars="15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3.</w:t>
      </w:r>
      <w:r>
        <w:rPr>
          <w:rFonts w:hint="eastAsia"/>
          <w:color w:val="000000"/>
          <w:sz w:val="21"/>
          <w:szCs w:val="21"/>
        </w:rPr>
        <w:t>观感和使用等要求说明</w:t>
      </w:r>
    </w:p>
    <w:p>
      <w:pPr>
        <w:pStyle w:val="2"/>
        <w:spacing w:before="0" w:beforeAutospacing="0" w:after="0" w:afterAutospacing="0"/>
        <w:ind w:firstLine="105" w:firstLineChars="5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）花岗岩路缘石要求均匀，不得有坑窝、划痕、缺棱、缺角、裂纹。表面纹理均匀、顺畅，不得有明显影响观感的色线或色斑。</w:t>
      </w:r>
    </w:p>
    <w:p>
      <w:pPr>
        <w:pStyle w:val="2"/>
        <w:spacing w:before="0" w:beforeAutospacing="0" w:after="0" w:afterAutospacing="0"/>
        <w:ind w:firstLine="105" w:firstLineChars="5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）颜色要符合采购人指定的样品。天然石材不允许有染色和电解等情况。单项工程侧石应从矿口控制，确保所供石材均从该矿山同一矿口采取，从而保证整体颜色协调。石材品种选定后应封存各方认可的标准样板，样板选用颜色深浅各一块，作为控制色差的上下限。供货应以样板的花纹色调为基准，并保证同一面上花纹颜色协调。</w:t>
      </w:r>
    </w:p>
    <w:p>
      <w:pPr>
        <w:pStyle w:val="2"/>
        <w:spacing w:before="0" w:beforeAutospacing="0" w:after="0" w:afterAutospacing="0"/>
        <w:ind w:firstLine="105" w:firstLineChars="5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）石材加工符合技术指标要求，水切面要平滑顺直，不允许有毛刺及崩边现象；开槽尺寸、深度、位置符合采购单要求。</w:t>
      </w:r>
    </w:p>
    <w:p>
      <w:pPr>
        <w:jc w:val="center"/>
        <w:rPr>
          <w:rFonts w:hint="eastAsia" w:ascii="宋体" w:hAnsi="宋体" w:cs="宋体"/>
          <w:b/>
          <w:color w:val="000000"/>
          <w:szCs w:val="21"/>
        </w:rPr>
      </w:pPr>
    </w:p>
    <w:p>
      <w:pPr>
        <w:jc w:val="center"/>
        <w:rPr>
          <w:rFonts w:hint="eastAsia" w:ascii="宋体" w:hAnsi="宋体" w:cs="宋体"/>
          <w:b/>
          <w:color w:val="000000"/>
          <w:szCs w:val="21"/>
        </w:rPr>
      </w:pPr>
    </w:p>
    <w:p>
      <w:pPr>
        <w:jc w:val="center"/>
        <w:rPr>
          <w:rFonts w:hint="eastAsia" w:ascii="宋体" w:hAnsi="宋体" w:cs="宋体"/>
          <w:b/>
          <w:color w:val="000000"/>
          <w:szCs w:val="21"/>
        </w:rPr>
      </w:pPr>
    </w:p>
    <w:p>
      <w:pPr>
        <w:jc w:val="center"/>
        <w:rPr>
          <w:rFonts w:hint="eastAsia" w:ascii="宋体" w:hAnsi="宋体" w:cs="宋体"/>
          <w:b/>
          <w:color w:val="000000"/>
          <w:szCs w:val="21"/>
        </w:rPr>
      </w:pPr>
    </w:p>
    <w:p>
      <w:pPr>
        <w:jc w:val="center"/>
        <w:rPr>
          <w:rFonts w:hint="eastAsia" w:ascii="宋体" w:hAnsi="宋体" w:cs="宋体"/>
          <w:b/>
          <w:color w:val="000000"/>
          <w:szCs w:val="21"/>
        </w:rPr>
      </w:pPr>
    </w:p>
    <w:p>
      <w:pPr>
        <w:jc w:val="center"/>
        <w:rPr>
          <w:rFonts w:hint="eastAsia" w:ascii="宋体" w:hAnsi="宋体" w:cs="宋体"/>
          <w:b/>
          <w:color w:val="000000"/>
          <w:szCs w:val="21"/>
        </w:rPr>
      </w:pPr>
    </w:p>
    <w:p>
      <w:pPr>
        <w:jc w:val="center"/>
        <w:rPr>
          <w:rFonts w:ascii="宋体" w:cs="宋体"/>
          <w:b/>
          <w:color w:val="000000"/>
          <w:szCs w:val="21"/>
        </w:rPr>
      </w:pPr>
      <w:r>
        <w:rPr>
          <w:rFonts w:hint="eastAsia" w:ascii="宋体" w:hAnsi="宋体" w:cs="宋体"/>
          <w:b/>
          <w:color w:val="000000"/>
          <w:szCs w:val="21"/>
        </w:rPr>
        <w:t>花岗岩盲道砖技术要求</w:t>
      </w:r>
    </w:p>
    <w:p>
      <w:pPr>
        <w:pStyle w:val="2"/>
        <w:numPr>
          <w:ilvl w:val="0"/>
          <w:numId w:val="1"/>
        </w:numPr>
        <w:spacing w:before="0" w:beforeAutospacing="0" w:after="0" w:afterAutospacing="0"/>
        <w:ind w:left="180" w:hanging="36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盲道砖应符合现行国家《无障碍设计规范》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GB50763</w:t>
      </w:r>
      <w:r>
        <w:rPr>
          <w:rFonts w:hint="eastAsia"/>
          <w:color w:val="000000"/>
          <w:sz w:val="21"/>
          <w:szCs w:val="21"/>
        </w:rPr>
        <w:t>要求。</w:t>
      </w:r>
      <w:r>
        <w:rPr>
          <w:rFonts w:hint="eastAsia"/>
          <w:bCs/>
          <w:color w:val="000000"/>
          <w:kern w:val="2"/>
          <w:sz w:val="21"/>
          <w:szCs w:val="21"/>
        </w:rPr>
        <w:t>花岗石质量应符合《天然花岗石建筑板材》（</w:t>
      </w:r>
      <w:r>
        <w:rPr>
          <w:bCs/>
          <w:color w:val="000000"/>
          <w:kern w:val="2"/>
          <w:sz w:val="21"/>
          <w:szCs w:val="21"/>
        </w:rPr>
        <w:t>GB/T18601-2009</w:t>
      </w:r>
      <w:r>
        <w:rPr>
          <w:rFonts w:hint="eastAsia"/>
          <w:bCs/>
          <w:color w:val="000000"/>
          <w:kern w:val="2"/>
          <w:sz w:val="21"/>
          <w:szCs w:val="21"/>
        </w:rPr>
        <w:t>）、</w:t>
      </w:r>
      <w:r>
        <w:rPr>
          <w:rFonts w:hint="eastAsia"/>
          <w:color w:val="000000"/>
          <w:sz w:val="21"/>
          <w:szCs w:val="21"/>
        </w:rPr>
        <w:t>《建筑地面工程施工质量验收规范》</w:t>
      </w:r>
      <w:r>
        <w:rPr>
          <w:color w:val="000000"/>
          <w:sz w:val="21"/>
          <w:szCs w:val="21"/>
        </w:rPr>
        <w:t>GB50209—2002</w:t>
      </w:r>
      <w:r>
        <w:rPr>
          <w:rFonts w:hint="eastAsia"/>
          <w:bCs/>
          <w:color w:val="000000"/>
          <w:kern w:val="2"/>
          <w:sz w:val="21"/>
          <w:szCs w:val="21"/>
        </w:rPr>
        <w:t>及《城镇道路工程施工与质量验收规范》标准的要求；放射性须符合《建筑材料放射性核素限量》（</w:t>
      </w:r>
      <w:r>
        <w:rPr>
          <w:bCs/>
          <w:color w:val="000000"/>
          <w:kern w:val="2"/>
          <w:sz w:val="21"/>
          <w:szCs w:val="21"/>
        </w:rPr>
        <w:t>GB 6566</w:t>
      </w:r>
      <w:r>
        <w:rPr>
          <w:rFonts w:hint="eastAsia"/>
          <w:bCs/>
          <w:color w:val="000000"/>
          <w:kern w:val="2"/>
          <w:sz w:val="21"/>
          <w:szCs w:val="21"/>
        </w:rPr>
        <w:t>）中分类使用的规定。</w:t>
      </w:r>
    </w:p>
    <w:p>
      <w:pPr>
        <w:spacing w:line="360" w:lineRule="auto"/>
        <w:rPr>
          <w:rFonts w:asci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三、花岗岩面层表面应洁净、平整、无磨痕，且应图案清晰，色泽一致，接缝平整，周边顺直，镶嵌正确。板块无裂纹，缺楞、掉角等缺陷。花岗岩面层的允许偏差应符合</w:t>
      </w:r>
      <w:r>
        <w:rPr>
          <w:rFonts w:ascii="宋体" w:hAnsi="宋体" w:cs="宋体"/>
          <w:color w:val="000000"/>
          <w:szCs w:val="21"/>
        </w:rPr>
        <w:t>GB50209—2002</w:t>
      </w:r>
      <w:r>
        <w:rPr>
          <w:rFonts w:hint="eastAsia" w:ascii="宋体" w:hAnsi="宋体" w:cs="宋体"/>
          <w:color w:val="000000"/>
          <w:szCs w:val="21"/>
        </w:rPr>
        <w:t>中表</w:t>
      </w:r>
      <w:r>
        <w:rPr>
          <w:rFonts w:ascii="宋体" w:hAnsi="宋体" w:cs="宋体"/>
          <w:color w:val="000000"/>
          <w:szCs w:val="21"/>
        </w:rPr>
        <w:t>6.1.8</w:t>
      </w:r>
      <w:r>
        <w:rPr>
          <w:rFonts w:hint="eastAsia" w:ascii="宋体" w:hAnsi="宋体" w:cs="宋体"/>
          <w:color w:val="000000"/>
          <w:szCs w:val="21"/>
        </w:rPr>
        <w:t>的规定。检验方法：同</w:t>
      </w:r>
      <w:r>
        <w:rPr>
          <w:rFonts w:ascii="宋体" w:hAnsi="宋体" w:cs="宋体"/>
          <w:color w:val="000000"/>
          <w:szCs w:val="21"/>
        </w:rPr>
        <w:t>GB50209—2002</w:t>
      </w:r>
      <w:r>
        <w:rPr>
          <w:rFonts w:hint="eastAsia" w:ascii="宋体" w:hAnsi="宋体" w:cs="宋体"/>
          <w:color w:val="000000"/>
          <w:szCs w:val="21"/>
        </w:rPr>
        <w:t>的检验方法及其中表</w:t>
      </w:r>
      <w:r>
        <w:rPr>
          <w:rFonts w:ascii="宋体" w:hAnsi="宋体" w:cs="宋体"/>
          <w:color w:val="000000"/>
          <w:szCs w:val="21"/>
        </w:rPr>
        <w:t>6.1.8</w:t>
      </w:r>
      <w:r>
        <w:rPr>
          <w:rFonts w:hint="eastAsia" w:ascii="宋体" w:hAnsi="宋体" w:cs="宋体"/>
          <w:color w:val="000000"/>
          <w:szCs w:val="21"/>
        </w:rPr>
        <w:t>的规定相同。</w:t>
      </w:r>
      <w:r>
        <w:rPr>
          <w:rFonts w:hint="eastAsia" w:ascii="宋体" w:hAnsi="宋体" w:cs="宋体"/>
          <w:szCs w:val="21"/>
        </w:rPr>
        <w:t>质量记录花岗岩材质合格证明文件及检测报告、复试报告</w:t>
      </w:r>
    </w:p>
    <w:p>
      <w:pPr>
        <w:jc w:val="center"/>
        <w:rPr>
          <w:rFonts w:ascii="宋体" w:cs="宋体"/>
          <w:color w:val="000000"/>
          <w:kern w:val="0"/>
          <w:szCs w:val="21"/>
        </w:rPr>
      </w:pPr>
      <w:r>
        <w:rPr>
          <w:rFonts w:ascii="宋体" w:cs="宋体"/>
          <w:color w:val="000000"/>
          <w:kern w:val="0"/>
          <w:szCs w:val="21"/>
        </w:rPr>
        <w:drawing>
          <wp:inline distT="0" distB="0" distL="114300" distR="114300">
            <wp:extent cx="4533900" cy="2447925"/>
            <wp:effectExtent l="0" t="0" r="0" b="9525"/>
            <wp:docPr id="1" name="图片 1" descr="1BB31CD45B827174FFC6121DCB8426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BB31CD45B827174FFC6121DCB8426E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宋体" w:cs="宋体"/>
          <w:b/>
          <w:color w:val="000000"/>
          <w:szCs w:val="21"/>
        </w:rPr>
      </w:pPr>
      <w:r>
        <w:rPr>
          <w:rFonts w:ascii="宋体" w:cs="宋体"/>
          <w:color w:val="000000"/>
          <w:kern w:val="0"/>
          <w:szCs w:val="21"/>
        </w:rPr>
        <w:drawing>
          <wp:inline distT="0" distB="0" distL="114300" distR="114300">
            <wp:extent cx="5162550" cy="2876550"/>
            <wp:effectExtent l="0" t="0" r="0" b="0"/>
            <wp:docPr id="2" name="图片 2" descr="B2FD56A346A9AEDB2E7B5D8CC48FBE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2FD56A346A9AEDB2E7B5D8CC48FBEF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color w:val="000000"/>
          <w:kern w:val="0"/>
          <w:szCs w:val="21"/>
        </w:rPr>
        <w:br w:type="page"/>
      </w:r>
      <w:r>
        <w:rPr>
          <w:rFonts w:hint="eastAsia" w:ascii="宋体" w:hAnsi="宋体" w:cs="宋体"/>
          <w:b/>
          <w:color w:val="000000"/>
          <w:szCs w:val="21"/>
        </w:rPr>
        <w:t>火烧板技术要求</w:t>
      </w:r>
    </w:p>
    <w:p>
      <w:pPr>
        <w:spacing w:line="360" w:lineRule="auto"/>
        <w:rPr>
          <w:rFonts w:asci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一</w:t>
      </w:r>
      <w:r>
        <w:rPr>
          <w:rFonts w:hint="eastAsia" w:ascii="宋体" w:hAnsi="宋体" w:cs="宋体"/>
          <w:color w:val="000000"/>
          <w:szCs w:val="21"/>
        </w:rPr>
        <w:t>、技术参数</w:t>
      </w:r>
    </w:p>
    <w:p>
      <w:pPr>
        <w:spacing w:line="360" w:lineRule="auto"/>
        <w:rPr>
          <w:rFonts w:asci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表</w:t>
      </w:r>
      <w:r>
        <w:rPr>
          <w:rFonts w:ascii="宋体" w:hAnsi="宋体" w:cs="宋体"/>
          <w:color w:val="000000"/>
          <w:szCs w:val="21"/>
        </w:rPr>
        <w:t>13.2.1</w:t>
      </w:r>
      <w:r>
        <w:rPr>
          <w:rFonts w:hint="eastAsia" w:ascii="宋体" w:hAnsi="宋体" w:cs="宋体"/>
          <w:color w:val="000000"/>
          <w:szCs w:val="21"/>
        </w:rPr>
        <w:t>石材物理性能及外观质量</w:t>
      </w:r>
    </w:p>
    <w:tbl>
      <w:tblPr>
        <w:tblStyle w:val="3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200"/>
        <w:gridCol w:w="1080"/>
        <w:gridCol w:w="3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8" w:type="dxa"/>
            <w:gridSpan w:val="2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项目</w:t>
            </w:r>
          </w:p>
        </w:tc>
        <w:tc>
          <w:tcPr>
            <w:tcW w:w="120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单位</w:t>
            </w:r>
          </w:p>
        </w:tc>
        <w:tc>
          <w:tcPr>
            <w:tcW w:w="108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允许值</w:t>
            </w:r>
          </w:p>
        </w:tc>
        <w:tc>
          <w:tcPr>
            <w:tcW w:w="306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704" w:type="dxa"/>
            <w:vMerge w:val="restart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物理性能</w:t>
            </w:r>
          </w:p>
        </w:tc>
        <w:tc>
          <w:tcPr>
            <w:tcW w:w="1704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饱和抗压强度</w:t>
            </w:r>
          </w:p>
        </w:tc>
        <w:tc>
          <w:tcPr>
            <w:tcW w:w="120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/>
                <w:bCs/>
                <w:color w:val="000000"/>
                <w:szCs w:val="21"/>
              </w:rPr>
              <w:t>MPa</w:t>
            </w:r>
          </w:p>
        </w:tc>
        <w:tc>
          <w:tcPr>
            <w:tcW w:w="108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≥</w:t>
            </w:r>
            <w:r>
              <w:rPr>
                <w:rFonts w:ascii="宋体" w:hAnsi="宋体" w:cs="宋体"/>
                <w:bCs/>
                <w:color w:val="000000"/>
                <w:szCs w:val="21"/>
              </w:rPr>
              <w:t>80</w:t>
            </w:r>
          </w:p>
        </w:tc>
        <w:tc>
          <w:tcPr>
            <w:tcW w:w="306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704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</w:p>
        </w:tc>
        <w:tc>
          <w:tcPr>
            <w:tcW w:w="1704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饱和抗折强度</w:t>
            </w:r>
          </w:p>
        </w:tc>
        <w:tc>
          <w:tcPr>
            <w:tcW w:w="120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/>
                <w:bCs/>
                <w:color w:val="000000"/>
                <w:szCs w:val="21"/>
              </w:rPr>
              <w:t>MPa</w:t>
            </w:r>
          </w:p>
        </w:tc>
        <w:tc>
          <w:tcPr>
            <w:tcW w:w="108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≥</w:t>
            </w:r>
            <w:r>
              <w:rPr>
                <w:rFonts w:ascii="宋体" w:hAnsi="宋体" w:cs="宋体"/>
                <w:bCs/>
                <w:color w:val="000000"/>
                <w:szCs w:val="21"/>
              </w:rPr>
              <w:t>9</w:t>
            </w:r>
          </w:p>
        </w:tc>
        <w:tc>
          <w:tcPr>
            <w:tcW w:w="306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704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</w:p>
        </w:tc>
        <w:tc>
          <w:tcPr>
            <w:tcW w:w="1704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体积密度</w:t>
            </w:r>
          </w:p>
        </w:tc>
        <w:tc>
          <w:tcPr>
            <w:tcW w:w="120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/>
                <w:bCs/>
                <w:color w:val="000000"/>
                <w:szCs w:val="21"/>
              </w:rPr>
              <w:t>g/Cm</w:t>
            </w: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³</w:t>
            </w:r>
          </w:p>
        </w:tc>
        <w:tc>
          <w:tcPr>
            <w:tcW w:w="108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≥</w:t>
            </w:r>
            <w:r>
              <w:rPr>
                <w:rFonts w:ascii="宋体" w:hAnsi="宋体" w:cs="宋体"/>
                <w:bCs/>
                <w:color w:val="000000"/>
                <w:szCs w:val="21"/>
              </w:rPr>
              <w:t>2.5</w:t>
            </w:r>
          </w:p>
        </w:tc>
        <w:tc>
          <w:tcPr>
            <w:tcW w:w="306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704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</w:p>
        </w:tc>
        <w:tc>
          <w:tcPr>
            <w:tcW w:w="1704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磨损率</w:t>
            </w:r>
          </w:p>
        </w:tc>
        <w:tc>
          <w:tcPr>
            <w:tcW w:w="120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/>
                <w:bCs/>
                <w:color w:val="000000"/>
                <w:szCs w:val="21"/>
              </w:rPr>
              <w:t>%</w:t>
            </w:r>
          </w:p>
        </w:tc>
        <w:tc>
          <w:tcPr>
            <w:tcW w:w="108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＜</w:t>
            </w:r>
            <w:r>
              <w:rPr>
                <w:rFonts w:ascii="宋体" w:hAnsi="宋体" w:cs="宋体"/>
                <w:bCs/>
                <w:color w:val="000000"/>
                <w:szCs w:val="21"/>
              </w:rPr>
              <w:t>4</w:t>
            </w:r>
          </w:p>
        </w:tc>
        <w:tc>
          <w:tcPr>
            <w:tcW w:w="306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704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</w:p>
        </w:tc>
        <w:tc>
          <w:tcPr>
            <w:tcW w:w="1704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吸水率</w:t>
            </w:r>
          </w:p>
        </w:tc>
        <w:tc>
          <w:tcPr>
            <w:tcW w:w="120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/>
                <w:bCs/>
                <w:color w:val="000000"/>
                <w:szCs w:val="21"/>
              </w:rPr>
              <w:t>%</w:t>
            </w:r>
          </w:p>
        </w:tc>
        <w:tc>
          <w:tcPr>
            <w:tcW w:w="108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＜</w:t>
            </w:r>
            <w:r>
              <w:rPr>
                <w:rFonts w:ascii="宋体" w:hAnsi="宋体" w:cs="宋体"/>
                <w:bCs/>
                <w:color w:val="000000"/>
                <w:szCs w:val="21"/>
              </w:rPr>
              <w:t>1</w:t>
            </w:r>
          </w:p>
        </w:tc>
        <w:tc>
          <w:tcPr>
            <w:tcW w:w="306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704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</w:p>
        </w:tc>
        <w:tc>
          <w:tcPr>
            <w:tcW w:w="1704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孔隙率</w:t>
            </w:r>
          </w:p>
        </w:tc>
        <w:tc>
          <w:tcPr>
            <w:tcW w:w="120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/>
                <w:bCs/>
                <w:color w:val="000000"/>
                <w:szCs w:val="21"/>
              </w:rPr>
              <w:t>%</w:t>
            </w:r>
          </w:p>
        </w:tc>
        <w:tc>
          <w:tcPr>
            <w:tcW w:w="108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＜</w:t>
            </w:r>
            <w:r>
              <w:rPr>
                <w:rFonts w:ascii="宋体" w:hAnsi="宋体" w:cs="宋体"/>
                <w:bCs/>
                <w:color w:val="000000"/>
                <w:szCs w:val="21"/>
              </w:rPr>
              <w:t>3</w:t>
            </w:r>
          </w:p>
        </w:tc>
        <w:tc>
          <w:tcPr>
            <w:tcW w:w="306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704" w:type="dxa"/>
            <w:vMerge w:val="restart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外观质量</w:t>
            </w:r>
          </w:p>
        </w:tc>
        <w:tc>
          <w:tcPr>
            <w:tcW w:w="1704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缺棱</w:t>
            </w:r>
          </w:p>
        </w:tc>
        <w:tc>
          <w:tcPr>
            <w:tcW w:w="120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个</w:t>
            </w:r>
          </w:p>
        </w:tc>
        <w:tc>
          <w:tcPr>
            <w:tcW w:w="1080" w:type="dxa"/>
            <w:vMerge w:val="restart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/>
                <w:bCs/>
                <w:color w:val="000000"/>
                <w:szCs w:val="21"/>
              </w:rPr>
              <w:t>1</w:t>
            </w:r>
          </w:p>
        </w:tc>
        <w:tc>
          <w:tcPr>
            <w:tcW w:w="306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面积不超过</w:t>
            </w:r>
            <w:r>
              <w:rPr>
                <w:rFonts w:ascii="宋体" w:hAnsi="宋体" w:cs="宋体"/>
                <w:bCs/>
                <w:color w:val="000000"/>
                <w:szCs w:val="21"/>
              </w:rPr>
              <w:t>5mm*10mm</w:t>
            </w: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，每块板材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704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</w:p>
        </w:tc>
        <w:tc>
          <w:tcPr>
            <w:tcW w:w="1704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缺角</w:t>
            </w:r>
          </w:p>
        </w:tc>
        <w:tc>
          <w:tcPr>
            <w:tcW w:w="120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个</w:t>
            </w:r>
          </w:p>
        </w:tc>
        <w:tc>
          <w:tcPr>
            <w:tcW w:w="1080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</w:p>
        </w:tc>
        <w:tc>
          <w:tcPr>
            <w:tcW w:w="306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面积不超过</w:t>
            </w:r>
            <w:r>
              <w:rPr>
                <w:rFonts w:ascii="宋体" w:hAnsi="宋体" w:cs="宋体"/>
                <w:bCs/>
                <w:color w:val="000000"/>
                <w:szCs w:val="21"/>
              </w:rPr>
              <w:t>2mm*2mm</w:t>
            </w: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，每块板材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704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</w:p>
        </w:tc>
        <w:tc>
          <w:tcPr>
            <w:tcW w:w="1704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色斑</w:t>
            </w:r>
          </w:p>
        </w:tc>
        <w:tc>
          <w:tcPr>
            <w:tcW w:w="120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个</w:t>
            </w:r>
          </w:p>
        </w:tc>
        <w:tc>
          <w:tcPr>
            <w:tcW w:w="1080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</w:p>
        </w:tc>
        <w:tc>
          <w:tcPr>
            <w:tcW w:w="306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面积不超过</w:t>
            </w:r>
            <w:r>
              <w:rPr>
                <w:rFonts w:ascii="宋体" w:hAnsi="宋体" w:cs="宋体"/>
                <w:bCs/>
                <w:color w:val="000000"/>
                <w:szCs w:val="21"/>
              </w:rPr>
              <w:t>15mm*15mm</w:t>
            </w: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，每块板材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704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</w:p>
        </w:tc>
        <w:tc>
          <w:tcPr>
            <w:tcW w:w="1704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裂纹</w:t>
            </w:r>
          </w:p>
        </w:tc>
        <w:tc>
          <w:tcPr>
            <w:tcW w:w="120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条</w:t>
            </w:r>
          </w:p>
        </w:tc>
        <w:tc>
          <w:tcPr>
            <w:tcW w:w="108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/>
                <w:bCs/>
                <w:color w:val="000000"/>
                <w:szCs w:val="21"/>
              </w:rPr>
              <w:t>1</w:t>
            </w:r>
          </w:p>
        </w:tc>
        <w:tc>
          <w:tcPr>
            <w:tcW w:w="306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长度不超过两端顺延至板边总长度的</w:t>
            </w:r>
            <w:r>
              <w:rPr>
                <w:rFonts w:ascii="宋体" w:hAnsi="宋体" w:cs="宋体"/>
                <w:bCs/>
                <w:color w:val="000000"/>
                <w:szCs w:val="21"/>
              </w:rPr>
              <w:t>1/10</w:t>
            </w: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（长度＜</w:t>
            </w:r>
            <w:r>
              <w:rPr>
                <w:rFonts w:ascii="宋体" w:hAnsi="宋体" w:cs="宋体"/>
                <w:bCs/>
                <w:color w:val="000000"/>
                <w:szCs w:val="21"/>
              </w:rPr>
              <w:t>20cm</w:t>
            </w: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不计）每块板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704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</w:p>
        </w:tc>
        <w:tc>
          <w:tcPr>
            <w:tcW w:w="1704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坑窝</w:t>
            </w:r>
          </w:p>
        </w:tc>
        <w:tc>
          <w:tcPr>
            <w:tcW w:w="120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</w:p>
        </w:tc>
        <w:tc>
          <w:tcPr>
            <w:tcW w:w="108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不明显</w:t>
            </w:r>
          </w:p>
        </w:tc>
        <w:tc>
          <w:tcPr>
            <w:tcW w:w="306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粗面板材的正面出现坑窝</w:t>
            </w:r>
          </w:p>
        </w:tc>
      </w:tr>
    </w:tbl>
    <w:p>
      <w:pPr>
        <w:spacing w:line="360" w:lineRule="auto"/>
        <w:rPr>
          <w:rFonts w:asci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厂家应提供强度，耐磨性能试验报告及产品合格证。</w:t>
      </w:r>
    </w:p>
    <w:p>
      <w:pPr>
        <w:spacing w:line="360" w:lineRule="auto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二</w:t>
      </w:r>
      <w:r>
        <w:rPr>
          <w:rFonts w:hint="eastAsia" w:ascii="宋体" w:hAnsi="宋体" w:cs="宋体"/>
          <w:color w:val="000000"/>
          <w:szCs w:val="21"/>
        </w:rPr>
        <w:t>、工艺标准</w:t>
      </w:r>
    </w:p>
    <w:p>
      <w:pPr>
        <w:spacing w:line="360" w:lineRule="auto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 xml:space="preserve">   </w:t>
      </w:r>
      <w:r>
        <w:rPr>
          <w:rFonts w:hint="eastAsia" w:ascii="宋体" w:hAnsi="宋体" w:cs="宋体"/>
          <w:color w:val="000000"/>
          <w:szCs w:val="21"/>
        </w:rPr>
        <w:t>规格品种均符合设计要求，外观颜色一致，表面平整，形状尺寸、图案花纹正确，厚度一致并符合设计要求，边角整齐，无翘曲、裂纹等缺陷。</w:t>
      </w:r>
    </w:p>
    <w:p>
      <w:pPr>
        <w:spacing w:line="360" w:lineRule="auto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 xml:space="preserve">   </w:t>
      </w:r>
      <w:r>
        <w:rPr>
          <w:rFonts w:hint="eastAsia" w:ascii="宋体" w:hAnsi="宋体" w:cs="宋体"/>
          <w:color w:val="000000"/>
          <w:szCs w:val="21"/>
        </w:rPr>
        <w:t>质量标准</w:t>
      </w:r>
    </w:p>
    <w:p>
      <w:pPr>
        <w:spacing w:line="360" w:lineRule="auto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 xml:space="preserve">   1.</w:t>
      </w:r>
      <w:r>
        <w:rPr>
          <w:rFonts w:hint="eastAsia" w:ascii="宋体" w:hAnsi="宋体" w:cs="宋体"/>
          <w:color w:val="000000"/>
          <w:szCs w:val="21"/>
        </w:rPr>
        <w:t>主控项目</w:t>
      </w:r>
    </w:p>
    <w:p>
      <w:pPr>
        <w:spacing w:line="360" w:lineRule="auto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 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hint="eastAsia" w:ascii="宋体" w:hAnsi="宋体" w:cs="宋体"/>
          <w:color w:val="000000"/>
          <w:szCs w:val="21"/>
        </w:rPr>
        <w:t>）原料应符合</w:t>
      </w:r>
      <w:r>
        <w:rPr>
          <w:rFonts w:ascii="宋体" w:hAnsi="宋体" w:cs="宋体"/>
          <w:color w:val="000000"/>
          <w:szCs w:val="21"/>
        </w:rPr>
        <w:t>9.19.4.2</w:t>
      </w:r>
      <w:r>
        <w:rPr>
          <w:rFonts w:hint="eastAsia" w:ascii="宋体" w:hAnsi="宋体" w:cs="宋体"/>
          <w:color w:val="000000"/>
          <w:szCs w:val="21"/>
        </w:rPr>
        <w:t>的要求。</w:t>
      </w:r>
    </w:p>
    <w:p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 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）检验方法：同</w:t>
      </w:r>
      <w:r>
        <w:rPr>
          <w:rFonts w:ascii="宋体" w:hAnsi="宋体" w:cs="宋体"/>
          <w:color w:val="000000"/>
          <w:szCs w:val="21"/>
        </w:rPr>
        <w:t>GB50209—2002</w:t>
      </w:r>
    </w:p>
    <w:p>
      <w:pPr>
        <w:spacing w:line="360" w:lineRule="auto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 xml:space="preserve">   2.</w:t>
      </w:r>
      <w:r>
        <w:rPr>
          <w:rFonts w:hint="eastAsia" w:ascii="宋体" w:hAnsi="宋体" w:cs="宋体"/>
          <w:color w:val="000000"/>
          <w:szCs w:val="21"/>
        </w:rPr>
        <w:t>一般项目</w:t>
      </w:r>
    </w:p>
    <w:p>
      <w:pPr>
        <w:spacing w:line="360" w:lineRule="auto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 </w:t>
      </w:r>
      <w:r>
        <w:rPr>
          <w:rFonts w:ascii="宋体" w:hAnsi="宋体" w:cs="宋体"/>
          <w:color w:val="000000"/>
          <w:szCs w:val="21"/>
        </w:rPr>
        <w:t xml:space="preserve">  </w:t>
      </w:r>
      <w:r>
        <w:rPr>
          <w:rFonts w:hint="eastAsia" w:ascii="宋体" w:hAnsi="宋体" w:cs="宋体"/>
          <w:color w:val="000000"/>
          <w:szCs w:val="21"/>
        </w:rPr>
        <w:t>花岗岩面层表面应洁净、平整、无磨痕，且应图案清晰，色泽一致，接缝平整，周边顺直，镶嵌正确。板块无裂纹，缺楞、掉角等缺陷。</w:t>
      </w:r>
    </w:p>
    <w:p>
      <w:pPr>
        <w:spacing w:line="360" w:lineRule="auto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 </w:t>
      </w:r>
      <w:r>
        <w:rPr>
          <w:rFonts w:ascii="宋体" w:hAnsi="宋体" w:cs="宋体"/>
          <w:color w:val="000000"/>
          <w:szCs w:val="21"/>
        </w:rPr>
        <w:t xml:space="preserve">  </w:t>
      </w:r>
      <w:r>
        <w:rPr>
          <w:rFonts w:hint="eastAsia" w:ascii="宋体" w:hAnsi="宋体" w:cs="宋体"/>
          <w:color w:val="000000"/>
          <w:szCs w:val="21"/>
        </w:rPr>
        <w:t>大理石和花岗岩面层的允许偏差应符合</w:t>
      </w:r>
      <w:r>
        <w:rPr>
          <w:rFonts w:ascii="宋体" w:hAnsi="宋体" w:cs="宋体"/>
          <w:color w:val="000000"/>
          <w:szCs w:val="21"/>
        </w:rPr>
        <w:t>GB50209—2002</w:t>
      </w:r>
      <w:r>
        <w:rPr>
          <w:rFonts w:hint="eastAsia" w:ascii="宋体" w:hAnsi="宋体" w:cs="宋体"/>
          <w:color w:val="000000"/>
          <w:szCs w:val="21"/>
        </w:rPr>
        <w:t>中表</w:t>
      </w:r>
      <w:r>
        <w:rPr>
          <w:rFonts w:ascii="宋体" w:hAnsi="宋体" w:cs="宋体"/>
          <w:color w:val="000000"/>
          <w:szCs w:val="21"/>
        </w:rPr>
        <w:t>6.1.8</w:t>
      </w:r>
      <w:r>
        <w:rPr>
          <w:rFonts w:hint="eastAsia" w:ascii="宋体" w:hAnsi="宋体" w:cs="宋体"/>
          <w:color w:val="000000"/>
          <w:szCs w:val="21"/>
        </w:rPr>
        <w:t>的规定。</w:t>
      </w:r>
    </w:p>
    <w:p>
      <w:pPr>
        <w:spacing w:line="360" w:lineRule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检验方法：同</w:t>
      </w:r>
      <w:r>
        <w:rPr>
          <w:rFonts w:ascii="宋体" w:hAnsi="宋体" w:cs="宋体"/>
          <w:color w:val="000000"/>
          <w:szCs w:val="21"/>
        </w:rPr>
        <w:t>GB50209—2002</w:t>
      </w:r>
      <w:r>
        <w:rPr>
          <w:rFonts w:hint="eastAsia" w:ascii="宋体" w:hAnsi="宋体" w:cs="宋体"/>
          <w:color w:val="000000"/>
          <w:szCs w:val="21"/>
        </w:rPr>
        <w:t>的检验方法及其中表</w:t>
      </w:r>
      <w:r>
        <w:rPr>
          <w:rFonts w:ascii="宋体" w:hAnsi="宋体" w:cs="宋体"/>
          <w:color w:val="000000"/>
          <w:szCs w:val="21"/>
        </w:rPr>
        <w:t>6.1.8</w:t>
      </w:r>
      <w:r>
        <w:rPr>
          <w:rFonts w:hint="eastAsia" w:ascii="宋体" w:hAnsi="宋体" w:cs="宋体"/>
          <w:color w:val="000000"/>
          <w:szCs w:val="21"/>
        </w:rPr>
        <w:t>的规定相同。</w:t>
      </w:r>
    </w:p>
    <w:p>
      <w:pPr>
        <w:spacing w:line="360" w:lineRule="auto"/>
        <w:rPr>
          <w:rFonts w:hint="eastAsia" w:ascii="宋体" w:hAnsi="宋体" w:cs="宋体"/>
          <w:color w:val="000000"/>
          <w:szCs w:val="21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A001D7"/>
    <w:multiLevelType w:val="multilevel"/>
    <w:tmpl w:val="5AA001D7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057F26"/>
    <w:rsid w:val="3F040D65"/>
    <w:rsid w:val="5B5638CC"/>
    <w:rsid w:val="5DE2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kern w:val="0"/>
      <w:sz w:val="24"/>
    </w:rPr>
  </w:style>
  <w:style w:type="character" w:customStyle="1" w:styleId="5">
    <w:name w:val="font2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1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  <w:style w:type="character" w:customStyle="1" w:styleId="7">
    <w:name w:val="font01"/>
    <w:basedOn w:val="4"/>
    <w:uiPriority w:val="0"/>
    <w:rPr>
      <w:rFonts w:hint="default" w:ascii="等线" w:hAnsi="等线" w:eastAsia="等线" w:cs="等线"/>
      <w:color w:val="000000"/>
      <w:sz w:val="22"/>
      <w:szCs w:val="22"/>
      <w:u w:val="none"/>
    </w:rPr>
  </w:style>
  <w:style w:type="character" w:customStyle="1" w:styleId="8">
    <w:name w:val="font41"/>
    <w:basedOn w:val="4"/>
    <w:qFormat/>
    <w:uiPriority w:val="0"/>
    <w:rPr>
      <w:rFonts w:hint="default" w:ascii="等线" w:hAnsi="等线" w:eastAsia="等线" w:cs="等线"/>
      <w:color w:val="000000"/>
      <w:sz w:val="22"/>
      <w:szCs w:val="22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1667</Words>
  <Characters>1959</Characters>
  <Lines>0</Lines>
  <Paragraphs>0</Paragraphs>
  <TotalTime>3</TotalTime>
  <ScaleCrop>false</ScaleCrop>
  <LinksUpToDate>false</LinksUpToDate>
  <CharactersWithSpaces>2005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2021-03-22T08:32:00Z</dcterms:created>
  <dc:creator>xuefeng</dc:creator>
  <cp:lastModifiedBy>枫</cp:lastModifiedBy>
  <cp:lastPrinted>2022-04-13T08:02:51Z</cp:lastPrinted>
  <dcterms:modified xsi:type="dcterms:W3CDTF">2022-04-13T08:03:42Z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7C6DAC1776054DFFBD39C05570BFC79A</vt:lpwstr>
  </property>
</Properties>
</file>