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200" w:line="48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内蒙古科技大学包头师范学院</w:t>
      </w:r>
    </w:p>
    <w:p>
      <w:pPr>
        <w:spacing w:before="200" w:after="200" w:line="480" w:lineRule="auto"/>
        <w:jc w:val="center"/>
        <w:rPr>
          <w:rFonts w:hint="eastAsia" w:ascii="仿宋_GB2312" w:hAnsi="仿宋_GB2312" w:eastAsia="仿宋_GB2312" w:cs="仿宋_GB2312"/>
          <w:b/>
          <w:sz w:val="44"/>
          <w:szCs w:val="44"/>
        </w:rPr>
      </w:pPr>
    </w:p>
    <w:p>
      <w:pPr>
        <w:spacing w:before="200" w:after="200" w:line="480" w:lineRule="auto"/>
        <w:jc w:val="center"/>
        <w:rPr>
          <w:rFonts w:hint="eastAsia" w:ascii="仿宋_GB2312" w:hAnsi="仿宋_GB2312" w:eastAsia="仿宋_GB2312" w:cs="仿宋_GB2312"/>
          <w:b/>
          <w:sz w:val="44"/>
          <w:szCs w:val="44"/>
        </w:rPr>
      </w:pPr>
    </w:p>
    <w:p>
      <w:pPr>
        <w:spacing w:before="200" w:after="200" w:line="48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采 购 合 同</w:t>
      </w:r>
    </w:p>
    <w:p>
      <w:pPr>
        <w:jc w:val="center"/>
        <w:rPr>
          <w:rFonts w:hint="eastAsia" w:ascii="仿宋_GB2312" w:hAnsi="仿宋_GB2312" w:eastAsia="仿宋_GB2312" w:cs="仿宋_GB2312"/>
          <w:sz w:val="28"/>
          <w:szCs w:val="28"/>
        </w:rPr>
      </w:pPr>
    </w:p>
    <w:p>
      <w:pPr>
        <w:jc w:val="both"/>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实践教学综合管理平台</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合同编号：</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 购 方：</w:t>
      </w:r>
      <w:r>
        <w:rPr>
          <w:rFonts w:hint="eastAsia" w:ascii="仿宋_GB2312" w:hAnsi="仿宋_GB2312" w:eastAsia="仿宋_GB2312" w:cs="仿宋_GB2312"/>
          <w:sz w:val="28"/>
          <w:szCs w:val="28"/>
          <w:lang w:eastAsia="zh-CN"/>
        </w:rPr>
        <w:t>内蒙古科技大学包头师范学院</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销 售 方： </w:t>
      </w:r>
    </w:p>
    <w:p>
      <w:pPr>
        <w:ind w:firstLine="1680" w:firstLineChars="600"/>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签订地点：</w:t>
      </w:r>
      <w:r>
        <w:rPr>
          <w:rFonts w:hint="eastAsia" w:ascii="仿宋_GB2312" w:hAnsi="仿宋_GB2312" w:eastAsia="仿宋_GB2312" w:cs="仿宋_GB2312"/>
          <w:sz w:val="28"/>
          <w:szCs w:val="28"/>
          <w:lang w:eastAsia="zh-CN"/>
        </w:rPr>
        <w:t>内蒙古科技大学</w:t>
      </w:r>
      <w:r>
        <w:rPr>
          <w:rFonts w:hint="eastAsia" w:ascii="仿宋_GB2312" w:hAnsi="仿宋_GB2312" w:eastAsia="仿宋_GB2312" w:cs="仿宋_GB2312"/>
          <w:sz w:val="28"/>
          <w:szCs w:val="28"/>
        </w:rPr>
        <w:t>包头师范学院</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w:t>
      </w:r>
    </w:p>
    <w:p>
      <w:pPr>
        <w:jc w:val="left"/>
        <w:rPr>
          <w:rFonts w:hint="eastAsia" w:ascii="仿宋_GB2312" w:hAnsi="仿宋_GB2312" w:eastAsia="仿宋_GB2312" w:cs="仿宋_GB2312"/>
          <w:sz w:val="28"/>
          <w:szCs w:val="28"/>
        </w:rPr>
        <w:sectPr>
          <w:footerReference r:id="rId5" w:type="default"/>
          <w:pgSz w:w="11906" w:h="16838"/>
          <w:pgMar w:top="1440" w:right="1800" w:bottom="1440" w:left="1800" w:header="851" w:footer="992" w:gutter="0"/>
          <w:cols w:space="720" w:num="1"/>
          <w:docGrid w:type="lines" w:linePitch="312" w:charSpace="0"/>
        </w:sectPr>
      </w:pPr>
    </w:p>
    <w:p>
      <w:pPr>
        <w:spacing w:line="360" w:lineRule="auto"/>
        <w:ind w:firstLine="624"/>
        <w:rPr>
          <w:rFonts w:hint="eastAsia" w:ascii="仿宋" w:hAnsi="仿宋" w:eastAsia="仿宋" w:cs="宋体"/>
          <w:sz w:val="24"/>
        </w:rPr>
      </w:pP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甲方：（采购人）</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乙方：（供应商）</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根据《中华人民共和国政府采购法》、《中华人民共和国</w:t>
      </w:r>
      <w:r>
        <w:rPr>
          <w:rFonts w:hint="eastAsia" w:ascii="仿宋_GB2312" w:hAnsi="仿宋_GB2312" w:eastAsia="仿宋_GB2312" w:cs="仿宋_GB2312"/>
          <w:sz w:val="24"/>
          <w:lang w:val="en-US" w:eastAsia="zh-CN"/>
        </w:rPr>
        <w:t>民法典</w:t>
      </w:r>
      <w:r>
        <w:rPr>
          <w:rFonts w:hint="eastAsia" w:ascii="仿宋_GB2312" w:hAnsi="仿宋_GB2312" w:eastAsia="仿宋_GB2312" w:cs="仿宋_GB2312"/>
          <w:sz w:val="24"/>
        </w:rPr>
        <w:t>》要求，经双方协商，本着平等自愿和诚实信用的原则，一致同意签订如下政府采购合同：</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一、合同总价：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捌拾万元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整 ，小写：¥</w:t>
      </w:r>
      <w:r>
        <w:rPr>
          <w:rFonts w:hint="eastAsia" w:ascii="仿宋_GB2312" w:hAnsi="仿宋_GB2312" w:eastAsia="仿宋_GB2312" w:cs="仿宋_GB2312"/>
          <w:sz w:val="24"/>
          <w:u w:val="single"/>
        </w:rPr>
        <w:t xml:space="preserve">   800000   </w:t>
      </w:r>
      <w:r>
        <w:rPr>
          <w:rFonts w:hint="eastAsia" w:ascii="仿宋_GB2312" w:hAnsi="仿宋_GB2312" w:eastAsia="仿宋_GB2312" w:cs="仿宋_GB2312"/>
          <w:sz w:val="24"/>
        </w:rPr>
        <w:t>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货物品牌、型号、配置（技术参数）、数量、明细价格见下表。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宋体"/>
          <w:sz w:val="24"/>
        </w:rPr>
      </w:pPr>
      <w:r>
        <w:rPr>
          <w:rFonts w:hint="eastAsia" w:ascii="仿宋_GB2312" w:hAnsi="仿宋_GB2312" w:eastAsia="仿宋_GB2312" w:cs="仿宋_GB2312"/>
          <w:b/>
          <w:sz w:val="24"/>
          <w:szCs w:val="24"/>
          <w:lang w:eastAsia="zh-CN"/>
        </w:rPr>
        <w:t>一、</w:t>
      </w:r>
      <w:r>
        <w:rPr>
          <w:rFonts w:hint="eastAsia" w:ascii="仿宋_GB2312" w:hAnsi="仿宋_GB2312" w:eastAsia="仿宋_GB2312" w:cs="仿宋_GB2312"/>
          <w:b/>
          <w:sz w:val="24"/>
          <w:szCs w:val="24"/>
        </w:rPr>
        <w:t xml:space="preserve"> 采购货物、服务信息一览表</w:t>
      </w:r>
      <w:r>
        <w:rPr>
          <w:rFonts w:hint="eastAsia" w:ascii="仿宋_GB2312" w:hAnsi="仿宋_GB2312" w:eastAsia="仿宋_GB2312" w:cs="仿宋_GB2312"/>
          <w:sz w:val="24"/>
          <w:szCs w:val="24"/>
        </w:rPr>
        <w:t xml:space="preserve">                               单价：元</w:t>
      </w:r>
    </w:p>
    <w:tbl>
      <w:tblPr>
        <w:tblStyle w:val="6"/>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385"/>
        <w:gridCol w:w="1507"/>
        <w:gridCol w:w="1326"/>
        <w:gridCol w:w="883"/>
        <w:gridCol w:w="763"/>
        <w:gridCol w:w="808"/>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428"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810"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货物名称</w:t>
            </w:r>
          </w:p>
        </w:tc>
        <w:tc>
          <w:tcPr>
            <w:tcW w:w="883"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品牌及制造商</w:t>
            </w:r>
          </w:p>
        </w:tc>
        <w:tc>
          <w:tcPr>
            <w:tcW w:w="777"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型号</w:t>
            </w:r>
          </w:p>
        </w:tc>
        <w:tc>
          <w:tcPr>
            <w:tcW w:w="517"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447"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单价</w:t>
            </w:r>
          </w:p>
        </w:tc>
        <w:tc>
          <w:tcPr>
            <w:tcW w:w="473"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小计</w:t>
            </w:r>
          </w:p>
        </w:tc>
        <w:tc>
          <w:tcPr>
            <w:tcW w:w="661" w:type="pct"/>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428" w:type="pct"/>
            <w:noWrap w:val="0"/>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810" w:type="pct"/>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实践教学综合管理平台</w:t>
            </w:r>
          </w:p>
        </w:tc>
        <w:tc>
          <w:tcPr>
            <w:tcW w:w="883" w:type="pct"/>
            <w:noWrap w:val="0"/>
            <w:vAlign w:val="center"/>
          </w:tcPr>
          <w:p>
            <w:pPr>
              <w:widowControl w:val="0"/>
              <w:jc w:val="center"/>
              <w:rPr>
                <w:rFonts w:hint="eastAsia" w:ascii="仿宋_GB2312" w:hAnsi="仿宋_GB2312" w:eastAsia="仿宋_GB2312" w:cs="仿宋_GB2312"/>
                <w:kern w:val="0"/>
                <w:sz w:val="24"/>
              </w:rPr>
            </w:pPr>
          </w:p>
        </w:tc>
        <w:tc>
          <w:tcPr>
            <w:tcW w:w="777" w:type="pct"/>
            <w:noWrap w:val="0"/>
            <w:vAlign w:val="center"/>
          </w:tcPr>
          <w:p>
            <w:pPr>
              <w:widowControl w:val="0"/>
              <w:jc w:val="center"/>
              <w:rPr>
                <w:rFonts w:hint="eastAsia" w:ascii="仿宋_GB2312" w:hAnsi="仿宋_GB2312" w:eastAsia="仿宋_GB2312" w:cs="仿宋_GB2312"/>
                <w:kern w:val="0"/>
                <w:sz w:val="24"/>
              </w:rPr>
            </w:pPr>
          </w:p>
        </w:tc>
        <w:tc>
          <w:tcPr>
            <w:tcW w:w="517" w:type="pct"/>
            <w:noWrap w:val="0"/>
            <w:vAlign w:val="center"/>
          </w:tcPr>
          <w:p>
            <w:pPr>
              <w:widowControl w:val="0"/>
              <w:jc w:val="center"/>
              <w:rPr>
                <w:rFonts w:hint="eastAsia" w:ascii="仿宋_GB2312" w:hAnsi="仿宋_GB2312" w:eastAsia="仿宋_GB2312" w:cs="仿宋_GB2312"/>
                <w:sz w:val="24"/>
              </w:rPr>
            </w:pPr>
            <w:r>
              <w:rPr>
                <w:rFonts w:hint="eastAsia" w:ascii="仿宋_GB2312" w:hAnsi="仿宋_GB2312" w:eastAsia="仿宋_GB2312" w:cs="仿宋_GB2312"/>
                <w:sz w:val="24"/>
              </w:rPr>
              <w:t>1套</w:t>
            </w:r>
          </w:p>
        </w:tc>
        <w:tc>
          <w:tcPr>
            <w:tcW w:w="447" w:type="pct"/>
            <w:noWrap w:val="0"/>
            <w:vAlign w:val="center"/>
          </w:tcPr>
          <w:p>
            <w:pPr>
              <w:widowControl w:val="0"/>
              <w:jc w:val="center"/>
              <w:rPr>
                <w:rFonts w:hint="eastAsia" w:ascii="仿宋_GB2312" w:hAnsi="仿宋_GB2312" w:eastAsia="仿宋_GB2312" w:cs="仿宋_GB2312"/>
                <w:kern w:val="0"/>
                <w:sz w:val="24"/>
              </w:rPr>
            </w:pPr>
          </w:p>
        </w:tc>
        <w:tc>
          <w:tcPr>
            <w:tcW w:w="473" w:type="pct"/>
            <w:noWrap w:val="0"/>
            <w:vAlign w:val="center"/>
          </w:tcPr>
          <w:p>
            <w:pPr>
              <w:widowControl w:val="0"/>
              <w:jc w:val="center"/>
              <w:rPr>
                <w:rFonts w:hint="eastAsia" w:ascii="仿宋_GB2312" w:hAnsi="仿宋_GB2312" w:eastAsia="仿宋_GB2312" w:cs="仿宋_GB2312"/>
                <w:sz w:val="24"/>
              </w:rPr>
            </w:pPr>
          </w:p>
        </w:tc>
        <w:tc>
          <w:tcPr>
            <w:tcW w:w="661" w:type="pct"/>
            <w:noWrap w:val="0"/>
            <w:vAlign w:val="center"/>
          </w:tcPr>
          <w:p>
            <w:pPr>
              <w:widowControl w:val="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39" w:type="pct"/>
            <w:gridSpan w:val="2"/>
            <w:noWrap w:val="0"/>
            <w:vAlign w:val="center"/>
          </w:tcPr>
          <w:p>
            <w:pPr>
              <w:widowControl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合计</w:t>
            </w:r>
          </w:p>
        </w:tc>
        <w:tc>
          <w:tcPr>
            <w:tcW w:w="3760" w:type="pct"/>
            <w:gridSpan w:val="6"/>
            <w:noWrap w:val="0"/>
            <w:vAlign w:val="center"/>
          </w:tcPr>
          <w:p>
            <w:pPr>
              <w:widowControl w:val="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（小写）</w:t>
            </w:r>
            <w:r>
              <w:rPr>
                <w:rFonts w:hint="eastAsia" w:ascii="仿宋_GB2312" w:hAnsi="仿宋_GB2312" w:eastAsia="仿宋_GB2312" w:cs="仿宋_GB2312"/>
                <w:sz w:val="24"/>
                <w:lang w:val="en-US" w:eastAsia="zh-CN"/>
              </w:rPr>
              <w:t>800000</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货物名称</w:t>
      </w:r>
      <w:r>
        <w:rPr>
          <w:rFonts w:hint="eastAsia" w:ascii="仿宋_GB2312" w:hAnsi="仿宋_GB2312" w:eastAsia="仿宋_GB2312" w:cs="仿宋_GB2312"/>
          <w:b/>
          <w:sz w:val="24"/>
          <w:szCs w:val="24"/>
        </w:rPr>
        <w:t>、技术参数、性能指标和配置情况</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67"/>
        <w:gridCol w:w="5233"/>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 w:type="pct"/>
            <w:shd w:val="clear" w:color="auto" w:fill="auto"/>
            <w:noWrap/>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模块名称</w:t>
            </w:r>
          </w:p>
        </w:tc>
        <w:tc>
          <w:tcPr>
            <w:tcW w:w="3090"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具体参数</w:t>
            </w:r>
          </w:p>
        </w:tc>
        <w:tc>
          <w:tcPr>
            <w:tcW w:w="342" w:type="pct"/>
            <w:shd w:val="clear" w:color="auto" w:fill="auto"/>
            <w:noWrap/>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单位</w:t>
            </w:r>
          </w:p>
        </w:tc>
        <w:tc>
          <w:tcPr>
            <w:tcW w:w="342" w:type="pct"/>
            <w:shd w:val="clear" w:color="auto" w:fill="auto"/>
            <w:noWrap/>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restart"/>
            <w:shd w:val="clear" w:color="auto" w:fill="auto"/>
            <w:noWrap/>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系统架构</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基于B/S架构和小程序混合模式支持建设实习实训技能及资源综合管理平台，数据构架灵活稳定，系统采用模块化设计，前后端分离技术，搭建基于MVC的三层结构的实习实训系统。支持学生能够在外网环境下可正常完成实习实训操作内容。</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2、系统部署在学校本地服务器，可支持2000人以上在线学习并备用云服务为教学提供支撑。</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系统基于包头师范学院的教育/专业实习手册为依据进行系统化设计，整个实习分为见习、实习、研习等阶段，需在满足实习需求同时进行系统化的扩展，功能划分为实习资源管理平台、见习管理平台、实习管理平台、实习考核与成绩评定等功能模块。</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4、系统需要支持二级学院的数据隔离，每个学院维护自己的学生信息，只能看到自己学院的相关实习信息。但教务处可以看到所有二级学院的信息。</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5、项目开发主要采用主流开发运行平台，采用主流的技术开发网络服务，采用主流数据库作为数据库管理系统，以主流操作系统及IIS主流网络协议承载网络服务，</w:t>
            </w:r>
            <w:r>
              <w:rPr>
                <w:rFonts w:hint="eastAsia" w:ascii="仿宋_GB2312" w:hAnsi="仿宋_GB2312" w:eastAsia="仿宋_GB2312" w:cs="仿宋_GB2312"/>
              </w:rPr>
              <w:t>提供现场功能演示</w:t>
            </w:r>
            <w:r>
              <w:rPr>
                <w:rFonts w:hint="eastAsia" w:ascii="仿宋_GB2312" w:hAnsi="仿宋_GB2312" w:eastAsia="仿宋_GB2312" w:cs="仿宋_GB2312"/>
                <w:color w:val="000000"/>
                <w:kern w:val="0"/>
                <w:szCs w:val="21"/>
              </w:rPr>
              <w:t>。</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为保障实习学生在校外因网络问题或者服务器问题影响到材料的递交，投标人需要云服务器做为应急保障，</w:t>
            </w:r>
            <w:r>
              <w:rPr>
                <w:rFonts w:hint="eastAsia" w:ascii="仿宋_GB2312" w:hAnsi="仿宋_GB2312" w:eastAsia="仿宋_GB2312" w:cs="仿宋_GB2312"/>
                <w:szCs w:val="21"/>
              </w:rPr>
              <w:t>投标人展示可提供校外云服务器的能力（如提供网址截图等）。</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用户交互</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交互界面系统风格自定义</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1.菜单风格和顶部风格可分别自定义，可以选择整个系统的主体配色，且不少于5种配色。</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2.业务菜单可以横向或竖向两种展示方式自由切换，满足老师个性化需求，可以收起或展开菜单。</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3.业务展示区域的菜单可以设置以标签形式显示或单独显示功能菜单。</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4.系统支持浏览器全屏或退出全屏操作，可以全屏最大化展示功能。</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5.业务功能展示列表可以根据需要展示或不展示特定列内容， </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基础信息平台</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系统需要支持管理员、教学秘书、学院院长、系主任、教务管理员、校内指导老师、实习单位指导老师、学生等多种角色，并且角色支持停用/启用，角色对应的权限可灵活配置。支持根据需要动态增加新的角色和角色对应的功能，</w:t>
            </w:r>
            <w:r>
              <w:rPr>
                <w:rFonts w:hint="eastAsia" w:ascii="仿宋_GB2312" w:hAnsi="仿宋_GB2312" w:eastAsia="仿宋_GB2312" w:cs="仿宋_GB2312"/>
              </w:rPr>
              <w:t>提供现场功能演示</w:t>
            </w:r>
            <w:r>
              <w:rPr>
                <w:rFonts w:hint="eastAsia" w:ascii="仿宋_GB2312" w:hAnsi="仿宋_GB2312" w:eastAsia="仿宋_GB2312" w:cs="仿宋_GB2312"/>
                <w:color w:val="000000"/>
                <w:kern w:val="0"/>
                <w:szCs w:val="21"/>
              </w:rPr>
              <w:t>。</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2、支持记录用户操作日志，包括日志类型、操作者账号、ip地址、ip所在城市、平台类型、日期等内容，登录日志和操作日志需要分别展示，满足系统日志审核需求。</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支持多学期教学，支持激活和冻结学期功能。可激活某学期为当前教学学期，所有教学数据切换到对应学期。支持指定学期下学生名单功能，支持excel批量导入和单个添加功能。支持老师信息导入一次后所有学期自动添加。</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4、系统提供个性化配置功能，包括见习报告最少提交次数、提前学习见习视频时间限制、提前学习实习视频时间限制、课堂教学评分标准、班主任工作评分标准、教育调研评分标准、实习评优占比等，根据教学要求灵活调整。</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系统支持发布通知公告功能，通知公告发布内容支持富文本格式，支持插入图片，视频，文件等多种类型的格式。支持通知上传多个附件，每个附件支持单独上传、下载、删除等功能。通知公告支持按照发布时间和标题搜索功能。</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6、支持实习单位及实习单位联系人信息管理功能，支持excel批量导入和导出、编辑等操作。</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7、支持实习单位老师管理功能，包括但不限于工号、姓名、性别、所属单位、状态等，支持excel批量导入、导出、锁定/解锁功能，支持重置密码功能，遗忘密码时可重置密码。</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8、系统需要提供基本信息管理功能，包括院系专业、教师管理、学生管理、实习小组等。</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9、院系专业支持树状形式展示，不限制添加的下级层数，支持excel导入导出和展开、折叠等功能。</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10、老师管理功能，包括但不限于老师职工号、姓名、所属院系、性别、联系方式等信息，支持excel导入导出和重置密码等功能。</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11、学生管理功能，包括但不限于学号、姓名、类别、学位、所属院系、性别、级、联系方式、家庭住址等信息，支持excel导入导出和重置密码等功能。</w:t>
            </w:r>
          </w:p>
          <w:p>
            <w:pPr>
              <w:widowControl/>
              <w:jc w:val="left"/>
              <w:rPr>
                <w:rFonts w:hint="eastAsia"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45个日历日内提供著作人为使用学校的软件著作权证书；售后维护期间每学年提供多次培训，单次培训不少于300人次，不少于2个小时。（投标时应提供运维保障函、服务方案、软著申请书等相关证明材料）</w:t>
            </w:r>
          </w:p>
          <w:p>
            <w:pPr>
              <w:widowControl/>
              <w:jc w:val="left"/>
              <w:rPr>
                <w:rFonts w:hint="eastAsia" w:ascii="仿宋_GB2312" w:hAnsi="仿宋_GB2312" w:eastAsia="仿宋_GB2312" w:cs="仿宋_GB2312"/>
              </w:rPr>
            </w:pPr>
            <w:r>
              <w:rPr>
                <w:rFonts w:hint="eastAsia" w:ascii="仿宋_GB2312" w:hAnsi="仿宋_GB2312" w:eastAsia="仿宋_GB2312" w:cs="仿宋_GB2312"/>
              </w:rPr>
              <w:t>为本项目独立申报并保障取得国家信息安全等级保护（二级）证书，证书有效期不少于一年；</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考核与成绩评定</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★1、实习实训成绩由课堂教学成绩、班主任工作成绩、教育调研成绩等构成，校内指导老师输入教育调研的成绩，实习单位指导老师输入课堂教学教学和班主任工作成绩， </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2、各成绩构成支持权重设置，系统自动根据权重计算出学生的实习成绩。</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3、老师录入成绩时，可以随时查看相应的评分标准，评分标准包括班主任工作评分标准，课堂教学评分标准，教育调研评分标准等，方便老师客观的录入学生成绩。</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 xml:space="preserve">4、支持学生查询自己的实习成绩，可以看到实习成绩总评和各成绩的构成得分情况。如果各项成绩没有录入时，需要给予明确提示， </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5、支持实习成绩按照教务系统的要求导出，方便后续直接把实习成绩导入教务系统，减少老师的工作量。</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统计分析</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系统支持各种维度的教学统计功能，包括但不限于实习情况统计（见习人数（本科）、见习人数（专科）、见习人数合计、实习人数（本科）、实习人数（专科）、实习人数合计）、打卡进度（院系、学号、姓名、见习视频学习进度、实习视频学习进度、见习打卡次数等）、见习实习视频学习情况、成绩统计（各成绩构成详细、总分，支持导出excel和统计图表显示）、优秀指导老师、优秀实习生、实习材料情况（院系、学生信息、类别、学位、资料类型、资料）等， </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实习大纲</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1、支持实习大纲在线提交，流程为：系主任发起并提交，经由学院院长和教务处在线审批。审核完成后需要支持实习调整大纲功能，由学院院长直接修改后发起重新提交流程，教务处重新审批。</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2、实习大纲支持编辑、审核功能，主要包括实习大纲类别、专业、创建时间及审核状态。</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3、实习大纲在线审批，支持查看完整流程审批情况，包括什么时间，由谁进行审核，审核通过与否等信息。</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 xml:space="preserve">4、支持制订见习、实习计划，包括计划时间、计划名称、对应实习大纲、实习单位，实习单位指导老师、实习小组等。实习计划，需要包括实习单位，单位指导老师等信息；学院和教务处领导可以实时查看制定好的计划和计划内的实习人员信息， </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实习管理</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1、实习模块支持实习大纲制定、实习计划安排、安全教育视频学习、教案、教育调研、老师录入实习成绩等环节。</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2、系统支持实习小组管理功能，实习小组可以指定实习指导老师、实习组长等，实习小组支持动态添加学生功能。</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 xml:space="preserve">3、支持支持根据实习计划安排，自动生成学生的实习计划功能， </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4、支持学生实习之前进行相应的安全教育学习，且能够控制提前的时间。系统自动记录观看视频的累计时长和进度情况。</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5、支持学生在实习期间提交教案功能，教案须学生手动编写后通过移动端拍照上传，教案必须由校内指导老师、校外指导老师分别进行审核，如果任何一方审核不通过，需要学生重新提交上传。</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6、支持学生查看教案审核情况，包括校内指导老师及指导老师审核时间、审核通过情况，实习单位指导老师及实习单位指导老师审核时间、审核通过情况等。</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7、支持学生在线录入班主任工作小结，校外指导老师在线查看，作为班主任工作成绩评价参考。</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8、实习单位指导老师根据实习阶段的签到情况、实习资料提交情况、班主任工作总结等情况，结合评分标准，录入课堂教学成绩和班主任工作成绩。支持根据实习小组、录入状态、学号、姓名等进行筛选。</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9、系统需要支持学生上传教育调研文件，不限制教学调研模版。老师可以在线查看学生提交的教育调研资料，并结合教育调研评分标准给学生打分。</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支持实习在线评优功能，流程：系主任实习结束后根据师范类和非师范类不同类型分别发起评优申请，包括优秀指导老师和优秀实习生，评优申请由学院院长进行审批。优秀指导老师和优秀实习生的比例支持系统配置。申请支持在线查看、审批等。</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11、支持实习结束后批量打包下载学生的实习环节的所有提交的资料，便于存档。</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12、系统提供资料管理功能，支持学院自主上传各种表格资料，供实习各阶段中发布实习任务，学生自主下载后提交到系统内，供老师评阅，。</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提供不少于一年期的免费维护、数据检查、数据维护、漏洞排查和安全信息检查提供不少于三年期的资源收集整合及录入审核等工作。每学年提供多次培训，单次培训不少于300人次，不少于2个小时</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见习管理</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1、见习模块支持见习大纲制定、见习计划安排、安全教育视频学习、学生见习签到、老师统计见习进度、老师录入见习成绩、教学秘书录入技能考核等环节。</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2、系统支持根据见习计划安排，自动生成学生的见习计划，学生可以查看见习大纲和见习计划。</w:t>
            </w:r>
          </w:p>
          <w:p>
            <w:pPr>
              <w:widowControl/>
              <w:jc w:val="left"/>
              <w:rPr>
                <w:rFonts w:hint="eastAsia" w:ascii="仿宋_GB2312" w:hAnsi="仿宋_GB2312" w:eastAsia="仿宋_GB2312" w:cs="仿宋_GB2312"/>
              </w:rPr>
            </w:pPr>
            <w:r>
              <w:rPr>
                <w:rFonts w:hint="eastAsia" w:ascii="仿宋_GB2312" w:hAnsi="仿宋_GB2312" w:eastAsia="仿宋_GB2312" w:cs="仿宋_GB2312"/>
                <w:color w:val="000000"/>
                <w:kern w:val="0"/>
                <w:szCs w:val="21"/>
              </w:rPr>
              <w:t>3、支持学生打卡功能、自动统计学生的打卡情况，结合打卡情况自动记录听课记录；支持老师查看学生的听课记录和听课记录次数并可以汇总统计，</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4、支持系统记录学生的最少打卡次数，但不限制总的打卡次数。系统需要统计出总提交次数/最少提交次数，并提供打卡记录表供学生查询，打卡记录包括见习安排计划名称、见习时间、打卡时间等。</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5、支持学生见习打卡之前学习相关教育资料，且提前学习时间是可控制的。系统自动记录观看视频的累计时长和进度情况。</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支持实习生在线学习资源，让实习生在正式实习之前，掌握相关的实习技能和专业技能，达到学习的基本要求。学生学习相关教育资料后，系统自动生成该学生的学习记录。老师可以随时查看负责的学生的学习进度。</w:t>
            </w:r>
          </w:p>
          <w:p>
            <w:pPr>
              <w:widowControl/>
              <w:jc w:val="lef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7、系统支持见习打卡完成后，学生在线提交见习报告，供校内指导老师在线查看；老师可以统计汇总见习报告，也可以单独查看某份见习报告材料；见习报告的提交情况可以做为见习成绩录入的参考依据</w:t>
            </w:r>
            <w:r>
              <w:rPr>
                <w:rFonts w:hint="eastAsia" w:ascii="仿宋_GB2312" w:hAnsi="仿宋_GB2312" w:eastAsia="仿宋_GB2312" w:cs="仿宋_GB2312"/>
              </w:rPr>
              <w:t>。</w:t>
            </w:r>
          </w:p>
          <w:p>
            <w:pPr>
              <w:widowControl/>
              <w:jc w:val="lef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color w:val="000000"/>
                <w:kern w:val="0"/>
                <w:szCs w:val="21"/>
              </w:rPr>
              <w:t>8、系统支持技能考核，支持教务秘书在系统内批量录入见习学生的技能考核结果。见习成绩合格并且技能考核成绩也合格，学生才能进入实习阶段的实习，</w:t>
            </w:r>
          </w:p>
          <w:p>
            <w:pPr>
              <w:widowControl/>
              <w:jc w:val="left"/>
              <w:rPr>
                <w:rFonts w:hint="eastAsia" w:ascii="仿宋_GB2312" w:hAnsi="仿宋_GB2312" w:eastAsia="仿宋_GB2312" w:cs="仿宋_GB2312"/>
                <w:szCs w:val="21"/>
              </w:rPr>
            </w:pPr>
            <w:r>
              <w:rPr>
                <w:rFonts w:hint="eastAsia" w:ascii="仿宋_GB2312" w:hAnsi="仿宋_GB2312" w:eastAsia="仿宋_GB2312" w:cs="仿宋_GB2312"/>
                <w:szCs w:val="21"/>
              </w:rPr>
              <w:t>提供不少于一年期的免费维护、数据检查、数据维护、漏洞排查和安全信息检查提供不少于三年期的资源收集整合及录入审核等工作。每学年提供多次培训，单次培训不少于300人次，不少于2个小时</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pct"/>
            <w:vMerge w:val="continue"/>
            <w:vAlign w:val="center"/>
          </w:tcPr>
          <w:p>
            <w:pPr>
              <w:widowControl/>
              <w:jc w:val="left"/>
              <w:rPr>
                <w:rFonts w:hint="eastAsia" w:ascii="仿宋_GB2312" w:hAnsi="仿宋_GB2312" w:eastAsia="仿宋_GB2312" w:cs="仿宋_GB2312"/>
                <w:color w:val="000000"/>
                <w:kern w:val="0"/>
                <w:szCs w:val="21"/>
              </w:rPr>
            </w:pPr>
          </w:p>
        </w:tc>
        <w:tc>
          <w:tcPr>
            <w:tcW w:w="764"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研习管理</w:t>
            </w:r>
          </w:p>
        </w:tc>
        <w:tc>
          <w:tcPr>
            <w:tcW w:w="3090" w:type="pct"/>
            <w:shd w:val="clear" w:color="auto" w:fill="auto"/>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1、实习生可提交研习报告，包括题目、正文、结论、附录、自我总结等，支持上传多附件。由校内指导老师进行评议和评分。</w:t>
            </w: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rPr>
              <w:t>▲</w:t>
            </w:r>
            <w:r>
              <w:rPr>
                <w:rFonts w:hint="eastAsia" w:ascii="仿宋_GB2312" w:hAnsi="仿宋_GB2312" w:eastAsia="仿宋_GB2312" w:cs="仿宋_GB2312"/>
                <w:szCs w:val="21"/>
              </w:rPr>
              <w:t>提供不少于一年期的免费维护、数据检查、数据维护、漏洞排查和安全信息检查提供不少于三年期的资源收集整合及录入审核等工作。针对研习的业务流程升级，每学年提供多次培训，单次培训不少于300人次，不少于2个小时</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套</w:t>
            </w:r>
          </w:p>
        </w:tc>
        <w:tc>
          <w:tcPr>
            <w:tcW w:w="342" w:type="pct"/>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★为核心参数必须满足 ▲为重点参数以下为演示要求内容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以上货款以人民币进行结算，该价格中包括所供货物的设计、制造、供货、运输、安装、调试、验收、保修、售后服务等费用，在合同执行期间，此价格不受任何因素影响。</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二、货物质量要求及乙方对质量负责条件和期限</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1、乙方提供的货物必须是全新（包括零部件）的，并且符合国家质量性能检测标准及该产品的出厂标准。</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2、货物的技术参数按竞争性磋商文件双方约定的技术参数供货，乙方负责安装到甲方指定地点。</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3、针对本合同中货物，提供质保服务</w:t>
      </w:r>
      <w:r>
        <w:rPr>
          <w:rFonts w:hint="eastAsia" w:ascii="仿宋_GB2312" w:hAnsi="仿宋_GB2312" w:eastAsia="仿宋_GB2312" w:cs="仿宋_GB2312"/>
          <w:sz w:val="24"/>
          <w:lang w:eastAsia="zh-CN"/>
        </w:rPr>
        <w:t>三年和</w:t>
      </w:r>
      <w:r>
        <w:rPr>
          <w:rFonts w:hint="eastAsia" w:ascii="仿宋_GB2312" w:hAnsi="仿宋_GB2312" w:eastAsia="仿宋_GB2312" w:cs="仿宋_GB2312"/>
          <w:sz w:val="24"/>
        </w:rPr>
        <w:t>不少于一年期的免费维护，服务期限自验收合格之日算起。</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三、交货时间、地点、方式</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2023年8月20日前</w:t>
      </w:r>
      <w:r>
        <w:rPr>
          <w:rFonts w:hint="eastAsia" w:ascii="仿宋_GB2312" w:hAnsi="仿宋_GB2312" w:eastAsia="仿宋_GB2312" w:cs="仿宋_GB2312"/>
          <w:sz w:val="24"/>
        </w:rPr>
        <w:t>供货完毕</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乙方负责将合同规定的货物运到甲方指定的地点并安装完毕，由甲方验收，验收合格后签署货物验收单并作为付款的凭证。</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交货地点：甲方指定地点</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四、乙方随货物向甲方交付货物的备件及相关的说明书等资料。</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lang w:val="en-US"/>
        </w:rPr>
      </w:pPr>
      <w:r>
        <w:rPr>
          <w:rFonts w:hint="eastAsia" w:ascii="仿宋_GB2312" w:hAnsi="仿宋_GB2312" w:eastAsia="仿宋_GB2312" w:cs="仿宋_GB2312"/>
          <w:sz w:val="24"/>
        </w:rPr>
        <w:t>五、付款方式：</w:t>
      </w:r>
      <w:r>
        <w:rPr>
          <w:rFonts w:hint="eastAsia" w:ascii="仿宋_GB2312" w:hAnsi="仿宋_GB2312" w:eastAsia="仿宋_GB2312" w:cs="仿宋_GB2312"/>
          <w:sz w:val="24"/>
          <w:lang w:eastAsia="zh-CN"/>
        </w:rPr>
        <w:t>合同签订后支付合同价款的</w:t>
      </w:r>
      <w:r>
        <w:rPr>
          <w:rFonts w:hint="eastAsia" w:ascii="仿宋_GB2312" w:hAnsi="仿宋_GB2312" w:eastAsia="仿宋_GB2312" w:cs="仿宋_GB2312"/>
          <w:sz w:val="24"/>
          <w:lang w:val="en-US" w:eastAsia="zh-CN"/>
        </w:rPr>
        <w:t>30%；系统安装调试完成、验收合格后，支付合同价款的70% 。履约保证金缴纳金额为合同价款的10%，缴纳时间为收到成交通知书后5日内，缴纳形式为现金或保函，退还时间为系统自验收合格正常运行1年后无息退还。</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六、违约责任</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1、甲方无正当理由拒收货物，经确认向乙方偿付货款总额 </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的违约金。</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2、乙方所交的货物品种、规格、质量不符合合同规定标准的，甲方有权拒收，因拒收而造成的损失由乙方负责。</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3、乙方不能交付合同规定的货物时，甲方有权拒收，乙方向甲方偿付货物总额</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的违约金。</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4、乙方逾期交付货物时，每逾期1日乙方向甲方偿付货款总额</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的违约金，逾期交货超过</w:t>
      </w:r>
      <w:r>
        <w:rPr>
          <w:rFonts w:hint="eastAsia" w:ascii="仿宋_GB2312" w:hAnsi="仿宋_GB2312" w:eastAsia="仿宋_GB2312" w:cs="仿宋_GB2312"/>
          <w:sz w:val="24"/>
          <w:u w:val="none"/>
          <w:lang w:val="en-US" w:eastAsia="zh-CN"/>
        </w:rPr>
        <w:t>7</w:t>
      </w:r>
      <w:r>
        <w:rPr>
          <w:rFonts w:hint="eastAsia" w:ascii="仿宋_GB2312" w:hAnsi="仿宋_GB2312" w:eastAsia="仿宋_GB2312" w:cs="仿宋_GB2312"/>
          <w:sz w:val="24"/>
        </w:rPr>
        <w:t>天后，甲方有权决定是否继续履行合同。</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七、在执行合同期限内，任何一方因不可抗力事件造成不能按期履行合同时，应立即通知对方，并寄送有关权威机构出具的证明，则合同履行期延长，其延长期与不可抗力影响期相同。不可抗力事件延续10天及以上，双方应通过友好协商，决定是否继续履行合同事宜。</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八、甲乙双方应严格遵守竞争性磋商文件、响应文件及本合同约定的权利、义务。</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九、采购过程中，竞争性磋商文件、响应文件及澄清文件等都是合同的组成部分，甲乙双方必须全面遵守，如有违反，应承担违约责任。</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十、因货物的质量问题发生争议时，以包头市质量技术监督局或双方指定的技术单位质量鉴定结果为准。</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十一、本合同执行过程中如发生争议，应本着友好的原则协商解决。协商不成，提交包头市青山区人民法院诉讼解决。</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十二、未尽事宜，甲乙双方协商解决，协商内容或结果与本合同具有同样的法律效力。</w:t>
      </w:r>
    </w:p>
    <w:p>
      <w:pPr>
        <w:keepNext w:val="0"/>
        <w:keepLines w:val="0"/>
        <w:pageBreakBefore w:val="0"/>
        <w:widowControl w:val="0"/>
        <w:kinsoku/>
        <w:wordWrap/>
        <w:overflowPunct/>
        <w:topLinePunct w:val="0"/>
        <w:autoSpaceDE/>
        <w:autoSpaceDN/>
        <w:bidi w:val="0"/>
        <w:adjustRightInd/>
        <w:snapToGrid/>
        <w:spacing w:line="520" w:lineRule="exact"/>
        <w:ind w:firstLine="62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十三、本合同一经双方法人代表或委托代理人签字并加盖公章即为生效，合同一式叁份。甲乙双方、包头市政府采购办各执一份，其效力相同。</w:t>
      </w:r>
    </w:p>
    <w:tbl>
      <w:tblPr>
        <w:tblStyle w:val="6"/>
        <w:tblpPr w:leftFromText="180" w:rightFromText="180" w:vertAnchor="text" w:horzAnchor="page" w:tblpX="2356" w:tblpY="25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116"/>
        <w:gridCol w:w="1604"/>
        <w:gridCol w:w="2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8"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tc>
        <w:tc>
          <w:tcPr>
            <w:tcW w:w="1241" w:type="pct"/>
            <w:noWrap w:val="0"/>
            <w:vAlign w:val="center"/>
          </w:tcPr>
          <w:p>
            <w:pPr>
              <w:widowControl w:val="0"/>
              <w:spacing w:line="600" w:lineRule="auto"/>
              <w:jc w:val="left"/>
              <w:rPr>
                <w:rFonts w:hint="eastAsia" w:ascii="仿宋_GB2312" w:hAnsi="仿宋_GB2312" w:eastAsia="仿宋_GB2312" w:cs="仿宋_GB2312"/>
                <w:sz w:val="24"/>
                <w:szCs w:val="24"/>
              </w:rPr>
            </w:pPr>
          </w:p>
        </w:tc>
        <w:tc>
          <w:tcPr>
            <w:tcW w:w="941"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tc>
        <w:tc>
          <w:tcPr>
            <w:tcW w:w="1558" w:type="pct"/>
            <w:noWrap w:val="0"/>
            <w:vAlign w:val="center"/>
          </w:tcPr>
          <w:p>
            <w:pPr>
              <w:widowControl w:val="0"/>
              <w:spacing w:line="600" w:lineRule="auto"/>
              <w:jc w:val="left"/>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8"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p>
        </w:tc>
        <w:tc>
          <w:tcPr>
            <w:tcW w:w="1241" w:type="pct"/>
            <w:noWrap w:val="0"/>
            <w:vAlign w:val="center"/>
          </w:tcPr>
          <w:p>
            <w:pPr>
              <w:widowControl w:val="0"/>
              <w:spacing w:line="600" w:lineRule="auto"/>
              <w:jc w:val="left"/>
              <w:rPr>
                <w:rFonts w:hint="eastAsia" w:ascii="仿宋_GB2312" w:hAnsi="仿宋_GB2312" w:eastAsia="仿宋_GB2312" w:cs="仿宋_GB2312"/>
                <w:sz w:val="24"/>
                <w:szCs w:val="24"/>
              </w:rPr>
            </w:pPr>
          </w:p>
        </w:tc>
        <w:tc>
          <w:tcPr>
            <w:tcW w:w="941"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p>
        </w:tc>
        <w:tc>
          <w:tcPr>
            <w:tcW w:w="1558" w:type="pct"/>
            <w:noWrap w:val="0"/>
            <w:vAlign w:val="center"/>
          </w:tcPr>
          <w:p>
            <w:pPr>
              <w:widowControl w:val="0"/>
              <w:spacing w:line="600" w:lineRule="auto"/>
              <w:jc w:val="left"/>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8"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241" w:type="pct"/>
            <w:noWrap w:val="0"/>
            <w:vAlign w:val="center"/>
          </w:tcPr>
          <w:p>
            <w:pPr>
              <w:widowControl w:val="0"/>
              <w:spacing w:line="600" w:lineRule="auto"/>
              <w:jc w:val="left"/>
              <w:rPr>
                <w:rFonts w:hint="eastAsia" w:ascii="仿宋_GB2312" w:hAnsi="仿宋_GB2312" w:eastAsia="仿宋_GB2312" w:cs="仿宋_GB2312"/>
                <w:sz w:val="24"/>
                <w:szCs w:val="24"/>
              </w:rPr>
            </w:pPr>
          </w:p>
        </w:tc>
        <w:tc>
          <w:tcPr>
            <w:tcW w:w="941"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558" w:type="pct"/>
            <w:noWrap w:val="0"/>
            <w:vAlign w:val="center"/>
          </w:tcPr>
          <w:p>
            <w:pPr>
              <w:widowControl w:val="0"/>
              <w:spacing w:line="600" w:lineRule="auto"/>
              <w:jc w:val="left"/>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8"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w:t>
            </w:r>
          </w:p>
        </w:tc>
        <w:tc>
          <w:tcPr>
            <w:tcW w:w="1241" w:type="pct"/>
            <w:noWrap w:val="0"/>
            <w:vAlign w:val="center"/>
          </w:tcPr>
          <w:p>
            <w:pPr>
              <w:widowControl w:val="0"/>
              <w:spacing w:line="600" w:lineRule="auto"/>
              <w:jc w:val="left"/>
              <w:rPr>
                <w:rFonts w:hint="eastAsia" w:ascii="仿宋_GB2312" w:hAnsi="仿宋_GB2312" w:eastAsia="仿宋_GB2312" w:cs="仿宋_GB2312"/>
                <w:sz w:val="24"/>
                <w:szCs w:val="24"/>
              </w:rPr>
            </w:pPr>
          </w:p>
        </w:tc>
        <w:tc>
          <w:tcPr>
            <w:tcW w:w="941"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w:t>
            </w:r>
          </w:p>
        </w:tc>
        <w:tc>
          <w:tcPr>
            <w:tcW w:w="1558" w:type="pct"/>
            <w:noWrap w:val="0"/>
            <w:vAlign w:val="center"/>
          </w:tcPr>
          <w:p>
            <w:pPr>
              <w:widowControl w:val="0"/>
              <w:spacing w:line="600" w:lineRule="auto"/>
              <w:jc w:val="left"/>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8"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签订日期：</w:t>
            </w:r>
          </w:p>
        </w:tc>
        <w:tc>
          <w:tcPr>
            <w:tcW w:w="1241" w:type="pct"/>
            <w:noWrap w:val="0"/>
            <w:vAlign w:val="center"/>
          </w:tcPr>
          <w:p>
            <w:pPr>
              <w:widowControl w:val="0"/>
              <w:spacing w:line="60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年   月   日</w:t>
            </w:r>
          </w:p>
        </w:tc>
        <w:tc>
          <w:tcPr>
            <w:tcW w:w="941" w:type="pct"/>
            <w:noWrap w:val="0"/>
            <w:vAlign w:val="center"/>
          </w:tcPr>
          <w:p>
            <w:pPr>
              <w:widowControl w:val="0"/>
              <w:spacing w:line="60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签订日期：</w:t>
            </w:r>
          </w:p>
        </w:tc>
        <w:tc>
          <w:tcPr>
            <w:tcW w:w="1558" w:type="pct"/>
            <w:noWrap w:val="0"/>
            <w:vAlign w:val="center"/>
          </w:tcPr>
          <w:p>
            <w:pPr>
              <w:widowControl w:val="0"/>
              <w:spacing w:line="60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1260" w:hanging="420"/>
      <w:jc w:val="center"/>
      <w:rPr>
        <w:rFonts w:ascii="仿宋_GB2312"/>
        <w:sz w:val="30"/>
        <w:szCs w:val="30"/>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210820</wp:posOffset>
              </wp:positionV>
              <wp:extent cx="5995670" cy="1270"/>
              <wp:effectExtent l="0" t="28575" r="5080" b="46355"/>
              <wp:wrapNone/>
              <wp:docPr id="7" name="直接连接符 7"/>
              <wp:cNvGraphicFramePr/>
              <a:graphic xmlns:a="http://schemas.openxmlformats.org/drawingml/2006/main">
                <a:graphicData uri="http://schemas.microsoft.com/office/word/2010/wordprocessingShape">
                  <wps:wsp>
                    <wps:cNvCnPr/>
                    <wps:spPr>
                      <a:xfrm flipV="1">
                        <a:off x="0" y="0"/>
                        <a:ext cx="5995670" cy="1270"/>
                      </a:xfrm>
                      <a:prstGeom prst="line">
                        <a:avLst/>
                      </a:prstGeom>
                      <a:ln w="57150" cap="flat" cmpd="thinThick">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16.6pt;height:0.1pt;width:472.1pt;z-index:251659264;mso-width-relative:page;mso-height-relative:page;" filled="f" stroked="t" coordsize="21600,21600" o:gfxdata="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vYex9MAAAAGAQAADwAAAAAAAAABACAAAAAiAAAAZHJzL2Rv&#10;d25yZXYueG1sUEsBAhQAFAAAAAgAh07iQKmn4fIGAgAABgQAAA4AAAAAAAAAAQAgAAAAIgEAAGRy&#10;cy9lMm9Eb2MueG1sUEsFBgAAAAAGAAYAWQEAAJoFAAAAAA==&#10;">
              <v:fill on="f" focussize="0,0"/>
              <v:stroke weight="4.5pt" color="#000000" linestyle="thinThick" joinstyle="round"/>
              <v:imagedata o:title=""/>
              <o:lock v:ext="edit" aspectratio="f"/>
            </v:line>
          </w:pict>
        </mc:Fallback>
      </mc:AlternateContent>
    </w:r>
  </w:p>
  <w:p>
    <w:pPr>
      <w:pStyle w:val="4"/>
    </w:pPr>
    <w:r>
      <w:rPr>
        <w:rFonts w:hint="eastAsia" w:ascii="仿宋_GB2312"/>
        <w:b/>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4787C"/>
    <w:multiLevelType w:val="singleLevel"/>
    <w:tmpl w:val="4A4478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ODliYzdkZmZhZjFhMDgwMjQ2MTZiZDJkNDQzYTEifQ=="/>
  </w:docVars>
  <w:rsids>
    <w:rsidRoot w:val="1139148E"/>
    <w:rsid w:val="113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annotation text"/>
    <w:basedOn w:val="1"/>
    <w:next w:val="1"/>
    <w:qFormat/>
    <w:uiPriority w:val="0"/>
    <w:pPr>
      <w:jc w:val="left"/>
    </w:pPr>
  </w:style>
  <w:style w:type="paragraph" w:styleId="4">
    <w:name w:val="footer"/>
    <w:basedOn w:val="1"/>
    <w:next w:val="3"/>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2023-07-25T10:34:00Z</dcterms:created>
  <dc:creator>紫薇</dc:creator>
  <cp:lastModifiedBy>紫薇</cp:lastModifiedBy>
  <dcterms:modified xsi:type="dcterms:W3CDTF">2023-07-25T10:35:21Z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1423C60630FD47DA8F339949392D5D8C_11</vt:lpwstr>
  </property>
</Properties>
</file>