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4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1522"/>
        <w:gridCol w:w="6961"/>
        <w:gridCol w:w="500"/>
        <w:gridCol w:w="477"/>
        <w:gridCol w:w="1023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65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使用科室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设备名称</w:t>
            </w:r>
          </w:p>
        </w:tc>
        <w:tc>
          <w:tcPr>
            <w:tcW w:w="2729" w:type="pct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bCs/>
                <w:color w:val="auto"/>
                <w:kern w:val="0"/>
                <w:szCs w:val="21"/>
              </w:rPr>
              <w:t>主要技术规格和参数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单价  （万元）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总价   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万元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vMerge w:val="restar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风湿免疫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科</w:t>
            </w: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心功能科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科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防辐射围领、</w:t>
            </w:r>
            <w:r>
              <w:rPr>
                <w:rFonts w:hint="eastAsia"/>
                <w:color w:val="auto"/>
                <w:lang w:val="en-US" w:eastAsia="zh-CN"/>
              </w:rPr>
              <w:t>防护套裙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、眼镜</w:t>
            </w: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▲由设备提供方负责接入医院信息系统（此为固定要求不可删除）</w:t>
            </w:r>
          </w:p>
          <w:p>
            <w:pPr>
              <w:pStyle w:val="8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一、铅衣参数</w:t>
            </w:r>
          </w:p>
          <w:p>
            <w:pPr>
              <w:pStyle w:val="8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 xml:space="preserve">     铅当量为0.35/0.5mmpb，前身铅当量0.35/0.5mmpb，袖子，后背铅当量为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-SA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0.25mmpb，半袖，袖子长度240mm，尺寸为1000*600mm，全身整体防护，上身长度600mm，下身裙子长度为580mm，配有一个上衣口袋，可放置物品，裙子配备吊带可根据身高调节，内部核心材料采用新型防护铅橡胶，柔软均匀，韧性好，耐拉伸，表面为防水牛津布材料，防水耐磨，易清洗，宽度可调，配有子母粘扣，可控调节宽度。</w:t>
            </w:r>
          </w:p>
          <w:p>
            <w:pPr>
              <w:pStyle w:val="8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Chars="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二、防护围领</w:t>
            </w:r>
          </w:p>
          <w:p>
            <w:pPr>
              <w:pStyle w:val="7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铅当量为整体0.35/0.5mmpb，围领条宽度50mm，长度550mm，围领肚宽度120mm，宽度可调，适合不同脖围佩戴。内部核心材料为新型铅橡胶，表面为防水牛津布材质，防水耐磨，易于清洗，适用于对甲状腺的防护。</w:t>
            </w:r>
          </w:p>
          <w:p>
            <w:pPr>
              <w:pStyle w:val="7"/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防护眼镜</w:t>
            </w: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 xml:space="preserve">  铅当量为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-SA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0.5mmpb，镜片为铅玻璃材质，透光性好，铅当量均匀，防护效果好，适用于对眼部的防护。</w:t>
            </w: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  <w:t>度数要求：一副近视280度；一副近视800度+散光200度。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0.8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vMerge w:val="continue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ind w:left="210" w:hanging="210" w:hangingChars="1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动态心电记录仪</w:t>
            </w: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pStyle w:val="9"/>
              <w:bidi w:val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一、记录器技术参数：（三/十二导闪光卡记录器）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▲</w:t>
            </w: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LED大屏幕液晶显示，3键操作，实时心电图显示、显示时间及记录时间、电池电量、病例ID等信息；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2.采样通道同时具备3导/12导,和独立起搏通道 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3.3导/12导数字记录，5/10芯L型导联线（记录盒侧面插拔，便于患者在腰间配戴）；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4.数字化高采样率 128-1024 点/秒采集；采样精度10-16Bit(使用时医生可随意选择)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5.具备起搏脉冲检测功能，采样率10000点/秒，独立起搏记录通道记录起搏信号；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6.24小时-72小时全程记录, 无数据压缩；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7.存储介质：SD闪光卡不小于2G；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8.两种数据传输模式：USB数据线/SD读卡器；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9.记录盒有实时回看功能和事件标住功能；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10.电池电量：1节5号电池；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二、软件功能技术参数：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1、3导/12导均在同一界面下分析， 采用12导同步神经网络多层叠加分类分析方式，自动分析心律失常；软件全模板分析，模板分类不小于500种.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2、编辑分析：五位一体散点图分析（反混淆技术、节律分类技术、图形分类技术、散点图分析、时序散点图分析），快捷自动匹配；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3、自动默认各种病的分类，具有房性、室性、交接心率、逸搏心率、长间歇、房扑、房颤、束支传导阻滞等十余种模板以及多种自定义模块，可以区分任一种形态的病理；各分类集合中图形可，匹配编辑修改；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4、房早、房对、房速按提早率再编辑功能；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5、自动房扑、房颤分析，自动标注起止点，或PR间期分析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6、回顾扫描及模板再编辑功能、修改参数设置，自动重新分类。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7、全程心电图浏览：提供各种趋势图、条图、页浏览、ST段变化图、心率变异、瀑布图及直方图等统计工具。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8、心肌缺血ST段形态的分析：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1）自动ST段事件统计，12通道起止时间、最大压低值描述、持续时间及斜率，定性定量分析心肌缺血情况。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 xml:space="preserve">2）12导ST段心肌缺血总负荷统计； 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3）12导ST段按叠加分析： ST段、T波、J点趋势图对比分析；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9、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lang w:val="en-US" w:eastAsia="zh-CN" w:bidi="ar-SA"/>
              </w:rPr>
              <w:t>▲</w:t>
            </w: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独立的起搏通道显示分析。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10、综合分析：心律失常、心肌供血、动态ST、QT离散、HRV同步分析。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11、心率减速率、连续心率减速率分析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12、心率变异分析：时域、频域、非线形、3维频谱、白昼对比等，分析报告。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13、QT分析、T波电交替分析、心率震荡分析、阻塞性睡眠呼吸暂停分析</w:t>
            </w:r>
          </w:p>
          <w:p>
            <w:pPr>
              <w:pStyle w:val="9"/>
              <w:bidi w:val="0"/>
              <w:ind w:left="0" w:leftChars="0"/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14、瀑布图分析、晚电位分析、动态心向量分析</w:t>
            </w: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ind w:firstLine="210" w:firstLineChars="100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bCs w:val="0"/>
                <w:caps w:val="0"/>
                <w:color w:val="auto"/>
                <w:kern w:val="2"/>
                <w:sz w:val="21"/>
                <w:szCs w:val="21"/>
                <w:lang w:val="en-US" w:eastAsia="zh-CN" w:bidi="ar-SA"/>
              </w:rPr>
              <w:t>、数据库管理功能，支持数据的检索、导入,导出,归档,调档等功能。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1.8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465" w:type="pct"/>
            <w:vMerge w:val="restar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心内科一病区</w:t>
            </w: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防辐射围领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铅当量为整体0.35/0.5mmpb，围领条宽度50mm，长度550mm，围领肚宽度120mm，宽度可调，适合不同脖围佩戴。内部核心材料为新型铅橡胶，表面为防水牛津布材质，防水耐磨，易于清洗，适用于对甲状腺的防护。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0.07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465" w:type="pct"/>
            <w:vMerge w:val="continue"/>
            <w:tcBorders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防辐射裙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pStyle w:val="8"/>
              <w:numPr>
                <w:ilvl w:val="0"/>
                <w:numId w:val="0"/>
              </w:numPr>
              <w:adjustRightInd w:val="0"/>
              <w:snapToGrid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铅当量为0.35/0.5mmpb，前身铅当量0.35/0.5mmpb，袖子，后背铅当量为</w:t>
            </w: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≥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0.25mmpb，半袖，袖子长度240mm，尺寸为1000*600mm，全身整体防护，上身长度600mm，下身裙子长度为580mm，配有一个上衣口袋，可放置物品，裙子配备吊带可根据身高调节，内部核心材料采用新型防护铅橡胶，柔软均匀，韧性好，耐拉伸，表面为防水牛津布材料，防水耐磨，易清洗，宽度可调，配有子母粘扣，可控调节宽度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0.4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465" w:type="pct"/>
            <w:vMerge w:val="continue"/>
            <w:tcBorders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bookmarkStart w:id="0" w:name="_GoBack" w:colFirst="3" w:colLast="6"/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遥测多参数监护系统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29" w:type="pct"/>
            <w:shd w:val="clear" w:color="000000" w:fill="FFFFFF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▲1、监测参数：心电、血压、呼吸、血氧、脉率、体温 6个参数；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▲2、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Hans" w:bidi="ar-SA"/>
              </w:rPr>
              <w:t>彩色触摸液晶屏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Hans" w:bidi="ar-SA"/>
              </w:rPr>
              <w:t>显示波形、数值、病人信息、电量等，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具有自动屏保，防止误操作功能；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3、数据传输：24小时实时动态连续传输；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4、心电参数：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1）导    联：I、II、III、aVR、aVF、aVL、V；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2）输入阻抗：不低于10MΩ；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3）频率特性：0.5Hz～40Hz(-3dB)；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4）共模抑制比：不小于70dB；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5）内部噪声：不超过25μV p-p；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6）采样分辨率：24bit；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7）监测范围：30～300次/分，允差：±2次/分。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5、呼吸参数：监测范围：15～60次/分，允差：±2次/分；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6、血压参数：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1）测量模式：手动、自动；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2）监测范围：收缩压：60～255mmHg，舒张压：30～195mmHg，允差：±3mmHg；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3）静态测量范围：0.0kPa～34.7kPa；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4）过压保护：38kPa，精度：±6.5kPa；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5）断电保护：断电后，袖带自动放气；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6）充气时间保护：180S。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7、血氧参数：监测范围70%～100%，允差：±2%；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8、脉率参数：监测范围30～250次/分，允差：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sym w:font="Symbol" w:char="F0A3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3次/分；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9、体温参数：监测范围30～42℃，误差：±0.1℃；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10、报警参数：具有声光双重报警功能；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▲11、数据通讯：WIFI或4G</w:t>
            </w: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或5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G；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12、可携带机身，便于移动状态下远程监护，重量小于0.6kg（含电池，电池电量：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sym w:font="Symbol" w:char="F0B3"/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8000mAh）。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13、多参数中央监护系统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▲1）远程实时监护，监测数据通过WIFI或4G 实时显示，可同时监测多人，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实现多人心电、血压、呼吸、血氧、脉率、体温参数的中央实时监测。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监测数据实时显示，可选择多人集中监测显示和单人重点监测显示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，也可以选择不同心电导联进行监测显示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）监测报警及阈值设置，具有电极、血氧探头指夹脱落、电池电量不足等报警功能；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具有监测波形、报警事件、参数趋势图回放功能；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病人设备信息管理并在多参数监护仪上显示；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6）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支持远程控制测量无创血压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；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支持多点登陆同步监测，方便专家会诊；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监测报告生成打印；</w:t>
            </w:r>
          </w:p>
          <w:p>
            <w:pPr>
              <w:numPr>
                <w:ilvl w:val="0"/>
                <w:numId w:val="0"/>
              </w:numPr>
              <w:snapToGrid w:val="0"/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）</w:t>
            </w:r>
            <w:r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系统对接与扩展。</w:t>
            </w:r>
          </w:p>
        </w:tc>
        <w:tc>
          <w:tcPr>
            <w:tcW w:w="196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187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3.2（一拖二十四）</w:t>
            </w:r>
          </w:p>
        </w:tc>
        <w:tc>
          <w:tcPr>
            <w:tcW w:w="424" w:type="pc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76.8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465" w:type="pct"/>
            <w:vMerge w:val="restar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心内二科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防辐射铅衣</w:t>
            </w:r>
          </w:p>
        </w:tc>
        <w:tc>
          <w:tcPr>
            <w:tcW w:w="2729" w:type="pct"/>
            <w:vMerge w:val="restart"/>
            <w:shd w:val="clear" w:color="000000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</w:t>
            </w:r>
            <w:r>
              <w:rPr>
                <w:rFonts w:hint="eastAsia" w:ascii="宋体" w:hAnsi="宋体" w:eastAsia="宋体" w:cs="宋体"/>
                <w:color w:val="auto"/>
              </w:rPr>
              <w:t xml:space="preserve">名：防辐射衣、围领、裤衩   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  <w:t>规格：S M L             铅当量：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  <w:t xml:space="preserve">0.5mmpb          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</w:rPr>
              <w:t xml:space="preserve">材质：无铅胶皮  </w:t>
            </w:r>
            <w:r>
              <w:rPr>
                <w:rFonts w:hint="eastAsia" w:ascii="宋体" w:hAnsi="宋体" w:eastAsia="宋体" w:cs="宋体"/>
                <w:color w:val="auto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</w:rPr>
              <w:t xml:space="preserve">面料: 聚酰胺印花面料          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款式：正穿双面式        功能：X射线防护及其它射线防护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类型：分体防护服        铅当量可定制 衣袖可定制产品备案</w:t>
            </w:r>
          </w:p>
        </w:tc>
        <w:tc>
          <w:tcPr>
            <w:tcW w:w="196" w:type="pct"/>
            <w:vMerge w:val="restart"/>
            <w:shd w:val="clear" w:color="000000" w:fill="FFFFFF"/>
            <w:vAlign w:val="center"/>
          </w:tcPr>
          <w:p>
            <w:pPr>
              <w:jc w:val="both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87" w:type="pct"/>
            <w:vMerge w:val="restart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401" w:type="pct"/>
            <w:vMerge w:val="restar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0.75</w:t>
            </w:r>
          </w:p>
        </w:tc>
        <w:tc>
          <w:tcPr>
            <w:tcW w:w="424" w:type="pct"/>
            <w:vMerge w:val="restart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465" w:type="pct"/>
            <w:vMerge w:val="continue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防辐射铅围脖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29" w:type="pct"/>
            <w:vMerge w:val="continue"/>
            <w:shd w:val="clear" w:color="000000" w:fill="FFFFFF"/>
            <w:vAlign w:val="center"/>
          </w:tcPr>
          <w:p>
            <w:pPr>
              <w:spacing w:line="240" w:lineRule="auto"/>
              <w:ind w:firstLine="420" w:firstLineChars="20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6" w:type="pct"/>
            <w:vMerge w:val="continue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87" w:type="pct"/>
            <w:vMerge w:val="continue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1" w:type="pct"/>
            <w:vMerge w:val="continue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24" w:type="pct"/>
            <w:vMerge w:val="continue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65" w:type="pct"/>
            <w:vMerge w:val="continue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96" w:type="pct"/>
            <w:shd w:val="clear" w:color="000000" w:fill="FFFFFF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防辐射铅裤衩</w:t>
            </w:r>
          </w:p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729" w:type="pct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6" w:type="pct"/>
            <w:vMerge w:val="continue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87" w:type="pct"/>
            <w:vMerge w:val="continue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401" w:type="pct"/>
            <w:vMerge w:val="continue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424" w:type="pct"/>
            <w:vMerge w:val="continue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4174" w:type="pct"/>
            <w:gridSpan w:val="5"/>
            <w:shd w:val="clear" w:color="000000" w:fill="FFFFFF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合计金额（万元）</w:t>
            </w:r>
          </w:p>
        </w:tc>
        <w:tc>
          <w:tcPr>
            <w:tcW w:w="825" w:type="pct"/>
            <w:gridSpan w:val="2"/>
            <w:shd w:val="clear" w:color="000000" w:fill="FFFFFF"/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 w:bidi="ar"/>
              </w:rPr>
              <w:t>90.05</w:t>
            </w:r>
          </w:p>
        </w:tc>
      </w:tr>
    </w:tbl>
    <w:p/>
    <w:sectPr>
      <w:pgSz w:w="16838" w:h="11906" w:orient="landscape"/>
      <w:pgMar w:top="1123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055286"/>
    <w:multiLevelType w:val="singleLevel"/>
    <w:tmpl w:val="8A05528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0MDJjOTlkZGZmYjkzZTU3YzhhNTI2MGMxZjFiYTEifQ=="/>
  </w:docVars>
  <w:rsids>
    <w:rsidRoot w:val="00000000"/>
    <w:rsid w:val="060C4B01"/>
    <w:rsid w:val="06A80753"/>
    <w:rsid w:val="07CF31BA"/>
    <w:rsid w:val="0AF9559E"/>
    <w:rsid w:val="0C3B522B"/>
    <w:rsid w:val="0CDB71BF"/>
    <w:rsid w:val="0E802878"/>
    <w:rsid w:val="12352E6D"/>
    <w:rsid w:val="1361042F"/>
    <w:rsid w:val="14D862F3"/>
    <w:rsid w:val="16DB2861"/>
    <w:rsid w:val="1CD6161B"/>
    <w:rsid w:val="1D520A16"/>
    <w:rsid w:val="1DB969A5"/>
    <w:rsid w:val="1DF0665E"/>
    <w:rsid w:val="248007B1"/>
    <w:rsid w:val="25BB0F70"/>
    <w:rsid w:val="26900320"/>
    <w:rsid w:val="2696201A"/>
    <w:rsid w:val="2AAE663F"/>
    <w:rsid w:val="2C710E15"/>
    <w:rsid w:val="2CC66340"/>
    <w:rsid w:val="2D265BF9"/>
    <w:rsid w:val="2FE45896"/>
    <w:rsid w:val="31CE37B8"/>
    <w:rsid w:val="3A282FB0"/>
    <w:rsid w:val="3BE970C3"/>
    <w:rsid w:val="4280659A"/>
    <w:rsid w:val="469F18BE"/>
    <w:rsid w:val="4A86399F"/>
    <w:rsid w:val="4C83211B"/>
    <w:rsid w:val="4DDD2388"/>
    <w:rsid w:val="4E5804C0"/>
    <w:rsid w:val="4E9B66B6"/>
    <w:rsid w:val="52BA2CCA"/>
    <w:rsid w:val="54870080"/>
    <w:rsid w:val="562D0B29"/>
    <w:rsid w:val="5E6457AD"/>
    <w:rsid w:val="622B0FE0"/>
    <w:rsid w:val="62C169B9"/>
    <w:rsid w:val="6CA83959"/>
    <w:rsid w:val="6D953CC3"/>
    <w:rsid w:val="744A0E91"/>
    <w:rsid w:val="74582108"/>
    <w:rsid w:val="75FC63A5"/>
    <w:rsid w:val="78F25DAD"/>
    <w:rsid w:val="7AF070FA"/>
    <w:rsid w:val="7F5A627C"/>
    <w:rsid w:val="7FD0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autoRedefine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autoRedefine/>
    <w:semiHidden/>
    <w:unhideWhenUsed/>
    <w:qFormat/>
    <w:uiPriority w:val="99"/>
    <w:pPr>
      <w:spacing w:after="120"/>
    </w:pPr>
  </w:style>
  <w:style w:type="paragraph" w:styleId="4">
    <w:name w:val="toc 1"/>
    <w:basedOn w:val="1"/>
    <w:next w:val="1"/>
    <w:autoRedefine/>
    <w:qFormat/>
    <w:uiPriority w:val="99"/>
    <w:rPr>
      <w:rFonts w:ascii="Times New Roman" w:hAnsi="Times New Roman"/>
    </w:rPr>
  </w:style>
  <w:style w:type="paragraph" w:styleId="7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9">
    <w:name w:val="*正文"/>
    <w:basedOn w:val="1"/>
    <w:autoRedefine/>
    <w:qFormat/>
    <w:uiPriority w:val="0"/>
    <w:pPr>
      <w:spacing w:line="360" w:lineRule="auto"/>
      <w:ind w:firstLine="240" w:firstLineChars="100"/>
    </w:pPr>
    <w:rPr>
      <w:rFonts w:ascii="仿宋_GB2312" w:eastAsia="仿宋_GB2312"/>
      <w:bCs/>
      <w:caps/>
      <w:kern w:val="1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2023-11-15T06:15:00Z</dcterms:created>
  <dc:creator>Administrator</dc:creator>
  <cp:lastModifiedBy>禹眾钚茼</cp:lastModifiedBy>
  <dcterms:modified xsi:type="dcterms:W3CDTF">2024-05-17T03:36:49Z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4B5B1F8C26FB454F81E9C03A3C627126_12</vt:lpwstr>
  </property>
</Properties>
</file>