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4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522"/>
        <w:gridCol w:w="6961"/>
        <w:gridCol w:w="500"/>
        <w:gridCol w:w="477"/>
        <w:gridCol w:w="1023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使用科室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设备名称</w:t>
            </w:r>
          </w:p>
        </w:tc>
        <w:tc>
          <w:tcPr>
            <w:tcW w:w="2729" w:type="pct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Cs w:val="21"/>
              </w:rPr>
              <w:t>主要技术规格和参数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单价  （万元）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总价   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万元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急救中心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多功能医用创口冲洗机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▲由设备提供方负责接入医院信息系统（此为固定要求不可删除）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输入电源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a.c.220V,50Hz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输入功率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WH180C：2200 VA；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水源压力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0.15 MPa～0.75 MPa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进水温度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≤37℃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清水流量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350 ml/min～1000 ml/min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清水扬程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最大流量时扬程大于1600mm,清水最小流量时,扬程大于 100mm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清洗液扬程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&gt;800 mm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清水出水温升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&gt;20℃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精细冲洗流量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最大档位流量：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 xml:space="preserve"> ml/min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精细冲洗扬程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&gt;1600 mm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气动冲洗流量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最大档位流量：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 xml:space="preserve"> ml/min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气动冲洗压强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≥100 kPa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冲洗管长度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&gt;100 cm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噪声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≤70 dB（A）</w:t>
            </w:r>
            <w:bookmarkStart w:id="0" w:name="_GoBack"/>
            <w:bookmarkEnd w:id="0"/>
          </w:p>
          <w:p>
            <w:pPr>
              <w:adjustRightInd w:val="0"/>
              <w:snapToGrid w:val="0"/>
              <w:ind w:left="210" w:hanging="211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设备最大承重150kg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18.4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急救中心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侧面操纵式综合手术台</w:t>
            </w: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1、前 倾：≥30° 后 倾：≥20° 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2、左 倾：≥18° 右 倾： ≥18° 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3、背板上折:≥75° 背板下折：≥18° 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4、头板上折：≥45° 头板下折：≥90°可拆卸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5、腿板下折：≥90° 腿板外展：≥90°可拆卸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6、腰板升高：≥120mm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7、台面尺寸：长2100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mm(±20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mm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宽480 mm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(±20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)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8、床面升降范围：720～920mm 可自由升降、锁定</w:t>
            </w:r>
          </w:p>
          <w:p>
            <w:pPr>
              <w:rPr>
                <w:rFonts w:hint="eastAsia" w:ascii="宋体" w:hAnsi="宋体" w:eastAsia="宋体" w:cs="宋体"/>
                <w:color w:val="auto"/>
                <w:lang w:bidi="ar"/>
              </w:rPr>
            </w:pP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1.5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急救中心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LED手术无影灯</w:t>
            </w: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pStyle w:val="6"/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pStyle w:val="6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▲由设备提供方负责接入医院信息系统（此为固定要求不可删除）</w:t>
            </w:r>
          </w:p>
          <w:p>
            <w:pPr>
              <w:tabs>
                <w:tab w:val="left" w:pos="717"/>
              </w:tabs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.通过EMC电磁兼容测试，确保内部信息化系统弱线路不受电磁信号干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扰（提供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相应的佐证资料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）。</w:t>
            </w:r>
          </w:p>
          <w:p>
            <w:pPr>
              <w:tabs>
                <w:tab w:val="left" w:pos="717"/>
              </w:tabs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.采用LED冷光源，照度可达40000-150000Lux可实现无极调光非多档调节；色温在3700K-5000K区间，无极调光非多档调节。调节光照参数，使术者对光的感知柔和不眩目。（提供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相应的佐证资料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）</w:t>
            </w:r>
          </w:p>
          <w:p>
            <w:pPr>
              <w:numPr>
                <w:ilvl w:val="0"/>
                <w:numId w:val="0"/>
              </w:numPr>
              <w:tabs>
                <w:tab w:val="left" w:pos="717"/>
              </w:tabs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显色指数85-98，真实反映人体组织颜色，适用于各种手术场景（提供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相应的佐证资料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）</w:t>
            </w:r>
          </w:p>
          <w:p>
            <w:pPr>
              <w:numPr>
                <w:ilvl w:val="0"/>
                <w:numId w:val="0"/>
              </w:numPr>
              <w:tabs>
                <w:tab w:val="left" w:pos="717"/>
              </w:tabs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.采用LED发光芯片，芯片使用寿命≥8万小时以上。（提供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相应的佐证资料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）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.发光芯片采用分项控制技术，保证单路单颗LED损坏，不影响手术的正常进行。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.光柱深度≥1300mm，满足不同手术的光照需要。（提供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相应的佐证资料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）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7.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术者头部温升﹤1℃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.灯头一体式按键控制器，可进行电源开关、照度、色温的调节。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.灯罩壳为ABS工程塑料制作，无毒无味，表面采用高压静电喷涂工艺，使用环保抗菌塑粉，确保产品符合手术卫生要求，表面哑光、无眩目。（提供证明材料）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.灯体流线型超薄小灯盘，最厚处不超过10CM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.通过旋转消毒手柄，可调节无影灯光斑大小和聚光效果，光斑直径130-260mm，适用于多种手术照明需求。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.中置消毒手柄可任意拆卸，耐温≥134℃、耐高温高压蒸汽灭菌。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.灯臂采用不低于三组万向关节联动结构，便于操作、定位精准，可360°任意旋转；具备疲劳校正装置和定位手感调节装置，长时间使用后仍可轻松进行定位调校。（提供证明材料）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.一体化灯盘把手，实现全方位灯头调节，便于医护人员操作。</w:t>
            </w:r>
          </w:p>
          <w:p>
            <w:pPr>
              <w:widowControl/>
              <w:tabs>
                <w:tab w:val="left" w:pos="717"/>
              </w:tabs>
              <w:wordWrap w:val="0"/>
              <w:topLinePunct/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.电源电压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 xml:space="preserve">AC100-240V 50/60HZ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ab/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1.38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174" w:type="pct"/>
            <w:gridSpan w:val="5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合计金额（万元）</w:t>
            </w:r>
          </w:p>
        </w:tc>
        <w:tc>
          <w:tcPr>
            <w:tcW w:w="825" w:type="pct"/>
            <w:gridSpan w:val="2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22.66</w:t>
            </w:r>
          </w:p>
        </w:tc>
      </w:tr>
    </w:tbl>
    <w:p/>
    <w:sectPr>
      <w:pgSz w:w="16838" w:h="11906" w:orient="landscape"/>
      <w:pgMar w:top="1123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MDJjOTlkZGZmYjkzZTU3YzhhNTI2MGMxZjFiYTEifQ=="/>
  </w:docVars>
  <w:rsids>
    <w:rsidRoot w:val="00000000"/>
    <w:rsid w:val="01062EEC"/>
    <w:rsid w:val="04CB5FDF"/>
    <w:rsid w:val="060C4B01"/>
    <w:rsid w:val="0ADD31D6"/>
    <w:rsid w:val="0C961205"/>
    <w:rsid w:val="0CDB71BF"/>
    <w:rsid w:val="0DEB6CD8"/>
    <w:rsid w:val="1175349A"/>
    <w:rsid w:val="1202323A"/>
    <w:rsid w:val="1336140F"/>
    <w:rsid w:val="134C0C32"/>
    <w:rsid w:val="144A3613"/>
    <w:rsid w:val="16DB2861"/>
    <w:rsid w:val="199944A6"/>
    <w:rsid w:val="223B434C"/>
    <w:rsid w:val="23CE4694"/>
    <w:rsid w:val="248007B1"/>
    <w:rsid w:val="256E67E6"/>
    <w:rsid w:val="26900320"/>
    <w:rsid w:val="2A0239A1"/>
    <w:rsid w:val="2C9C1E8B"/>
    <w:rsid w:val="2CC66340"/>
    <w:rsid w:val="34270BD4"/>
    <w:rsid w:val="353E60D9"/>
    <w:rsid w:val="3EBC6F2B"/>
    <w:rsid w:val="426C5A7A"/>
    <w:rsid w:val="45190260"/>
    <w:rsid w:val="46F502CA"/>
    <w:rsid w:val="47D209FF"/>
    <w:rsid w:val="47FC782A"/>
    <w:rsid w:val="49EB51BD"/>
    <w:rsid w:val="4C3337D0"/>
    <w:rsid w:val="4E1A6C5C"/>
    <w:rsid w:val="4E5804C0"/>
    <w:rsid w:val="4E9B66B6"/>
    <w:rsid w:val="5038161B"/>
    <w:rsid w:val="52BA2CCA"/>
    <w:rsid w:val="54870080"/>
    <w:rsid w:val="56FB44B9"/>
    <w:rsid w:val="5D64494E"/>
    <w:rsid w:val="5F21609C"/>
    <w:rsid w:val="606326E4"/>
    <w:rsid w:val="62022DBF"/>
    <w:rsid w:val="637F322E"/>
    <w:rsid w:val="63B82D47"/>
    <w:rsid w:val="66D47E98"/>
    <w:rsid w:val="6A4946F9"/>
    <w:rsid w:val="6C2C7C79"/>
    <w:rsid w:val="6E5F098F"/>
    <w:rsid w:val="6E951EC7"/>
    <w:rsid w:val="6F803996"/>
    <w:rsid w:val="718A7AD1"/>
    <w:rsid w:val="71A44B0C"/>
    <w:rsid w:val="72FA6BAC"/>
    <w:rsid w:val="74582108"/>
    <w:rsid w:val="7A127DEE"/>
    <w:rsid w:val="7FD0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semiHidden/>
    <w:unhideWhenUsed/>
    <w:qFormat/>
    <w:uiPriority w:val="99"/>
    <w:pPr>
      <w:spacing w:after="120"/>
    </w:pPr>
  </w:style>
  <w:style w:type="paragraph" w:styleId="3">
    <w:name w:val="toc 1"/>
    <w:basedOn w:val="1"/>
    <w:next w:val="1"/>
    <w:autoRedefine/>
    <w:qFormat/>
    <w:uiPriority w:val="99"/>
    <w:rPr>
      <w:rFonts w:ascii="Times New Roman" w:hAnsi="Times New Roman"/>
    </w:rPr>
  </w:style>
  <w:style w:type="paragraph" w:styleId="6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2023-11-15T06:15:00Z</dcterms:created>
  <dc:creator>Administrator</dc:creator>
  <cp:lastModifiedBy>禹眾钚茼</cp:lastModifiedBy>
  <dcterms:modified xsi:type="dcterms:W3CDTF">2024-05-17T03:37:52Z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4B5B1F8C26FB454F81E9C03A3C627126_12</vt:lpwstr>
  </property>
</Properties>
</file>