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numPr>
          <w:ilvl w:val="0"/>
          <w:numId w:val="0"/>
        </w:numPr>
      </w:pPr>
      <w:r>
        <w:rPr>
          <w:rFonts w:hint="eastAsia"/>
        </w:rPr>
        <w:t>无线网络管理平台</w:t>
      </w:r>
    </w:p>
    <w:p/>
    <w:tbl>
      <w:tblPr>
        <w:tblStyle w:val="6"/>
        <w:tblW w:w="8931" w:type="dxa"/>
        <w:tblInd w:w="-5" w:type="dxa"/>
        <w:tblLayout w:type="autofit"/>
        <w:tblCellMar>
          <w:top w:w="0" w:type="dxa"/>
          <w:left w:w="108" w:type="dxa"/>
          <w:bottom w:w="0" w:type="dxa"/>
          <w:right w:w="108" w:type="dxa"/>
        </w:tblCellMar>
      </w:tblPr>
      <w:tblGrid>
        <w:gridCol w:w="1134"/>
        <w:gridCol w:w="709"/>
        <w:gridCol w:w="7088"/>
      </w:tblGrid>
      <w:tr>
        <w:tblPrEx>
          <w:tblCellMar>
            <w:top w:w="0" w:type="dxa"/>
            <w:left w:w="108" w:type="dxa"/>
            <w:bottom w:w="0" w:type="dxa"/>
            <w:right w:w="108" w:type="dxa"/>
          </w:tblCellMar>
        </w:tblPrEx>
        <w:trPr>
          <w:trHeight w:val="312" w:hRule="atLeast"/>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参数性质</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序号</w:t>
            </w:r>
          </w:p>
        </w:tc>
        <w:tc>
          <w:tcPr>
            <w:tcW w:w="7088"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具体技术(参数)要求</w:t>
            </w:r>
          </w:p>
        </w:tc>
      </w:tr>
      <w:tr>
        <w:tblPrEx>
          <w:tblCellMar>
            <w:top w:w="0" w:type="dxa"/>
            <w:left w:w="108" w:type="dxa"/>
            <w:bottom w:w="0" w:type="dxa"/>
            <w:right w:w="108" w:type="dxa"/>
          </w:tblCellMar>
        </w:tblPrEx>
        <w:trPr>
          <w:trHeight w:val="312" w:hRule="atLeast"/>
        </w:trPr>
        <w:tc>
          <w:tcPr>
            <w:tcW w:w="113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w:t>
            </w:r>
          </w:p>
        </w:tc>
        <w:tc>
          <w:tcPr>
            <w:tcW w:w="7088"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业务端口：千兆以太网口数≥</w:t>
            </w:r>
            <w:r>
              <w:rPr>
                <w:rFonts w:ascii="等线" w:hAnsi="等线" w:eastAsia="等线" w:cs="宋体"/>
                <w:color w:val="000000"/>
                <w:kern w:val="0"/>
                <w:sz w:val="22"/>
              </w:rPr>
              <w:t xml:space="preserve">7，万兆光端口数≥2个，并需提供1个RJ-45 Console管理口；同时提供USB接口数≥2，用于外接硬件设备。 </w:t>
            </w:r>
          </w:p>
          <w:p>
            <w:pPr>
              <w:widowControl/>
              <w:jc w:val="left"/>
              <w:rPr>
                <w:rFonts w:ascii="等线" w:hAnsi="等线" w:eastAsia="等线" w:cs="宋体"/>
                <w:color w:val="000000"/>
                <w:kern w:val="0"/>
                <w:sz w:val="22"/>
              </w:rPr>
            </w:pPr>
            <w:r>
              <w:rPr>
                <w:rFonts w:ascii="等线" w:hAnsi="等线" w:eastAsia="等线" w:cs="宋体"/>
                <w:color w:val="000000"/>
                <w:kern w:val="0"/>
                <w:sz w:val="22"/>
              </w:rPr>
              <w:t>管理AP数：最大可支持管理AP数≥4000颗；同时本次实配≥3000个AP license管理授权.。管理网关数：本次项目要求配置≥60个网关 license管理授权</w:t>
            </w:r>
            <w:r>
              <w:rPr>
                <w:rFonts w:hint="eastAsia" w:ascii="等线" w:hAnsi="等线" w:eastAsia="等线" w:cs="宋体"/>
                <w:color w:val="000000"/>
                <w:kern w:val="0"/>
                <w:sz w:val="22"/>
              </w:rPr>
              <w:t>,</w:t>
            </w:r>
            <w:r>
              <w:rPr>
                <w:rFonts w:ascii="等线" w:hAnsi="等线" w:eastAsia="等线" w:cs="宋体"/>
                <w:color w:val="000000"/>
                <w:kern w:val="0"/>
                <w:sz w:val="22"/>
              </w:rPr>
              <w:t>,</w:t>
            </w:r>
            <w:r>
              <w:rPr>
                <w:rFonts w:hint="eastAsia"/>
              </w:rPr>
              <w:t xml:space="preserve"> </w:t>
            </w:r>
            <w:r>
              <w:rPr>
                <w:rFonts w:hint="eastAsia" w:ascii="等线" w:hAnsi="等线" w:eastAsia="等线" w:cs="宋体"/>
                <w:color w:val="000000"/>
                <w:kern w:val="0"/>
                <w:sz w:val="22"/>
              </w:rPr>
              <w:t>具备不少于</w:t>
            </w:r>
            <w:r>
              <w:rPr>
                <w:rFonts w:ascii="等线" w:hAnsi="等线" w:eastAsia="等线" w:cs="宋体"/>
                <w:color w:val="000000"/>
                <w:kern w:val="0"/>
                <w:sz w:val="22"/>
              </w:rPr>
              <w:t>1T硬盘的数据存储能力。</w:t>
            </w:r>
          </w:p>
        </w:tc>
      </w:tr>
      <w:tr>
        <w:tblPrEx>
          <w:tblCellMar>
            <w:top w:w="0" w:type="dxa"/>
            <w:left w:w="108" w:type="dxa"/>
            <w:bottom w:w="0" w:type="dxa"/>
            <w:right w:w="108" w:type="dxa"/>
          </w:tblCellMar>
        </w:tblPrEx>
        <w:trPr>
          <w:trHeight w:val="312" w:hRule="atLeast"/>
        </w:trPr>
        <w:tc>
          <w:tcPr>
            <w:tcW w:w="113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7088"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无线网络管理平台需支持</w:t>
            </w:r>
            <w:r>
              <w:rPr>
                <w:rFonts w:ascii="等线" w:hAnsi="等线" w:eastAsia="等线" w:cs="宋体"/>
                <w:color w:val="000000"/>
                <w:kern w:val="0"/>
                <w:sz w:val="22"/>
              </w:rPr>
              <w:t>802.11a、802.11b、802.11g、802.11n、802.11ac、802.11ac、11ac Wave2、802.11ax 802.11e、802.11h、802.11i、802.11k、802.11v等协议</w:t>
            </w:r>
          </w:p>
        </w:tc>
      </w:tr>
      <w:tr>
        <w:tblPrEx>
          <w:tblCellMar>
            <w:top w:w="0" w:type="dxa"/>
            <w:left w:w="108" w:type="dxa"/>
            <w:bottom w:w="0" w:type="dxa"/>
            <w:right w:w="108" w:type="dxa"/>
          </w:tblCellMar>
        </w:tblPrEx>
        <w:trPr>
          <w:trHeight w:val="312" w:hRule="atLeast"/>
        </w:trPr>
        <w:tc>
          <w:tcPr>
            <w:tcW w:w="113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微软雅黑" w:hAnsi="微软雅黑" w:eastAsia="微软雅黑" w:cs="宋体"/>
                <w:color w:val="000000"/>
                <w:kern w:val="0"/>
                <w:sz w:val="22"/>
              </w:rPr>
              <w:t>▲</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3</w:t>
            </w:r>
          </w:p>
        </w:tc>
        <w:tc>
          <w:tcPr>
            <w:tcW w:w="7088"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无线安全管理：支持关闭终端不必要的端口服务，在创建针对</w:t>
            </w:r>
            <w:r>
              <w:rPr>
                <w:rFonts w:ascii="等线" w:hAnsi="等线" w:eastAsia="等线" w:cs="宋体"/>
                <w:color w:val="000000"/>
                <w:kern w:val="0"/>
                <w:sz w:val="22"/>
              </w:rPr>
              <w:t>AP的内网网络东西向流量安全策略，实现全网安全风险拦截</w:t>
            </w:r>
            <w:r>
              <w:rPr>
                <w:rFonts w:hint="eastAsia" w:ascii="等线" w:hAnsi="等线" w:eastAsia="等线" w:cs="宋体"/>
                <w:color w:val="000000"/>
                <w:kern w:val="0"/>
                <w:sz w:val="22"/>
              </w:rPr>
              <w:t>，</w:t>
            </w:r>
            <w:r>
              <w:rPr>
                <w:rFonts w:hint="eastAsia" w:ascii="等线" w:hAnsi="等线" w:eastAsia="等线" w:cs="宋体"/>
                <w:color w:val="auto"/>
                <w:kern w:val="0"/>
                <w:sz w:val="22"/>
                <w:highlight w:val="none"/>
              </w:rPr>
              <w:t>需提供系统终端识别库截图证明</w:t>
            </w:r>
            <w:r>
              <w:rPr>
                <w:rFonts w:ascii="等线" w:hAnsi="等线" w:eastAsia="等线" w:cs="宋体"/>
                <w:color w:val="auto"/>
                <w:kern w:val="0"/>
                <w:sz w:val="22"/>
                <w:highlight w:val="none"/>
              </w:rPr>
              <w:t>；</w:t>
            </w:r>
          </w:p>
        </w:tc>
      </w:tr>
      <w:tr>
        <w:tblPrEx>
          <w:tblCellMar>
            <w:top w:w="0" w:type="dxa"/>
            <w:left w:w="108" w:type="dxa"/>
            <w:bottom w:w="0" w:type="dxa"/>
            <w:right w:w="108" w:type="dxa"/>
          </w:tblCellMar>
        </w:tblPrEx>
        <w:trPr>
          <w:trHeight w:val="312" w:hRule="atLeast"/>
        </w:trPr>
        <w:tc>
          <w:tcPr>
            <w:tcW w:w="113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4</w:t>
            </w:r>
          </w:p>
        </w:tc>
        <w:tc>
          <w:tcPr>
            <w:tcW w:w="7088"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auto"/>
                <w:kern w:val="0"/>
                <w:sz w:val="22"/>
                <w:highlight w:val="none"/>
              </w:rPr>
              <w:t>支持基于用户数、信号强度、信道利用率的智能负载均衡，自动平衡各</w:t>
            </w:r>
            <w:r>
              <w:rPr>
                <w:rFonts w:ascii="等线" w:hAnsi="等线" w:eastAsia="等线" w:cs="宋体"/>
                <w:color w:val="auto"/>
                <w:kern w:val="0"/>
                <w:sz w:val="22"/>
                <w:highlight w:val="none"/>
              </w:rPr>
              <w:t>AP之间的接入压力</w:t>
            </w:r>
          </w:p>
        </w:tc>
      </w:tr>
      <w:tr>
        <w:tblPrEx>
          <w:tblCellMar>
            <w:top w:w="0" w:type="dxa"/>
            <w:left w:w="108" w:type="dxa"/>
            <w:bottom w:w="0" w:type="dxa"/>
            <w:right w:w="108" w:type="dxa"/>
          </w:tblCellMar>
        </w:tblPrEx>
        <w:trPr>
          <w:trHeight w:val="312" w:hRule="atLeast"/>
        </w:trPr>
        <w:tc>
          <w:tcPr>
            <w:tcW w:w="113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7088"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快速上线：支持便捷的部署上线，可以通过导入</w:t>
            </w:r>
            <w:r>
              <w:rPr>
                <w:rFonts w:ascii="等线" w:hAnsi="等线" w:eastAsia="等线" w:cs="宋体"/>
                <w:color w:val="000000"/>
                <w:kern w:val="0"/>
                <w:sz w:val="22"/>
              </w:rPr>
              <w:t>AP的MAC地址和SN码，AP联网后无需任何配置即可发现AC</w:t>
            </w:r>
          </w:p>
        </w:tc>
      </w:tr>
      <w:tr>
        <w:tblPrEx>
          <w:tblCellMar>
            <w:top w:w="0" w:type="dxa"/>
            <w:left w:w="108" w:type="dxa"/>
            <w:bottom w:w="0" w:type="dxa"/>
            <w:right w:w="108" w:type="dxa"/>
          </w:tblCellMar>
        </w:tblPrEx>
        <w:trPr>
          <w:trHeight w:val="312" w:hRule="atLeast"/>
        </w:trPr>
        <w:tc>
          <w:tcPr>
            <w:tcW w:w="113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微软雅黑" w:hAnsi="微软雅黑" w:eastAsia="微软雅黑" w:cs="宋体"/>
                <w:color w:val="000000"/>
                <w:kern w:val="0"/>
                <w:sz w:val="22"/>
              </w:rPr>
              <w:t>▲</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6</w:t>
            </w:r>
          </w:p>
        </w:tc>
        <w:tc>
          <w:tcPr>
            <w:tcW w:w="7088"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等线" w:hAnsi="等线" w:eastAsia="等线" w:cs="宋体"/>
                <w:color w:val="FF0000"/>
                <w:kern w:val="0"/>
                <w:sz w:val="22"/>
                <w:highlight w:val="yellow"/>
              </w:rPr>
            </w:pPr>
            <w:r>
              <w:rPr>
                <w:rFonts w:hint="eastAsia" w:ascii="等线" w:hAnsi="等线" w:eastAsia="等线" w:cs="宋体"/>
                <w:color w:val="auto"/>
                <w:kern w:val="0"/>
                <w:sz w:val="22"/>
                <w:highlight w:val="none"/>
              </w:rPr>
              <w:t>支持便捷的部署上线，可以通过导入</w:t>
            </w:r>
            <w:r>
              <w:rPr>
                <w:rFonts w:ascii="等线" w:hAnsi="等线" w:eastAsia="等线" w:cs="宋体"/>
                <w:color w:val="auto"/>
                <w:kern w:val="0"/>
                <w:sz w:val="22"/>
                <w:highlight w:val="none"/>
              </w:rPr>
              <w:t>AP的MAC地址和SN码，AP联网后无需任何配置即可发现AC</w:t>
            </w:r>
            <w:r>
              <w:rPr>
                <w:rFonts w:hint="eastAsia" w:ascii="等线" w:hAnsi="等线" w:eastAsia="等线" w:cs="宋体"/>
                <w:color w:val="auto"/>
                <w:kern w:val="0"/>
                <w:sz w:val="22"/>
                <w:highlight w:val="none"/>
              </w:rPr>
              <w:t>（提供功能截图证明）</w:t>
            </w:r>
          </w:p>
        </w:tc>
      </w:tr>
      <w:tr>
        <w:tblPrEx>
          <w:tblCellMar>
            <w:top w:w="0" w:type="dxa"/>
            <w:left w:w="108" w:type="dxa"/>
            <w:bottom w:w="0" w:type="dxa"/>
            <w:right w:w="108" w:type="dxa"/>
          </w:tblCellMar>
        </w:tblPrEx>
        <w:trPr>
          <w:trHeight w:val="312" w:hRule="atLeast"/>
        </w:trPr>
        <w:tc>
          <w:tcPr>
            <w:tcW w:w="113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7</w:t>
            </w:r>
          </w:p>
        </w:tc>
        <w:tc>
          <w:tcPr>
            <w:tcW w:w="7088"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auto"/>
                <w:kern w:val="0"/>
                <w:sz w:val="22"/>
                <w:highlight w:val="none"/>
              </w:rPr>
              <w:t>支持射频引导功能，引导无线终端优先接入干扰小的</w:t>
            </w:r>
            <w:r>
              <w:rPr>
                <w:rFonts w:ascii="等线" w:hAnsi="等线" w:eastAsia="等线" w:cs="宋体"/>
                <w:color w:val="auto"/>
                <w:kern w:val="0"/>
                <w:sz w:val="22"/>
                <w:highlight w:val="none"/>
              </w:rPr>
              <w:t>5G频段</w:t>
            </w:r>
          </w:p>
        </w:tc>
      </w:tr>
      <w:tr>
        <w:tblPrEx>
          <w:tblCellMar>
            <w:top w:w="0" w:type="dxa"/>
            <w:left w:w="108" w:type="dxa"/>
            <w:bottom w:w="0" w:type="dxa"/>
            <w:right w:w="108" w:type="dxa"/>
          </w:tblCellMar>
        </w:tblPrEx>
        <w:trPr>
          <w:trHeight w:val="312" w:hRule="atLeast"/>
        </w:trPr>
        <w:tc>
          <w:tcPr>
            <w:tcW w:w="113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8</w:t>
            </w:r>
          </w:p>
        </w:tc>
        <w:tc>
          <w:tcPr>
            <w:tcW w:w="7088"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移动运维：支持移动</w:t>
            </w:r>
            <w:r>
              <w:rPr>
                <w:rFonts w:ascii="等线" w:hAnsi="等线" w:eastAsia="等线" w:cs="宋体"/>
                <w:color w:val="000000"/>
                <w:kern w:val="0"/>
                <w:sz w:val="22"/>
              </w:rPr>
              <w:t>APP运维，通过手机APP，可进行无线状态查看、无线网络管理、告警通知等，</w:t>
            </w:r>
            <w:r>
              <w:rPr>
                <w:rFonts w:hint="eastAsia" w:ascii="等线" w:hAnsi="等线" w:eastAsia="等线" w:cs="宋体"/>
                <w:color w:val="auto"/>
                <w:kern w:val="0"/>
                <w:sz w:val="22"/>
                <w:highlight w:val="none"/>
              </w:rPr>
              <w:t>提供实际截图</w:t>
            </w:r>
          </w:p>
        </w:tc>
      </w:tr>
      <w:tr>
        <w:tblPrEx>
          <w:tblCellMar>
            <w:top w:w="0" w:type="dxa"/>
            <w:left w:w="108" w:type="dxa"/>
            <w:bottom w:w="0" w:type="dxa"/>
            <w:right w:w="108" w:type="dxa"/>
          </w:tblCellMar>
        </w:tblPrEx>
        <w:trPr>
          <w:trHeight w:val="312" w:hRule="atLeast"/>
        </w:trPr>
        <w:tc>
          <w:tcPr>
            <w:tcW w:w="113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9</w:t>
            </w:r>
          </w:p>
        </w:tc>
        <w:tc>
          <w:tcPr>
            <w:tcW w:w="7088"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等线" w:hAnsi="等线" w:eastAsia="等线" w:cs="宋体"/>
                <w:color w:val="000000"/>
                <w:kern w:val="0"/>
                <w:sz w:val="22"/>
              </w:rPr>
            </w:pPr>
            <w:r>
              <w:rPr>
                <w:rFonts w:ascii="等线" w:hAnsi="等线" w:eastAsia="等线" w:cs="宋体"/>
                <w:color w:val="000000"/>
                <w:kern w:val="0"/>
                <w:sz w:val="22"/>
              </w:rPr>
              <w:t>网关管理：支持配置分支的网关，实现统一管理、统一运维</w:t>
            </w:r>
          </w:p>
        </w:tc>
      </w:tr>
      <w:tr>
        <w:tblPrEx>
          <w:tblCellMar>
            <w:top w:w="0" w:type="dxa"/>
            <w:left w:w="108" w:type="dxa"/>
            <w:bottom w:w="0" w:type="dxa"/>
            <w:right w:w="108" w:type="dxa"/>
          </w:tblCellMar>
        </w:tblPrEx>
        <w:trPr>
          <w:trHeight w:val="312" w:hRule="atLeast"/>
        </w:trPr>
        <w:tc>
          <w:tcPr>
            <w:tcW w:w="113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微软雅黑" w:hAnsi="微软雅黑" w:eastAsia="微软雅黑" w:cs="宋体"/>
                <w:color w:val="000000"/>
                <w:kern w:val="0"/>
                <w:sz w:val="22"/>
              </w:rPr>
              <w:t>▲</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10</w:t>
            </w:r>
          </w:p>
        </w:tc>
        <w:tc>
          <w:tcPr>
            <w:tcW w:w="7088"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通过网络管理系统可视化查看到网络账号安全状况，感知潜在风险，图形报表直观展示系统安全事件，帮助管理员轻松掌握网络的账号安全，显示钓鱼</w:t>
            </w:r>
            <w:r>
              <w:rPr>
                <w:rFonts w:ascii="等线" w:hAnsi="等线" w:eastAsia="等线" w:cs="宋体"/>
                <w:color w:val="000000"/>
                <w:kern w:val="0"/>
                <w:sz w:val="22"/>
              </w:rPr>
              <w:t>AP、干扰AP、无线泛洪攻击、DDOS攻击等详细数据（提供实际功能截图</w:t>
            </w:r>
            <w:r>
              <w:rPr>
                <w:rFonts w:hint="eastAsia" w:ascii="等线" w:hAnsi="等线" w:eastAsia="等线" w:cs="宋体"/>
                <w:color w:val="000000"/>
                <w:kern w:val="0"/>
                <w:sz w:val="22"/>
              </w:rPr>
              <w:t>）</w:t>
            </w:r>
          </w:p>
        </w:tc>
      </w:tr>
      <w:tr>
        <w:tblPrEx>
          <w:tblCellMar>
            <w:top w:w="0" w:type="dxa"/>
            <w:left w:w="108" w:type="dxa"/>
            <w:bottom w:w="0" w:type="dxa"/>
            <w:right w:w="108" w:type="dxa"/>
          </w:tblCellMar>
        </w:tblPrEx>
        <w:trPr>
          <w:trHeight w:val="312" w:hRule="atLeast"/>
        </w:trPr>
        <w:tc>
          <w:tcPr>
            <w:tcW w:w="113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11</w:t>
            </w:r>
          </w:p>
        </w:tc>
        <w:tc>
          <w:tcPr>
            <w:tcW w:w="7088"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支持管理员分权分级，不同的管理员拥有不同的管理权限，包括精细的页面修改查看权限和接入点管辖权限以及是否允许登陆数据中心等，方便网络的维护管理</w:t>
            </w:r>
          </w:p>
        </w:tc>
      </w:tr>
      <w:tr>
        <w:tblPrEx>
          <w:tblCellMar>
            <w:top w:w="0" w:type="dxa"/>
            <w:left w:w="108" w:type="dxa"/>
            <w:bottom w:w="0" w:type="dxa"/>
            <w:right w:w="108" w:type="dxa"/>
          </w:tblCellMar>
        </w:tblPrEx>
        <w:trPr>
          <w:trHeight w:val="312" w:hRule="atLeast"/>
        </w:trPr>
        <w:tc>
          <w:tcPr>
            <w:tcW w:w="113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12</w:t>
            </w:r>
          </w:p>
        </w:tc>
        <w:tc>
          <w:tcPr>
            <w:tcW w:w="7088"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支持查看</w:t>
            </w:r>
            <w:r>
              <w:rPr>
                <w:rFonts w:ascii="等线" w:hAnsi="等线" w:eastAsia="等线" w:cs="宋体"/>
                <w:color w:val="000000"/>
                <w:kern w:val="0"/>
                <w:sz w:val="22"/>
              </w:rPr>
              <w:t>AP CPU和内存占用率，支持统计每一个AP在一段时间内的接入用户数和上网流量及趋势变化；根据用户数、流量查看繁忙AP和空闲AP TOPN;</w:t>
            </w:r>
          </w:p>
        </w:tc>
      </w:tr>
      <w:tr>
        <w:tblPrEx>
          <w:tblCellMar>
            <w:top w:w="0" w:type="dxa"/>
            <w:left w:w="108" w:type="dxa"/>
            <w:bottom w:w="0" w:type="dxa"/>
            <w:right w:w="108" w:type="dxa"/>
          </w:tblCellMar>
        </w:tblPrEx>
        <w:trPr>
          <w:trHeight w:val="312" w:hRule="atLeast"/>
        </w:trPr>
        <w:tc>
          <w:tcPr>
            <w:tcW w:w="113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13</w:t>
            </w:r>
          </w:p>
        </w:tc>
        <w:tc>
          <w:tcPr>
            <w:tcW w:w="7088"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网关快速上线：支持本次招标网关设备便捷的部署上线，可通过微信小程序等方式引导配置从而使分支网关便捷接入到远端管理平台</w:t>
            </w:r>
          </w:p>
        </w:tc>
      </w:tr>
      <w:tr>
        <w:tblPrEx>
          <w:tblCellMar>
            <w:top w:w="0" w:type="dxa"/>
            <w:left w:w="108" w:type="dxa"/>
            <w:bottom w:w="0" w:type="dxa"/>
            <w:right w:w="108" w:type="dxa"/>
          </w:tblCellMar>
        </w:tblPrEx>
        <w:trPr>
          <w:trHeight w:val="312" w:hRule="atLeast"/>
        </w:trPr>
        <w:tc>
          <w:tcPr>
            <w:tcW w:w="113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微软雅黑" w:hAnsi="微软雅黑" w:eastAsia="微软雅黑" w:cs="宋体"/>
                <w:color w:val="000000"/>
                <w:kern w:val="0"/>
                <w:sz w:val="22"/>
              </w:rPr>
              <w:t>▲</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14</w:t>
            </w:r>
          </w:p>
        </w:tc>
        <w:tc>
          <w:tcPr>
            <w:tcW w:w="7088"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等线" w:hAnsi="等线" w:eastAsia="等线" w:cs="宋体"/>
                <w:color w:val="FF0000"/>
                <w:kern w:val="0"/>
                <w:sz w:val="22"/>
                <w:highlight w:val="yellow"/>
              </w:rPr>
            </w:pPr>
            <w:r>
              <w:rPr>
                <w:rFonts w:hint="eastAsia" w:ascii="等线" w:hAnsi="等线" w:eastAsia="等线" w:cs="宋体"/>
                <w:color w:val="000000"/>
                <w:kern w:val="0"/>
                <w:sz w:val="22"/>
              </w:rPr>
              <w:t>支持统计系统安全事件次数并呈现环比状态，包含但不限于呈现钓鱼AP、非法AD-Hoc、无线泛洪攻击等安全事件的次数。（提供实际功能截图）</w:t>
            </w:r>
          </w:p>
        </w:tc>
      </w:tr>
      <w:tr>
        <w:tblPrEx>
          <w:tblCellMar>
            <w:top w:w="0" w:type="dxa"/>
            <w:left w:w="108" w:type="dxa"/>
            <w:bottom w:w="0" w:type="dxa"/>
            <w:right w:w="108" w:type="dxa"/>
          </w:tblCellMar>
        </w:tblPrEx>
        <w:trPr>
          <w:trHeight w:val="312" w:hRule="atLeast"/>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15</w:t>
            </w:r>
          </w:p>
        </w:tc>
        <w:tc>
          <w:tcPr>
            <w:tcW w:w="7088"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等线" w:hAnsi="等线" w:eastAsia="等线" w:cs="宋体"/>
                <w:color w:val="FF0000"/>
                <w:kern w:val="0"/>
                <w:sz w:val="22"/>
                <w:highlight w:val="yellow"/>
              </w:rPr>
            </w:pPr>
            <w:r>
              <w:rPr>
                <w:rFonts w:hint="eastAsia" w:ascii="等线" w:hAnsi="等线" w:eastAsia="等线" w:cs="宋体"/>
                <w:color w:val="000000"/>
                <w:kern w:val="0"/>
                <w:sz w:val="22"/>
              </w:rPr>
              <w:t>为了预防办公Wi-Fi安全风险，需要支持对防钓鱼Wi-Fi、私接无线路由器的实时检测、告警及反制</w:t>
            </w:r>
          </w:p>
        </w:tc>
      </w:tr>
      <w:tr>
        <w:tblPrEx>
          <w:tblCellMar>
            <w:top w:w="0" w:type="dxa"/>
            <w:left w:w="108" w:type="dxa"/>
            <w:bottom w:w="0" w:type="dxa"/>
            <w:right w:w="108" w:type="dxa"/>
          </w:tblCellMar>
        </w:tblPrEx>
        <w:trPr>
          <w:trHeight w:val="312" w:hRule="atLeast"/>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16</w:t>
            </w:r>
          </w:p>
        </w:tc>
        <w:tc>
          <w:tcPr>
            <w:tcW w:w="7088"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等线" w:hAnsi="等线" w:eastAsia="等线" w:cs="宋体"/>
                <w:color w:val="FF0000"/>
                <w:kern w:val="0"/>
                <w:sz w:val="22"/>
                <w:highlight w:val="yellow"/>
              </w:rPr>
            </w:pPr>
            <w:r>
              <w:rPr>
                <w:rFonts w:hint="eastAsia" w:ascii="等线" w:hAnsi="等线" w:eastAsia="等线" w:cs="宋体"/>
                <w:color w:val="000000"/>
                <w:kern w:val="0"/>
                <w:sz w:val="22"/>
              </w:rPr>
              <w:t>支持针对合法终端接入非信任网络的状态进行识别并预警。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4" w:type="dxa"/>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参数性质</w:t>
            </w:r>
          </w:p>
        </w:tc>
        <w:tc>
          <w:tcPr>
            <w:tcW w:w="709" w:type="dxa"/>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序号</w:t>
            </w:r>
          </w:p>
        </w:tc>
        <w:tc>
          <w:tcPr>
            <w:tcW w:w="7088" w:type="dxa"/>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具体技术(参数)要求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4" w:type="dxa"/>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709" w:type="dxa"/>
            <w:shd w:val="clear" w:color="auto" w:fill="auto"/>
            <w:vAlign w:val="center"/>
          </w:tcPr>
          <w:p>
            <w:pPr>
              <w:widowControl/>
              <w:jc w:val="center"/>
              <w:rPr>
                <w:rFonts w:hint="default" w:ascii="等线" w:hAnsi="等线" w:eastAsia="等线" w:cs="宋体"/>
                <w:color w:val="000000"/>
                <w:kern w:val="0"/>
                <w:sz w:val="22"/>
                <w:lang w:val="en-US" w:eastAsia="zh-CN"/>
              </w:rPr>
            </w:pPr>
            <w:r>
              <w:rPr>
                <w:rFonts w:hint="eastAsia" w:ascii="等线" w:hAnsi="等线" w:eastAsia="等线" w:cs="宋体"/>
                <w:color w:val="000000"/>
                <w:kern w:val="0"/>
                <w:sz w:val="22"/>
                <w:lang w:val="en-US" w:eastAsia="zh-CN"/>
              </w:rPr>
              <w:t>17</w:t>
            </w:r>
          </w:p>
        </w:tc>
        <w:tc>
          <w:tcPr>
            <w:tcW w:w="7088" w:type="dxa"/>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支持通过无线网络管理平台软件模块升级认证平台功能，或通过独立认证平台实现上网实名认证。（若通过独立认证平台实现，需实配相应硬件平台以及软件系统）</w:t>
            </w:r>
            <w:r>
              <w:rPr>
                <w:rFonts w:ascii="等线" w:hAnsi="等线" w:eastAsia="等线" w:cs="宋体"/>
                <w:color w:val="000000"/>
                <w:kern w:val="0"/>
                <w:sz w:val="22"/>
              </w:rPr>
              <w:t>实配终端认证授权≥15000，支持并发认证数≥900个/s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4" w:type="dxa"/>
            <w:shd w:val="clear" w:color="auto" w:fill="auto"/>
            <w:vAlign w:val="center"/>
          </w:tcPr>
          <w:p>
            <w:pPr>
              <w:widowControl/>
              <w:jc w:val="center"/>
              <w:rPr>
                <w:rFonts w:ascii="等线" w:hAnsi="等线" w:eastAsia="等线" w:cs="宋体"/>
                <w:color w:val="000000"/>
                <w:kern w:val="0"/>
                <w:sz w:val="22"/>
              </w:rPr>
            </w:pPr>
          </w:p>
        </w:tc>
        <w:tc>
          <w:tcPr>
            <w:tcW w:w="709" w:type="dxa"/>
            <w:shd w:val="clear" w:color="auto" w:fill="auto"/>
            <w:vAlign w:val="center"/>
          </w:tcPr>
          <w:p>
            <w:pPr>
              <w:widowControl/>
              <w:jc w:val="center"/>
              <w:rPr>
                <w:rFonts w:hint="default" w:ascii="等线" w:hAnsi="等线" w:eastAsia="等线" w:cs="宋体"/>
                <w:color w:val="000000"/>
                <w:kern w:val="0"/>
                <w:sz w:val="22"/>
                <w:lang w:val="en-US" w:eastAsia="zh-CN"/>
              </w:rPr>
            </w:pPr>
            <w:r>
              <w:rPr>
                <w:rFonts w:hint="eastAsia" w:ascii="等线" w:hAnsi="等线" w:eastAsia="等线" w:cs="宋体"/>
                <w:color w:val="000000"/>
                <w:kern w:val="0"/>
                <w:sz w:val="22"/>
                <w:lang w:val="en-US" w:eastAsia="zh-CN"/>
              </w:rPr>
              <w:t>18</w:t>
            </w:r>
          </w:p>
        </w:tc>
        <w:tc>
          <w:tcPr>
            <w:tcW w:w="7088" w:type="dxa"/>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支持</w:t>
            </w:r>
            <w:r>
              <w:rPr>
                <w:rFonts w:ascii="等线" w:hAnsi="等线" w:eastAsia="等线" w:cs="宋体"/>
                <w:color w:val="000000"/>
                <w:kern w:val="0"/>
                <w:sz w:val="22"/>
              </w:rPr>
              <w:t>802.1x、Portal、MAC地址认证、CA证书认证、802.1X WEP等企业认证，以及二维码审核认证、短信认证、APP认证、临时访客账号等外来访客认证方式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4" w:type="dxa"/>
            <w:shd w:val="clear" w:color="auto" w:fill="auto"/>
            <w:vAlign w:val="center"/>
          </w:tcPr>
          <w:p>
            <w:pPr>
              <w:widowControl/>
              <w:jc w:val="center"/>
              <w:rPr>
                <w:rFonts w:ascii="等线" w:hAnsi="等线" w:eastAsia="等线" w:cs="宋体"/>
                <w:color w:val="000000"/>
                <w:kern w:val="0"/>
                <w:sz w:val="22"/>
              </w:rPr>
            </w:pPr>
            <w:r>
              <w:rPr>
                <w:rFonts w:hint="eastAsia" w:ascii="微软雅黑" w:hAnsi="微软雅黑" w:eastAsia="微软雅黑" w:cs="宋体"/>
                <w:color w:val="000000"/>
                <w:kern w:val="0"/>
                <w:sz w:val="22"/>
              </w:rPr>
              <w:t>▲</w:t>
            </w:r>
          </w:p>
        </w:tc>
        <w:tc>
          <w:tcPr>
            <w:tcW w:w="709" w:type="dxa"/>
            <w:shd w:val="clear" w:color="auto" w:fill="auto"/>
            <w:vAlign w:val="center"/>
          </w:tcPr>
          <w:p>
            <w:pPr>
              <w:widowControl/>
              <w:jc w:val="center"/>
              <w:rPr>
                <w:rFonts w:hint="default" w:ascii="等线" w:hAnsi="等线" w:eastAsia="等线" w:cs="宋体"/>
                <w:color w:val="000000"/>
                <w:kern w:val="0"/>
                <w:sz w:val="22"/>
                <w:lang w:val="en-US" w:eastAsia="zh-CN"/>
              </w:rPr>
            </w:pPr>
            <w:r>
              <w:rPr>
                <w:rFonts w:hint="eastAsia" w:ascii="等线" w:hAnsi="等线" w:eastAsia="等线" w:cs="宋体"/>
                <w:color w:val="000000"/>
                <w:kern w:val="0"/>
                <w:sz w:val="22"/>
                <w:lang w:val="en-US" w:eastAsia="zh-CN"/>
              </w:rPr>
              <w:t>19</w:t>
            </w:r>
          </w:p>
        </w:tc>
        <w:tc>
          <w:tcPr>
            <w:tcW w:w="7088" w:type="dxa"/>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移动办公认证对接：支持对接采购人现有钉钉移动办公平台用户认证，支持同步组织架构实现不同部门人员分配不同的上网权限策略，同时用户端可以直接通过</w:t>
            </w:r>
            <w:r>
              <w:rPr>
                <w:rFonts w:ascii="等线" w:hAnsi="等线" w:eastAsia="等线" w:cs="宋体"/>
                <w:color w:val="000000"/>
                <w:kern w:val="0"/>
                <w:sz w:val="22"/>
              </w:rPr>
              <w:t>APP或轻应用即可自助管理账号密码</w:t>
            </w:r>
            <w:r>
              <w:rPr>
                <w:rFonts w:hint="eastAsia" w:ascii="等线" w:hAnsi="等线" w:eastAsia="等线" w:cs="宋体"/>
                <w:color w:val="000000"/>
                <w:kern w:val="0"/>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4" w:type="dxa"/>
            <w:shd w:val="clear" w:color="auto" w:fill="auto"/>
            <w:vAlign w:val="center"/>
          </w:tcPr>
          <w:p>
            <w:pPr>
              <w:widowControl/>
              <w:jc w:val="center"/>
              <w:rPr>
                <w:rFonts w:ascii="等线" w:hAnsi="等线" w:eastAsia="等线" w:cs="宋体"/>
                <w:color w:val="000000"/>
                <w:kern w:val="0"/>
                <w:sz w:val="22"/>
              </w:rPr>
            </w:pPr>
            <w:r>
              <w:rPr>
                <w:rFonts w:hint="eastAsia" w:ascii="微软雅黑" w:hAnsi="微软雅黑" w:eastAsia="微软雅黑" w:cs="宋体"/>
                <w:color w:val="000000"/>
                <w:kern w:val="0"/>
                <w:sz w:val="22"/>
              </w:rPr>
              <w:t>▲</w:t>
            </w:r>
          </w:p>
        </w:tc>
        <w:tc>
          <w:tcPr>
            <w:tcW w:w="709" w:type="dxa"/>
            <w:shd w:val="clear" w:color="auto" w:fill="auto"/>
            <w:vAlign w:val="center"/>
          </w:tcPr>
          <w:p>
            <w:pPr>
              <w:widowControl/>
              <w:jc w:val="center"/>
              <w:rPr>
                <w:rFonts w:hint="default" w:ascii="等线" w:hAnsi="等线" w:eastAsia="等线" w:cs="宋体"/>
                <w:color w:val="000000"/>
                <w:kern w:val="0"/>
                <w:sz w:val="22"/>
                <w:lang w:val="en-US" w:eastAsia="zh-CN"/>
              </w:rPr>
            </w:pPr>
            <w:r>
              <w:rPr>
                <w:rFonts w:hint="eastAsia" w:ascii="等线" w:hAnsi="等线" w:eastAsia="等线" w:cs="宋体"/>
                <w:color w:val="000000"/>
                <w:kern w:val="0"/>
                <w:sz w:val="22"/>
                <w:lang w:val="en-US" w:eastAsia="zh-CN"/>
              </w:rPr>
              <w:t>20</w:t>
            </w:r>
          </w:p>
        </w:tc>
        <w:tc>
          <w:tcPr>
            <w:tcW w:w="7088" w:type="dxa"/>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第三方平台认证对接：支持对接采购人现有无线网络系统实现统一实名认证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4" w:type="dxa"/>
            <w:shd w:val="clear" w:color="auto" w:fill="auto"/>
            <w:vAlign w:val="center"/>
          </w:tcPr>
          <w:p>
            <w:pPr>
              <w:widowControl/>
              <w:jc w:val="center"/>
              <w:rPr>
                <w:rFonts w:ascii="等线" w:hAnsi="等线" w:eastAsia="等线" w:cs="宋体"/>
                <w:color w:val="000000"/>
                <w:kern w:val="0"/>
                <w:sz w:val="22"/>
              </w:rPr>
            </w:pPr>
          </w:p>
        </w:tc>
        <w:tc>
          <w:tcPr>
            <w:tcW w:w="709" w:type="dxa"/>
            <w:shd w:val="clear" w:color="auto" w:fill="auto"/>
            <w:vAlign w:val="center"/>
          </w:tcPr>
          <w:p>
            <w:pPr>
              <w:widowControl/>
              <w:jc w:val="center"/>
              <w:rPr>
                <w:rFonts w:hint="default" w:ascii="等线" w:hAnsi="等线" w:eastAsia="等线" w:cs="宋体"/>
                <w:color w:val="000000"/>
                <w:kern w:val="0"/>
                <w:sz w:val="22"/>
                <w:lang w:val="en-US" w:eastAsia="zh-CN"/>
              </w:rPr>
            </w:pPr>
            <w:r>
              <w:rPr>
                <w:rFonts w:hint="eastAsia" w:ascii="等线" w:hAnsi="等线" w:eastAsia="等线" w:cs="宋体"/>
                <w:color w:val="000000"/>
                <w:kern w:val="0"/>
                <w:sz w:val="22"/>
                <w:lang w:val="en-US" w:eastAsia="zh-CN"/>
              </w:rPr>
              <w:t>21</w:t>
            </w:r>
          </w:p>
        </w:tc>
        <w:tc>
          <w:tcPr>
            <w:tcW w:w="7088" w:type="dxa"/>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支持</w:t>
            </w:r>
            <w:r>
              <w:rPr>
                <w:rFonts w:ascii="等线" w:hAnsi="等线" w:eastAsia="等线" w:cs="宋体"/>
                <w:color w:val="000000"/>
                <w:kern w:val="0"/>
                <w:sz w:val="22"/>
              </w:rPr>
              <w:t>Portal认证页面自定义，包括页面展示信息、页面标题、文字描述、免责声明等信息；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4" w:type="dxa"/>
            <w:shd w:val="clear" w:color="auto" w:fill="auto"/>
            <w:vAlign w:val="center"/>
          </w:tcPr>
          <w:p>
            <w:pPr>
              <w:widowControl/>
              <w:jc w:val="center"/>
              <w:rPr>
                <w:rFonts w:ascii="等线" w:hAnsi="等线" w:eastAsia="等线" w:cs="宋体"/>
                <w:color w:val="000000"/>
                <w:kern w:val="0"/>
                <w:sz w:val="22"/>
              </w:rPr>
            </w:pPr>
          </w:p>
        </w:tc>
        <w:tc>
          <w:tcPr>
            <w:tcW w:w="709" w:type="dxa"/>
            <w:shd w:val="clear" w:color="auto" w:fill="auto"/>
            <w:vAlign w:val="center"/>
          </w:tcPr>
          <w:p>
            <w:pPr>
              <w:widowControl/>
              <w:jc w:val="center"/>
              <w:rPr>
                <w:rFonts w:hint="default" w:ascii="等线" w:hAnsi="等线" w:eastAsia="等线" w:cs="宋体"/>
                <w:color w:val="000000"/>
                <w:kern w:val="0"/>
                <w:sz w:val="22"/>
                <w:lang w:val="en-US" w:eastAsia="zh-CN"/>
              </w:rPr>
            </w:pPr>
            <w:r>
              <w:rPr>
                <w:rFonts w:hint="eastAsia" w:ascii="等线" w:hAnsi="等线" w:eastAsia="等线" w:cs="宋体"/>
                <w:color w:val="000000"/>
                <w:kern w:val="0"/>
                <w:sz w:val="22"/>
                <w:lang w:val="en-US" w:eastAsia="zh-CN"/>
              </w:rPr>
              <w:t>22</w:t>
            </w:r>
          </w:p>
        </w:tc>
        <w:tc>
          <w:tcPr>
            <w:tcW w:w="7088" w:type="dxa"/>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支持短信认证的有效期设置和短信验证码的有效期设置，在短信认证有效期内，不用重新认证，在验证码有效期内，不用重新获取验证码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4" w:type="dxa"/>
            <w:shd w:val="clear" w:color="auto" w:fill="auto"/>
            <w:vAlign w:val="center"/>
          </w:tcPr>
          <w:p>
            <w:pPr>
              <w:widowControl/>
              <w:jc w:val="center"/>
              <w:rPr>
                <w:rFonts w:ascii="等线" w:hAnsi="等线" w:eastAsia="等线" w:cs="宋体"/>
                <w:color w:val="000000"/>
                <w:kern w:val="0"/>
                <w:sz w:val="22"/>
              </w:rPr>
            </w:pPr>
          </w:p>
        </w:tc>
        <w:tc>
          <w:tcPr>
            <w:tcW w:w="709" w:type="dxa"/>
            <w:shd w:val="clear" w:color="auto" w:fill="auto"/>
            <w:vAlign w:val="center"/>
          </w:tcPr>
          <w:p>
            <w:pPr>
              <w:widowControl/>
              <w:jc w:val="center"/>
              <w:rPr>
                <w:rFonts w:hint="default" w:ascii="等线" w:hAnsi="等线" w:eastAsia="等线" w:cs="宋体"/>
                <w:color w:val="000000"/>
                <w:kern w:val="0"/>
                <w:sz w:val="22"/>
                <w:lang w:val="en-US" w:eastAsia="zh-CN"/>
              </w:rPr>
            </w:pPr>
            <w:r>
              <w:rPr>
                <w:rFonts w:hint="eastAsia" w:ascii="等线" w:hAnsi="等线" w:eastAsia="等线" w:cs="宋体"/>
                <w:color w:val="000000"/>
                <w:kern w:val="0"/>
                <w:sz w:val="22"/>
                <w:lang w:val="en-US" w:eastAsia="zh-CN"/>
              </w:rPr>
              <w:t>23</w:t>
            </w:r>
          </w:p>
        </w:tc>
        <w:tc>
          <w:tcPr>
            <w:tcW w:w="7088" w:type="dxa"/>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支持账号自注册认证方式，通过手机号码白名单来自助设置账号密码，并且支持通过手机号码找回密码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4" w:type="dxa"/>
            <w:shd w:val="clear" w:color="auto" w:fill="auto"/>
            <w:vAlign w:val="center"/>
          </w:tcPr>
          <w:p>
            <w:pPr>
              <w:widowControl/>
              <w:jc w:val="center"/>
              <w:rPr>
                <w:rFonts w:ascii="等线" w:hAnsi="等线" w:eastAsia="等线" w:cs="宋体"/>
                <w:color w:val="000000"/>
                <w:kern w:val="0"/>
                <w:sz w:val="22"/>
              </w:rPr>
            </w:pPr>
          </w:p>
        </w:tc>
        <w:tc>
          <w:tcPr>
            <w:tcW w:w="709" w:type="dxa"/>
            <w:shd w:val="clear" w:color="auto" w:fill="auto"/>
            <w:vAlign w:val="center"/>
          </w:tcPr>
          <w:p>
            <w:pPr>
              <w:widowControl/>
              <w:jc w:val="center"/>
              <w:rPr>
                <w:rFonts w:hint="default" w:ascii="等线" w:hAnsi="等线" w:eastAsia="等线" w:cs="宋体"/>
                <w:color w:val="000000"/>
                <w:kern w:val="0"/>
                <w:sz w:val="22"/>
                <w:lang w:val="en-US" w:eastAsia="zh-CN"/>
              </w:rPr>
            </w:pPr>
            <w:r>
              <w:rPr>
                <w:rFonts w:hint="eastAsia" w:ascii="等线" w:hAnsi="等线" w:eastAsia="等线" w:cs="宋体"/>
                <w:color w:val="000000"/>
                <w:kern w:val="0"/>
                <w:sz w:val="22"/>
                <w:lang w:val="en-US" w:eastAsia="zh-CN"/>
              </w:rPr>
              <w:t>24</w:t>
            </w:r>
          </w:p>
        </w:tc>
        <w:tc>
          <w:tcPr>
            <w:tcW w:w="7088" w:type="dxa"/>
            <w:shd w:val="clear" w:color="auto" w:fill="auto"/>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支持限制同一个账号在多个终端同时登录，可以根据实际情况设置阈值，达到上限后禁止新终端接入或强迫最早接入的终端下线；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4" w:type="dxa"/>
            <w:shd w:val="clear" w:color="auto" w:fill="auto"/>
            <w:vAlign w:val="center"/>
          </w:tcPr>
          <w:p>
            <w:pPr>
              <w:widowControl/>
              <w:jc w:val="center"/>
              <w:rPr>
                <w:rFonts w:ascii="等线" w:hAnsi="等线" w:eastAsia="等线" w:cs="宋体"/>
                <w:color w:val="000000"/>
                <w:kern w:val="0"/>
                <w:sz w:val="22"/>
              </w:rPr>
            </w:pPr>
            <w:r>
              <w:rPr>
                <w:rFonts w:hint="eastAsia" w:ascii="微软雅黑" w:hAnsi="微软雅黑" w:eastAsia="微软雅黑" w:cs="宋体"/>
                <w:color w:val="000000"/>
                <w:kern w:val="0"/>
                <w:sz w:val="22"/>
              </w:rPr>
              <w:t>▲</w:t>
            </w:r>
          </w:p>
        </w:tc>
        <w:tc>
          <w:tcPr>
            <w:tcW w:w="709" w:type="dxa"/>
            <w:shd w:val="clear" w:color="auto" w:fill="auto"/>
            <w:vAlign w:val="center"/>
          </w:tcPr>
          <w:p>
            <w:pPr>
              <w:widowControl/>
              <w:jc w:val="center"/>
              <w:rPr>
                <w:rFonts w:hint="default" w:ascii="等线" w:hAnsi="等线" w:eastAsia="等线" w:cs="宋体"/>
                <w:color w:val="000000"/>
                <w:kern w:val="0"/>
                <w:sz w:val="22"/>
                <w:lang w:val="en-US" w:eastAsia="zh-CN"/>
              </w:rPr>
            </w:pPr>
            <w:r>
              <w:rPr>
                <w:rFonts w:hint="eastAsia" w:ascii="等线" w:hAnsi="等线" w:eastAsia="等线" w:cs="宋体"/>
                <w:color w:val="000000"/>
                <w:kern w:val="0"/>
                <w:sz w:val="22"/>
                <w:lang w:val="en-US" w:eastAsia="zh-CN"/>
              </w:rPr>
              <w:t>25</w:t>
            </w:r>
          </w:p>
        </w:tc>
        <w:tc>
          <w:tcPr>
            <w:tcW w:w="7088" w:type="dxa"/>
            <w:shd w:val="clear" w:color="auto" w:fill="auto"/>
            <w:vAlign w:val="center"/>
          </w:tcPr>
          <w:p>
            <w:pPr>
              <w:widowControl/>
              <w:jc w:val="left"/>
              <w:rPr>
                <w:rFonts w:hint="eastAsia" w:ascii="等线" w:hAnsi="等线" w:eastAsia="等线" w:cs="宋体"/>
                <w:color w:val="000000"/>
                <w:kern w:val="0"/>
                <w:sz w:val="22"/>
              </w:rPr>
            </w:pPr>
            <w:r>
              <w:rPr>
                <w:rFonts w:ascii="等线" w:hAnsi="等线" w:eastAsia="等线" w:cs="宋体"/>
                <w:b/>
                <w:bCs/>
                <w:color w:val="000000"/>
                <w:kern w:val="0"/>
                <w:sz w:val="22"/>
              </w:rPr>
              <w:t>投标人需提供所投产品制造商出具的三年原厂质保证明材料。</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BD0B02"/>
    <w:multiLevelType w:val="multilevel"/>
    <w:tmpl w:val="72BD0B02"/>
    <w:lvl w:ilvl="0" w:tentative="0">
      <w:start w:val="1"/>
      <w:numFmt w:val="none"/>
      <w:pStyle w:val="8"/>
      <w:isLgl/>
      <w:lvlText w:val="%1"/>
      <w:lvlJc w:val="left"/>
      <w:pPr>
        <w:ind w:left="0" w:firstLine="0"/>
      </w:pPr>
      <w:rPr>
        <w:rFonts w:hint="eastAsia"/>
      </w:rPr>
    </w:lvl>
    <w:lvl w:ilvl="1" w:tentative="0">
      <w:start w:val="1"/>
      <w:numFmt w:val="decimal"/>
      <w:isLgl/>
      <w:lvlText w:val="%1%2、"/>
      <w:lvlJc w:val="left"/>
      <w:pPr>
        <w:ind w:left="284" w:firstLine="0"/>
      </w:pPr>
      <w:rPr>
        <w:rFonts w:hint="eastAsia"/>
      </w:rPr>
    </w:lvl>
    <w:lvl w:ilvl="2" w:tentative="0">
      <w:start w:val="1"/>
      <w:numFmt w:val="decimal"/>
      <w:isLgl/>
      <w:lvlText w:val="%1%2.%3"/>
      <w:lvlJc w:val="left"/>
      <w:pPr>
        <w:ind w:left="568" w:firstLine="0"/>
      </w:pPr>
      <w:rPr>
        <w:rFonts w:hint="eastAsia"/>
      </w:rPr>
    </w:lvl>
    <w:lvl w:ilvl="3" w:tentative="0">
      <w:start w:val="1"/>
      <w:numFmt w:val="decimal"/>
      <w:isLgl/>
      <w:lvlText w:val="%1%2.%3.%4"/>
      <w:lvlJc w:val="left"/>
      <w:pPr>
        <w:ind w:left="852" w:firstLine="0"/>
      </w:pPr>
      <w:rPr>
        <w:rFonts w:hint="eastAsia"/>
      </w:rPr>
    </w:lvl>
    <w:lvl w:ilvl="4" w:tentative="0">
      <w:start w:val="1"/>
      <w:numFmt w:val="decimal"/>
      <w:isLgl/>
      <w:lvlText w:val="%1%2.%3.%4.%5"/>
      <w:lvlJc w:val="left"/>
      <w:pPr>
        <w:ind w:left="1136" w:firstLine="0"/>
      </w:pPr>
      <w:rPr>
        <w:rFonts w:hint="eastAsia"/>
      </w:rPr>
    </w:lvl>
    <w:lvl w:ilvl="5" w:tentative="0">
      <w:start w:val="1"/>
      <w:numFmt w:val="decimal"/>
      <w:isLgl/>
      <w:lvlText w:val="%1%2.%3.%4.%5.%6"/>
      <w:lvlJc w:val="left"/>
      <w:pPr>
        <w:ind w:left="1420" w:firstLine="0"/>
      </w:pPr>
      <w:rPr>
        <w:rFonts w:hint="eastAsia"/>
      </w:rPr>
    </w:lvl>
    <w:lvl w:ilvl="6" w:tentative="0">
      <w:start w:val="1"/>
      <w:numFmt w:val="decimal"/>
      <w:isLgl/>
      <w:lvlText w:val="%1%2.%3.%4.%5.%6.%7"/>
      <w:lvlJc w:val="left"/>
      <w:rPr>
        <w:rFonts w:hint="eastAsia"/>
        <w:b w:val="0"/>
        <w:bCs w:val="0"/>
        <w:i w:val="0"/>
        <w:iCs w:val="0"/>
        <w:caps w:val="0"/>
        <w:smallCaps w:val="0"/>
        <w:strike w:val="0"/>
        <w:dstrike w:val="0"/>
        <w:vanish w:val="0"/>
        <w:spacing w:val="0"/>
        <w:position w:val="0"/>
        <w:u w:val="none"/>
        <w:vertAlign w:val="baseline"/>
      </w:rPr>
    </w:lvl>
    <w:lvl w:ilvl="7" w:tentative="0">
      <w:start w:val="1"/>
      <w:numFmt w:val="decimal"/>
      <w:isLgl/>
      <w:lvlText w:val="%1%2.%3.%4.%5.%6.%7.%8"/>
      <w:lvlJc w:val="left"/>
      <w:pPr>
        <w:ind w:left="1988" w:firstLine="0"/>
      </w:pPr>
      <w:rPr>
        <w:rFonts w:hint="eastAsia"/>
      </w:rPr>
    </w:lvl>
    <w:lvl w:ilvl="8" w:tentative="0">
      <w:start w:val="1"/>
      <w:numFmt w:val="decimal"/>
      <w:isLgl/>
      <w:lvlText w:val="%1%2.%3.%4.%5.%6.%7.%8.%9"/>
      <w:lvlJc w:val="left"/>
      <w:pPr>
        <w:ind w:left="2272"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kMWYzM2RjZTM0MmE5MGUzN2Y4YWQ4N2NhMGIyY2IifQ=="/>
  </w:docVars>
  <w:rsids>
    <w:rsidRoot w:val="259F0AD9"/>
    <w:rsid w:val="00836A6C"/>
    <w:rsid w:val="0093594F"/>
    <w:rsid w:val="00B66588"/>
    <w:rsid w:val="00B721FF"/>
    <w:rsid w:val="00E62515"/>
    <w:rsid w:val="259F0AD9"/>
    <w:rsid w:val="406C0B44"/>
    <w:rsid w:val="46EC7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标题1"/>
    <w:basedOn w:val="2"/>
    <w:next w:val="1"/>
    <w:qFormat/>
    <w:uiPriority w:val="0"/>
    <w:pPr>
      <w:pageBreakBefore/>
      <w:numPr>
        <w:ilvl w:val="0"/>
        <w:numId w:val="1"/>
      </w:numPr>
      <w:autoSpaceDE w:val="0"/>
      <w:autoSpaceDN w:val="0"/>
      <w:snapToGrid w:val="0"/>
      <w:spacing w:before="120" w:after="120" w:line="360" w:lineRule="auto"/>
    </w:pPr>
    <w:rPr>
      <w:rFonts w:ascii="Times New Roman" w:hAnsi="Times New Roman" w:eastAsia="黑体"/>
      <w:sz w:val="32"/>
    </w:rPr>
  </w:style>
  <w:style w:type="character" w:customStyle="1" w:styleId="9">
    <w:name w:val="页眉 字符"/>
    <w:basedOn w:val="7"/>
    <w:link w:val="5"/>
    <w:uiPriority w:val="0"/>
    <w:rPr>
      <w:kern w:val="2"/>
      <w:sz w:val="18"/>
      <w:szCs w:val="18"/>
    </w:rPr>
  </w:style>
  <w:style w:type="character" w:customStyle="1" w:styleId="10">
    <w:name w:val="页脚 字符"/>
    <w:basedOn w:val="7"/>
    <w:link w:val="4"/>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268</Words>
  <Characters>1528</Characters>
  <Lines>12</Lines>
  <Paragraphs>3</Paragraphs>
  <TotalTime>0</TotalTime>
  <ScaleCrop>false</ScaleCrop>
  <LinksUpToDate>false</LinksUpToDate>
  <CharactersWithSpaces>1793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2022-06-23T02:32:00Z</dcterms:created>
  <dc:creator>A妞、</dc:creator>
  <cp:lastModifiedBy>A妞、</cp:lastModifiedBy>
  <dcterms:modified xsi:type="dcterms:W3CDTF">2022-06-24T07:39:19Z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A4841D6BD86D444F98FFC7980B53AF4B</vt:lpwstr>
  </property>
</Properties>
</file>