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网管平台</w:t>
      </w:r>
    </w:p>
    <w:tbl>
      <w:tblPr>
        <w:tblStyle w:val="5"/>
        <w:tblW w:w="8931" w:type="dxa"/>
        <w:tblInd w:w="-5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7"/>
        <w:gridCol w:w="888"/>
        <w:gridCol w:w="691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参数性质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691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440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具体技术(参数)要求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440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▲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440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691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网管平台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:支持SDN协议（NetConf/YANG、SNMP）实现大规模的网络设备配置自动化、支持Telemetry采集设备性能/告警数据/用户数据，并基于大数据等合统计分析，基于AI预测网络故障和闭环网络问题，无线射频智能调优。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440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▲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440"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2</w:t>
            </w:r>
          </w:p>
        </w:tc>
        <w:tc>
          <w:tcPr>
            <w:tcW w:w="691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管理网络设备类型：支持纳管教育局及下属学校网络设备，包含交换机、无线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WAC和AP、防火墙和路由器等设备，也支持纳管数据中心交换机，骨干路由器等网络设备。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440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440"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3</w:t>
            </w:r>
          </w:p>
        </w:tc>
        <w:tc>
          <w:tcPr>
            <w:tcW w:w="691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零配置开局：支持有线和无线网络的零配置开局，通过多种即插即用技术（如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DHCP Option、App扫码开局、邮件开局等）提升交换机和WIFI等设备的上线效率，即可提供网络服务。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440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▲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440"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4</w:t>
            </w:r>
          </w:p>
        </w:tc>
        <w:tc>
          <w:tcPr>
            <w:tcW w:w="691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网络拓扑：支持管理员导入物理拓扑和自动生成物理拓扑；拓扑支持展示设备、端口和链路的状态信息。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440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▲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440"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5</w:t>
            </w:r>
          </w:p>
        </w:tc>
        <w:tc>
          <w:tcPr>
            <w:tcW w:w="691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批量网络配置：支持交换机和无线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WIFI网络设备的批量自动化配置。投标方必须提供功能截图。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440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440"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6</w:t>
            </w:r>
          </w:p>
        </w:tc>
        <w:tc>
          <w:tcPr>
            <w:tcW w:w="691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VIP用户优先保障：支持通过空口调度策略，保障VIP用户优先接入网络。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440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▲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440"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7</w:t>
            </w:r>
          </w:p>
        </w:tc>
        <w:tc>
          <w:tcPr>
            <w:tcW w:w="691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网络自动化：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在Overlay通过VxLAN实现网络自动化配置，支持通过链路变更触发Underlay/Overlay自动化的重新编排。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440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▲</w:t>
            </w:r>
          </w:p>
        </w:tc>
        <w:tc>
          <w:tcPr>
            <w:tcW w:w="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440"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8</w:t>
            </w:r>
          </w:p>
        </w:tc>
        <w:tc>
          <w:tcPr>
            <w:tcW w:w="691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r>
              <w:rPr>
                <w:rFonts w:hint="eastAsia"/>
                <w:color w:val="auto"/>
                <w:shd w:val="clear" w:color="auto"/>
              </w:rPr>
              <w:t>有线</w:t>
            </w:r>
            <w:r>
              <w:rPr>
                <w:rFonts w:hint="eastAsia"/>
              </w:rPr>
              <w:t>网络准入认证：支持本地创建学校和帐号和角色，学校帐号和客户现有组织架构行政保持一致，角色可以绑定多个角色，方便制定基于学校、帐号、角色等维度进行准入认证策略。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440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▲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440"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9</w:t>
            </w:r>
          </w:p>
        </w:tc>
        <w:tc>
          <w:tcPr>
            <w:tcW w:w="691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hd w:val="clear" w:color="auto"/>
              </w:rPr>
              <w:t>有线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网络准入认证：支持与多个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AD/LDAP域名服务器同步，支持基于帐号属性映射成本地角色，通过角色进行网络准入授权。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440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▲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440"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1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691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highlight w:val="none"/>
                <w:shd w:val="clear" w:color="auto"/>
              </w:rPr>
              <w:t>有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hd w:val="clear" w:color="auto"/>
              </w:rPr>
              <w:t>线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网络准入认证：支持内置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CA服务器，满足企业CA运维管理，如个人证书颁布、挂失和过期处理，该个人证书可以作为网络准入认证身份源。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440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▲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440"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1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1</w:t>
            </w:r>
          </w:p>
        </w:tc>
        <w:tc>
          <w:tcPr>
            <w:tcW w:w="691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终端用户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highlight w:val="none"/>
                <w:shd w:val="clear" w:color="auto"/>
              </w:rPr>
              <w:t>有线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网络准入认证：支持多种认证技术，如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802.1x、MAC、基于HTTP 2.0（HACA）和Portal 2.0的Portal认证、VPN认证等多种认证方式；认证协议支持PAP、CHAP、EAP-MD5、EAP-PEAP-MSCHAPV2、EAP-TLS、EAP-TTLS-PAP、EAP-PEAP-GTC、HACA等。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440"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2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440"/>
              <w:jc w:val="center"/>
              <w:rPr>
                <w:rFonts w:hint="default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12</w:t>
            </w:r>
          </w:p>
        </w:tc>
        <w:tc>
          <w:tcPr>
            <w:tcW w:w="691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监控运维：基于租户内的站点维度统计用户无线接入数据，识别路人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\访客\接入用户的占比，用户接入时长，访客用户的重复访问率统计。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440"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2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440"/>
              <w:jc w:val="center"/>
              <w:rPr>
                <w:rFonts w:hint="default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13</w:t>
            </w:r>
          </w:p>
        </w:tc>
        <w:tc>
          <w:tcPr>
            <w:tcW w:w="691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监控运维：支持显示通过控制器进行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Portal认证的在线用户信息，在线用户信息包括：用户名、用户组、认证方式、访问策略、接入SSID、终端MAC地址、终端IP、登录时间和站点，在线用户信息支持导出。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440"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▲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440"/>
              <w:jc w:val="center"/>
              <w:rPr>
                <w:rFonts w:hint="default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14</w:t>
            </w:r>
          </w:p>
        </w:tc>
        <w:tc>
          <w:tcPr>
            <w:tcW w:w="691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监控运维：支持网络中的统计状态监视，包括网络流量统计、网络速率、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TOP N 设备流量，TOP N SSID流量，在线用户数等。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440"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2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440"/>
              <w:jc w:val="center"/>
              <w:rPr>
                <w:rFonts w:hint="default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15</w:t>
            </w:r>
          </w:p>
        </w:tc>
        <w:tc>
          <w:tcPr>
            <w:tcW w:w="691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例行维护：支持单设备或设备批量升级，支持基于时间模板对设备分批升级，支持离线创建升级任务，在设备上线时自动升级。支持补丁升级无需重启设备。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440"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2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440"/>
              <w:jc w:val="center"/>
              <w:rPr>
                <w:rFonts w:hint="default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16</w:t>
            </w:r>
          </w:p>
        </w:tc>
        <w:tc>
          <w:tcPr>
            <w:tcW w:w="691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故障诊断：支持命令行、远程控制（闪灯、远程重启），支持远程控制设备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Ping、测试、TraceRoute测试、射频Ping测试、虚拟电缆测试等功能，进行远程实时定位故障；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440"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2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440"/>
              <w:jc w:val="center"/>
              <w:rPr>
                <w:rFonts w:hint="default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17</w:t>
            </w:r>
          </w:p>
        </w:tc>
        <w:tc>
          <w:tcPr>
            <w:tcW w:w="691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故障诊断：系统统一运维，支持提供多种丰富的诊断工具，方便管理员对网络异常跟因进行定位。包含基础网络诊断：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ping、TraceRoute，远程信息采集；应用质量诊断工具：检测TCP应用AQM、时延、丢包率参数。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440"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2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440"/>
              <w:jc w:val="center"/>
              <w:rPr>
                <w:rFonts w:hint="default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18</w:t>
            </w:r>
          </w:p>
        </w:tc>
        <w:tc>
          <w:tcPr>
            <w:tcW w:w="691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故障诊断：支持通过控制器界面选择设备的端口抓包，支持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Web界面远程获取设备日志，快速对问题故障定位。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440"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sz w:val="28"/>
                <w:szCs w:val="28"/>
              </w:rPr>
              <w:t>★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440"/>
              <w:jc w:val="center"/>
              <w:rPr>
                <w:rFonts w:hint="default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19</w:t>
            </w:r>
            <w:bookmarkStart w:id="0" w:name="_GoBack"/>
            <w:bookmarkEnd w:id="0"/>
          </w:p>
        </w:tc>
        <w:tc>
          <w:tcPr>
            <w:tcW w:w="691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配置要求不低于以下配置：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1台承载服务器配置：2颗16核2.3GHz处理器,128G内存,4块1200GB SAS HDD硬盘,8个GE+4个 10GE光口,2*900W电源)，实配网络设备管理授权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  <w:highlight w:val="none"/>
                <w:shd w:val="clear"/>
              </w:rPr>
              <w:t>：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highlight w:val="none"/>
                <w:shd w:val="clear"/>
              </w:rPr>
              <w:t>7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  <w:highlight w:val="none"/>
                <w:shd w:val="clear"/>
              </w:rPr>
              <w:t>10个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lkMWYzM2RjZTM0MmE5MGUzN2Y4YWQ4N2NhMGIyY2IifQ=="/>
  </w:docVars>
  <w:rsids>
    <w:rsidRoot w:val="4A197C8B"/>
    <w:rsid w:val="00141D1D"/>
    <w:rsid w:val="001A3D8E"/>
    <w:rsid w:val="00A47D6C"/>
    <w:rsid w:val="1E8B7A96"/>
    <w:rsid w:val="296F6B9C"/>
    <w:rsid w:val="304F4D20"/>
    <w:rsid w:val="4A197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239</Words>
  <Characters>1368</Characters>
  <Lines>11</Lines>
  <Paragraphs>3</Paragraphs>
  <TotalTime>7</TotalTime>
  <ScaleCrop>false</ScaleCrop>
  <LinksUpToDate>false</LinksUpToDate>
  <CharactersWithSpaces>1604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2022-06-23T02:37:00Z</dcterms:created>
  <dc:creator>A妞、</dc:creator>
  <cp:lastModifiedBy>A妞、</cp:lastModifiedBy>
  <dcterms:modified xsi:type="dcterms:W3CDTF">2022-06-24T07:36:29Z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C71C3D4E0D2242799D6E11E836A98071</vt:lpwstr>
  </property>
</Properties>
</file>