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2782"/>
      <w:r>
        <w:rPr>
          <w:rFonts w:hint="eastAsia"/>
          <w:sz w:val="30"/>
          <w:szCs w:val="30"/>
          <w:lang w:val="en-US" w:eastAsia="zh-CN"/>
        </w:rPr>
        <w:t>24口交换机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336Gbps，包转发率≥50Mpps，整机端口数量不少于24个千兆电口，4个千兆SFP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保证整网建设的兼容性和统一性，实现统一纳管，要求网管平台与交换机可以实现策略的统一下发与配置管理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8B1376A"/>
    <w:rsid w:val="18B1376A"/>
    <w:rsid w:val="3061039A"/>
    <w:rsid w:val="342502B8"/>
    <w:rsid w:val="48F86FCF"/>
    <w:rsid w:val="56F126B1"/>
    <w:rsid w:val="5F6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262</Characters>
  <Lines>0</Lines>
  <Paragraphs>0</Paragraphs>
  <TotalTime>0</TotalTime>
  <ScaleCrop>false</ScaleCrop>
  <LinksUpToDate>false</LinksUpToDate>
  <CharactersWithSpaces>265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2022-06-24T07:46:28Z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81F036F8ABF642AEAAB108663FAD70B1</vt:lpwstr>
  </property>
</Properties>
</file>