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9568"/>
      <w:r>
        <w:rPr>
          <w:rFonts w:hint="eastAsia"/>
          <w:sz w:val="30"/>
          <w:szCs w:val="30"/>
          <w:lang w:val="en-US" w:eastAsia="zh-CN"/>
        </w:rPr>
        <w:t>光网络SDN控制器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交换机支持零配置上线。根据不同区域的业务创建相应业务模板后，绑定设备区域位置信息，设备开箱上电后配置即可自动从软件下发，无需在接入设备端刷入配置；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支持通过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excel批量导入、基于楼栋交换机端口两种方式绑定设备区域位置管理资产信息，适应不同工程厂商在网络开局阶段的工作流程，提供高效的资产登记和网络规划方案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支持创建交换机的业务模板，支持图形化界面提前规划各端口业务；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当室内交换机出现故障，支持替换用的新设备的零配置替换，新设备上电后配置自动下发，无需手动配置；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支持内嵌交换机引擎实现自动化运维功能，无需额外采购服务器；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支持光模块与光链路运维检测与故障告警，可查看详细信息，包括提供告警原因分析与处理建议；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出厂预置管理软件和业务模板，免安装，极速部署。支持即插即用零配置上线、智能零替换、光链路故障监测预警以及网络业务规划。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  <w:bookmarkStart w:id="1" w:name="_GoBack"/>
            <w:bookmarkEnd w:id="1"/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3EA411EE"/>
    <w:rsid w:val="2BB55086"/>
    <w:rsid w:val="3EA4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2022-06-23T02:52:00Z</dcterms:created>
  <dc:creator>A妞、</dc:creator>
  <cp:lastModifiedBy>A妞、</cp:lastModifiedBy>
  <dcterms:modified xsi:type="dcterms:W3CDTF">2022-06-24T04:26:35Z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7A1F763EAF6344D7A7D63850D00104ED</vt:lpwstr>
  </property>
</Properties>
</file>