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1264"/>
      <w:r>
        <w:rPr>
          <w:rFonts w:hint="eastAsia"/>
          <w:b/>
          <w:sz w:val="30"/>
          <w:szCs w:val="30"/>
        </w:rPr>
        <w:t>吸顶</w:t>
      </w:r>
      <w:r>
        <w:rPr>
          <w:rFonts w:hint="eastAsia"/>
          <w:b/>
          <w:sz w:val="30"/>
          <w:szCs w:val="30"/>
          <w:lang w:val="en-US" w:eastAsia="zh-CN"/>
        </w:rPr>
        <w:t>/壁挂</w:t>
      </w:r>
      <w:r>
        <w:rPr>
          <w:rFonts w:hint="eastAsia"/>
          <w:b/>
          <w:sz w:val="30"/>
          <w:szCs w:val="30"/>
        </w:rPr>
        <w:t>AP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整机采用三射频设计，2.4G最大传输速率≥570Mbps，5G最大传输速率≥2000Mbps，整机最大传输速率≥2.6Gbps；业务端口：千兆以太网口≥1个，并需提供1个RJ-45 Console管理口；USB接口≥1个，可拓展物联网模块使用，可外接U盘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发射功率：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AP发射功率≤20dBm（最大不超过100mw），且功率可调节（调节粒度为1dBm，调节范围为1dBm~20dBm）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802.3at标准的PoE供电；AP满负荷工作功耗≤20W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终端安全防护：为保障昆都仑区教育局职工终端无线上网的安全性，本次招标的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WIFI6-面板AP需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与昆区教育城域网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支持联动安全策略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下发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业务感知运维简单：支持对无线网络提供的服务进行检测，包括网络接入、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DHCP、网关、DNS、网络地址等阶段的时延和质量检测，并以时光轴的方式进行展示具体时间点的检测情况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支持自定义配置网络质量指标阈值，包括网络地址、接入时间、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DHCP请求时间、DNS解析平均时延、网关平均时延、网络丢包率等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758C68D8"/>
    <w:rsid w:val="009E247A"/>
    <w:rsid w:val="00DA7527"/>
    <w:rsid w:val="047446F0"/>
    <w:rsid w:val="065D75E1"/>
    <w:rsid w:val="758C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734</Characters>
  <Lines>0</Lines>
  <Paragraphs>0</Paragraphs>
  <TotalTime>0</TotalTime>
  <ScaleCrop>false</ScaleCrop>
  <LinksUpToDate>false</LinksUpToDate>
  <CharactersWithSpaces>737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2022-06-23T02:36:00Z</dcterms:created>
  <dc:creator>A妞、</dc:creator>
  <cp:lastModifiedBy>A妞、</cp:lastModifiedBy>
  <dcterms:modified xsi:type="dcterms:W3CDTF">2022-06-24T08:00:28Z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8630CF0DBBAD428184CFAD8FF1B7FDC0</vt:lpwstr>
  </property>
</Properties>
</file>