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sz w:val="30"/>
          <w:szCs w:val="30"/>
        </w:rPr>
      </w:pPr>
      <w:bookmarkStart w:id="0" w:name="_Toc9335"/>
      <w:r>
        <w:rPr>
          <w:rFonts w:hint="eastAsia"/>
          <w:sz w:val="30"/>
          <w:szCs w:val="30"/>
        </w:rPr>
        <w:t>核心交换机(盒式)</w:t>
      </w:r>
      <w:bookmarkEnd w:id="0"/>
    </w:p>
    <w:tbl>
      <w:tblPr>
        <w:tblStyle w:val="3"/>
        <w:tblW w:w="89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915"/>
        <w:gridCol w:w="6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交换容量≥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1.3Tbps，包转发率≥210Mpps，大于等于24个千兆SFP光，4个万兆SFP+，扩展支持8个SFP+端口或4个40GE QSFP+端口，为了提高设备可靠性，支持模块化可插拔双电源，支持业务扩展插槽数≥1，配置标准USB接口，支持U盘快速开局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MAC地址规格≥32K，提供第三方测试报告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ARP表项规格≥8000，提供第三方测试报告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支持静态路由、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RIP v1/v2、OSPF、BGP、ISIS、RIPng、OSPFv3、ISISv6、BGP4+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Ipv4路由FIB表≥8K，Ipv6路由FIB表≥4K，提供第三方测试报告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安全功能：支持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DHCPv6 Snooping，DAI，SAVI等安全特性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安全功能：支持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MACSec加密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安全功能：支持安全启动，通过安全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CPU、eFuse等安全措施，从可信硬件锚开始，启动过程中的每一步进行验证，确保每一阶段运行程序是可信的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虚拟化：支持纵向虚拟化，作为纵向子节点零配置即插即用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  <w:t>，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纵向虚拟化的子节点交换机支持堆叠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10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为保证整网建设的兼容性和统一性，实现统一纳管能力，要求网管平台与交换机可以实现策略的统一下发与配置管理。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11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实际配置：包含万兆单模光模块、千兆单模光模块、光转电模块、三年质保，提供厂商授权函和售后服务承诺函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12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default" w:ascii="等线" w:hAnsi="等线" w:eastAsia="等线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投标人需提供所投产品制造商出具的三年原厂质保证明材料。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691342E5"/>
    <w:rsid w:val="03256E30"/>
    <w:rsid w:val="2D3C637E"/>
    <w:rsid w:val="41472609"/>
    <w:rsid w:val="6913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372</Words>
  <Characters>483</Characters>
  <Lines>0</Lines>
  <Paragraphs>0</Paragraphs>
  <TotalTime>0</TotalTime>
  <ScaleCrop>false</ScaleCrop>
  <LinksUpToDate>false</LinksUpToDate>
  <CharactersWithSpaces>486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2022-06-23T02:38:00Z</dcterms:created>
  <dc:creator>A妞、</dc:creator>
  <cp:lastModifiedBy>A妞、</cp:lastModifiedBy>
  <dcterms:modified xsi:type="dcterms:W3CDTF">2022-06-24T08:01:56Z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A133F39DADCA456588D222CF8D7E6B0F</vt:lpwstr>
  </property>
</Properties>
</file>