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left"/>
        <w:rPr>
          <w:rFonts w:hint="eastAsia"/>
          <w:b/>
          <w:sz w:val="30"/>
          <w:szCs w:val="30"/>
        </w:rPr>
      </w:pPr>
      <w:bookmarkStart w:id="0" w:name="_Toc24914"/>
      <w:r>
        <w:rPr>
          <w:rFonts w:hint="default"/>
          <w:b/>
          <w:bCs/>
          <w:lang w:val="en-US" w:eastAsia="zh-CN"/>
        </w:rPr>
        <w:t>●</w:t>
      </w:r>
      <w:r>
        <w:rPr>
          <w:rFonts w:hint="eastAsia"/>
          <w:b/>
          <w:sz w:val="30"/>
          <w:szCs w:val="30"/>
        </w:rPr>
        <w:t>面板AP</w:t>
      </w:r>
      <w:bookmarkEnd w:id="0"/>
      <w:r>
        <w:rPr>
          <w:rFonts w:hint="eastAsia"/>
          <w:b/>
          <w:sz w:val="30"/>
          <w:szCs w:val="30"/>
          <w:lang w:eastAsia="zh-CN"/>
        </w:rPr>
        <w:t>（</w:t>
      </w:r>
      <w:r>
        <w:rPr>
          <w:rFonts w:hint="eastAsia"/>
          <w:b/>
          <w:sz w:val="30"/>
          <w:szCs w:val="30"/>
          <w:lang w:val="en-US" w:eastAsia="zh-CN"/>
        </w:rPr>
        <w:t>核心产品）</w:t>
      </w:r>
      <w:bookmarkStart w:id="1" w:name="_GoBack"/>
      <w:bookmarkEnd w:id="1"/>
    </w:p>
    <w:tbl>
      <w:tblPr>
        <w:tblStyle w:val="4"/>
        <w:tblW w:w="8931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4"/>
        <w:gridCol w:w="915"/>
        <w:gridCol w:w="68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参数性质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具体技术(参数)要求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★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802.11协议：支持802.11ax 协议，兼容802.11a/b/g/n/ac协议，支持2.4G和5G同时工作；接入速率：支持2.4G 2*2条流及 5G 2*2条流；2.4G最大传输速率≥570Mbps，5G最大传输速率≥1200Mbps，整机最大传输速率≥1.7Gbps，业务端口：上联千兆以太网口≥1个，下联千兆以太网口≥4个，1*pass through≥1对；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hint="default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2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天线类型：内置智能天线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设备规格：安装尺寸符合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86盒国家标准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设备供电：支持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802.3at标准的PoE供电；AP满负荷工作功耗≤14W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部署与运维：支持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AP零配置，支持二三层发现、DHCP Option43、DNS域名等多种AC自动发现机制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安全特性：支持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AES、TKIP等加密方式；支持WIPS/防钓鱼WIFI，支持对非法接入点的实时检测、告警及反制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7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终端安全防护：面板AP需与昆区教育城域网无线网络管理平台实现安全联动支持策略下发。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8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支持对无线网络提供的服务进行检测，包括网络接入、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DHCP、网关、DNS、网络地址等阶段的时延和质量检测，并以时光轴的方式进行展示具体时间点的检测情况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9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高可靠性：支持逃生模式，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AP与控制器连接中断后，原有用户在线、新用户正常接入，业务不中断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hint="default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10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default" w:ascii="等线" w:hAnsi="等线" w:eastAsia="等线" w:cs="宋体"/>
                <w:b/>
                <w:bCs/>
                <w:color w:val="000000"/>
                <w:kern w:val="0"/>
                <w:sz w:val="22"/>
                <w:lang w:val="en-US" w:eastAsia="zh-CN"/>
              </w:rPr>
              <w:t>投标人需提供所投产品制造商出具的三年原厂质保证明材料。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kMWYzM2RjZTM0MmE5MGUzN2Y4YWQ4N2NhMGIyY2IifQ=="/>
  </w:docVars>
  <w:rsids>
    <w:rsidRoot w:val="538E48C8"/>
    <w:rsid w:val="029E1581"/>
    <w:rsid w:val="03922D22"/>
    <w:rsid w:val="3F881DEC"/>
    <w:rsid w:val="538E48C8"/>
    <w:rsid w:val="5BED1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468</Words>
  <Characters>592</Characters>
  <Lines>0</Lines>
  <Paragraphs>0</Paragraphs>
  <TotalTime>0</TotalTime>
  <ScaleCrop>false</ScaleCrop>
  <LinksUpToDate>false</LinksUpToDate>
  <CharactersWithSpaces>598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2022-06-23T02:36:00Z</dcterms:created>
  <dc:creator>A妞、</dc:creator>
  <cp:lastModifiedBy>A妞、</cp:lastModifiedBy>
  <dcterms:modified xsi:type="dcterms:W3CDTF">2022-06-27T06:45:30Z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58CB86B517B84100A25238498049A396</vt:lpwstr>
  </property>
</Properties>
</file>