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</w:rPr>
      </w:pPr>
      <w:bookmarkStart w:id="0" w:name="_Toc9335"/>
      <w:r>
        <w:rPr>
          <w:rFonts w:hint="eastAsia"/>
          <w:sz w:val="30"/>
          <w:szCs w:val="30"/>
        </w:rPr>
        <w:t>核心交换机(盒式)</w:t>
      </w:r>
      <w:bookmarkEnd w:id="0"/>
    </w:p>
    <w:tbl>
      <w:tblPr>
        <w:tblStyle w:val="3"/>
        <w:tblW w:w="8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1.3Tbps，包转发率≥210Mpps，大于等于24个千兆SFP光，4个万兆SFP+，扩展支持8个SFP+端口或4个40GE QSFP+端口，为了提高设备可靠性，支持模块化可插拔双电源，支持业务扩展插槽数≥1，配置标准USB接口，支持U盘快速开局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MAC地址规格≥32K，提供第三方测试报告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ARP表项规格≥8000，提供第三方测试报告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支持静态路由、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 v1/v2、OSPF、BGP、ISIS、RIPng、OSPFv3、ISISv6、BGP4+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Ipv4路由FIB表≥8K，Ipv6路由FIB表≥4K，提供第三方测试报告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MACSec加密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安全功能：支持安全启动，通过安全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CPU、eFuse等安全措施，从可信硬件锚开始，启动过程中的每一步进行验证，确保每一阶段运行程序是可信的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纵向虚拟化的子节点交换机支持堆叠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为保证整网建设的兼容性和统一性，实现统一纳管能力，要求网管平台与交换机可以实现策略的统一下发与配置管理。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实际配置：包含万兆单模光模块、千兆单模光模块、光转电模块、三年质保，提供厂商授权函和售后服务承诺函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91342E5"/>
    <w:rsid w:val="03256E30"/>
    <w:rsid w:val="16582BC6"/>
    <w:rsid w:val="41472609"/>
    <w:rsid w:val="691342E5"/>
    <w:rsid w:val="6A15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483</Characters>
  <Lines>0</Lines>
  <Paragraphs>0</Paragraphs>
  <TotalTime>0</TotalTime>
  <ScaleCrop>false</ScaleCrop>
  <LinksUpToDate>false</LinksUpToDate>
  <CharactersWithSpaces>486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2022-06-24T07:57:04Z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A133F39DADCA456588D222CF8D7E6B0F</vt:lpwstr>
  </property>
</Properties>
</file>