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4621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212121"/>
          <w:w w:val="100"/>
          <w:sz w:val="28"/>
          <w:szCs w:val="28"/>
          <w:lang w:val="en-US" w:eastAsia="zh-CN"/>
        </w:rPr>
      </w:pPr>
      <w:bookmarkStart w:id="0" w:name="_Toc40797320"/>
      <w:r>
        <w:rPr>
          <w:rFonts w:hint="eastAsia" w:asciiTheme="minorEastAsia" w:hAnsiTheme="minorEastAsia" w:eastAsiaTheme="minorEastAsia" w:cstheme="minorEastAsia"/>
          <w:b/>
          <w:bCs/>
          <w:color w:val="212121"/>
          <w:w w:val="100"/>
          <w:sz w:val="28"/>
          <w:szCs w:val="28"/>
          <w:lang w:val="en-US" w:eastAsia="zh-CN"/>
        </w:rPr>
        <w:t>项目概况</w:t>
      </w:r>
    </w:p>
    <w:bookmarkEnd w:id="0"/>
    <w:p w14:paraId="58B98829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w w:val="100"/>
          <w:sz w:val="24"/>
          <w:szCs w:val="24"/>
          <w:lang w:val="en-US" w:eastAsia="zh-CN"/>
        </w:rPr>
      </w:pPr>
      <w:bookmarkStart w:id="1" w:name="_Toc40797321"/>
      <w:r>
        <w:rPr>
          <w:rFonts w:hint="eastAsia" w:asciiTheme="minorEastAsia" w:hAnsiTheme="minorEastAsia" w:eastAsiaTheme="minorEastAsia" w:cstheme="minorEastAsia"/>
          <w:b/>
          <w:bCs/>
          <w:w w:val="100"/>
          <w:sz w:val="24"/>
          <w:szCs w:val="24"/>
          <w:lang w:val="en-US" w:eastAsia="zh-CN"/>
        </w:rPr>
        <w:t>一、项目概况</w:t>
      </w:r>
    </w:p>
    <w:p w14:paraId="667A0282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  <w:lang w:val="en-US" w:eastAsia="zh-CN"/>
        </w:rPr>
        <w:t>1、项目名称：固阳县2024年三北工程林草湿荒一体化保护修复项目</w:t>
      </w:r>
    </w:p>
    <w:p w14:paraId="4FA50A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  <w:lang w:val="en-US" w:eastAsia="zh-CN"/>
        </w:rPr>
        <w:t>2、标段名称：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4"/>
          <w:szCs w:val="24"/>
          <w:lang w:val="en-US" w:eastAsia="zh-CN"/>
        </w:rPr>
        <w:t>二标段：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中幼龄林抚育及退化草原修复项目</w:t>
      </w:r>
    </w:p>
    <w:p w14:paraId="4C5E92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  <w:lang w:val="en-US" w:eastAsia="zh-CN"/>
        </w:rPr>
        <w:t>3、标段内容：建设内容为中幼龄林抚育4000亩，退化草原修复1500亩。</w:t>
      </w:r>
    </w:p>
    <w:p w14:paraId="02D742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项目周期：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月--20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月</w:t>
      </w:r>
    </w:p>
    <w:p w14:paraId="7D5549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项目地点：包头市固阳县全域六个镇</w:t>
      </w:r>
    </w:p>
    <w:p w14:paraId="71D35B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6、质量标准：满足国家及行业标准</w:t>
      </w:r>
      <w:bookmarkEnd w:id="1"/>
    </w:p>
    <w:p w14:paraId="65405C7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w w:val="100"/>
          <w:kern w:val="2"/>
          <w:sz w:val="24"/>
          <w:szCs w:val="24"/>
          <w:lang w:val="en-US" w:eastAsia="zh-CN" w:bidi="ar-SA"/>
        </w:rPr>
        <w:t>二、技术措施</w:t>
      </w:r>
    </w:p>
    <w:p w14:paraId="184BEA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w w:val="1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  <w:t>一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eastAsia="zh-CN"/>
        </w:rPr>
        <w:t>中幼龄林抚育</w:t>
      </w:r>
    </w:p>
    <w:p w14:paraId="05AA3E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1.1修枝修枝</w:t>
      </w:r>
    </w:p>
    <w:p w14:paraId="356AD3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w w:val="1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修枝条件：在中幼龄林阶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段进行，主要适用于天然整枝不良的林木。</w:t>
      </w:r>
    </w:p>
    <w:p w14:paraId="4505FE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（2）目的：减少结疤，提高木材质量，培育通直优质木材。</w:t>
      </w:r>
    </w:p>
    <w:p w14:paraId="356C61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（3）对象：天然整枝不良、枝条影响林内通风和光照的林木。</w:t>
      </w:r>
    </w:p>
    <w:p w14:paraId="64A40A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（4）方法：修枝常采用平切和留桩法。平切（贴近树干修枝）和留桩，对于针叶树等轮生枝，宜采用留桩法，修枝时留1厘米—3厘米的残桩，以免切口相连造成环状剥皮。采用手锯、刀或斧人力割除。</w:t>
      </w:r>
    </w:p>
    <w:p w14:paraId="51FD82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（5）间隔期：针叶树在前一次修枝后出现两轮死枝时再次修枝。</w:t>
      </w:r>
    </w:p>
    <w:p w14:paraId="433FF5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（6）技术要求：掌握“轻修枝，留大冠，控制竞争，利用辅养”的原则。避免在雨季修枝，以免伤口不易愈合而感染病害，形成疤痕。修枝要求切口平滑，不撕裂树皮；修枝时应紧贴枝条基部，修枝后切面与树干平，不留茬；幼龄林修枝高度为树高的1/3，中龄林修枝高度为树高的1/2。</w:t>
      </w:r>
    </w:p>
    <w:p w14:paraId="311FC5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1.2割灌整形割灌整形</w:t>
      </w:r>
    </w:p>
    <w:p w14:paraId="4B7003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在下木生长旺盛、与林木生长争水争肥并影响林木美观的中幼龄林中进行。采用机割、人割等不同</w:t>
      </w:r>
    </w:p>
    <w:p w14:paraId="0683E2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方式，清除妨碍树木生长和美观的灌木。作业时，注重保护珍稀濒危树木，以及有生长潜力的幼树、幼苗，以有利于调整林分密度和结构。</w:t>
      </w:r>
    </w:p>
    <w:p w14:paraId="215131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1.3除草除草</w:t>
      </w:r>
    </w:p>
    <w:p w14:paraId="4C1827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对幼龄林下草木生长茂盛，影响幼树生长发育得杂草，进行除草作业，除草范围为树木周围1米范围；对于火险隐患高的地区，进行除草作业，除草范围根据实际情况决定。</w:t>
      </w:r>
    </w:p>
    <w:p w14:paraId="6D7701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1.4剩余物处理剩余物处理</w:t>
      </w:r>
    </w:p>
    <w:p w14:paraId="0D70D4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抚育剩余物清理：中幼林抚育地块上的剩余物采用归堆清理（堆放整齐，单堆不易过大）或运出等适当方式予以处理，防止病虫害及火灾的发生，对于火险隐患较大和发生过病虫害的地方，抚育剩余物必须运出去，防止火灾和病虫害发生。</w:t>
      </w:r>
    </w:p>
    <w:p w14:paraId="196B58C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212121"/>
          <w:w w:val="1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212121"/>
          <w:w w:val="100"/>
          <w:sz w:val="24"/>
          <w:szCs w:val="24"/>
          <w:lang w:val="en-US" w:eastAsia="zh-CN"/>
        </w:rPr>
        <w:t>1.5其他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中幼龄林抚育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技术措施</w:t>
      </w:r>
    </w:p>
    <w:p w14:paraId="7BAF3E1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212121"/>
          <w:w w:val="1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212121"/>
          <w:w w:val="100"/>
          <w:sz w:val="24"/>
          <w:szCs w:val="24"/>
          <w:lang w:val="en-US" w:eastAsia="zh-CN"/>
        </w:rPr>
        <w:t>满足国家及行业相关技术规范标准，同时满足采购人需求。</w:t>
      </w:r>
    </w:p>
    <w:p w14:paraId="0D939DA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  <w:t>（二）退化草原修复</w:t>
      </w:r>
    </w:p>
    <w:p w14:paraId="4F4B39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1. 组织实施草原植被的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4"/>
          <w:szCs w:val="24"/>
          <w:lang w:val="en-US" w:eastAsia="zh-CN"/>
        </w:rPr>
        <w:t>勘察</w:t>
      </w: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恢复，制定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4"/>
          <w:szCs w:val="24"/>
          <w:lang w:val="en-US" w:eastAsia="zh-CN"/>
        </w:rPr>
        <w:t>补</w:t>
      </w: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种植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4"/>
          <w:szCs w:val="24"/>
          <w:lang w:val="en-US" w:eastAsia="zh-CN"/>
        </w:rPr>
        <w:t>修复</w:t>
      </w: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计划。</w:t>
      </w:r>
    </w:p>
    <w:p w14:paraId="2F2ABC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4"/>
          <w:szCs w:val="24"/>
        </w:rPr>
        <w:t>2. 退化草原修复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4"/>
          <w:szCs w:val="24"/>
          <w:lang w:val="en-US" w:eastAsia="zh-CN"/>
        </w:rPr>
        <w:t>需</w:t>
      </w:r>
      <w:r>
        <w:rPr>
          <w:rFonts w:hint="eastAsia" w:asciiTheme="minorEastAsia" w:hAnsiTheme="minorEastAsia" w:cstheme="minorEastAsia"/>
          <w:b w:val="0"/>
          <w:bCs w:val="0"/>
          <w:color w:val="212121"/>
          <w:w w:val="100"/>
          <w:sz w:val="24"/>
          <w:szCs w:val="24"/>
          <w:lang w:val="en-US" w:eastAsia="zh-CN"/>
        </w:rPr>
        <w:t>满足国家及行业相关技术规范标准，同时满足采购人需求。</w:t>
      </w:r>
    </w:p>
    <w:p w14:paraId="76D0C42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w w:val="100"/>
          <w:kern w:val="2"/>
          <w:sz w:val="24"/>
          <w:szCs w:val="24"/>
          <w:lang w:val="en-US" w:eastAsia="zh-CN" w:bidi="ar-SA"/>
        </w:rPr>
        <w:t>三、采购清单</w:t>
      </w:r>
    </w:p>
    <w:p w14:paraId="34356D6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Theme="minorEastAsia" w:hAnsiTheme="minorEastAsia" w:cstheme="minorEastAsia"/>
          <w:b w:val="0"/>
          <w:bCs w:val="0"/>
          <w:color w:val="212121"/>
          <w:w w:val="100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page" w:horzAnchor="page" w:tblpX="2395" w:tblpY="9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9"/>
        <w:gridCol w:w="1860"/>
        <w:gridCol w:w="1860"/>
        <w:gridCol w:w="1333"/>
      </w:tblGrid>
      <w:tr w14:paraId="3B76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46" w:type="dxa"/>
            <w:noWrap w:val="0"/>
            <w:vAlign w:val="center"/>
          </w:tcPr>
          <w:p w14:paraId="2BBC5F30">
            <w:pPr>
              <w:pStyle w:val="4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19" w:type="dxa"/>
            <w:noWrap w:val="0"/>
            <w:vAlign w:val="center"/>
          </w:tcPr>
          <w:p w14:paraId="5F71BD21">
            <w:pPr>
              <w:pStyle w:val="4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860" w:type="dxa"/>
            <w:noWrap w:val="0"/>
            <w:vAlign w:val="center"/>
          </w:tcPr>
          <w:p w14:paraId="5E40B082">
            <w:pPr>
              <w:pStyle w:val="4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  <w:t>数量及单位</w:t>
            </w:r>
          </w:p>
        </w:tc>
        <w:tc>
          <w:tcPr>
            <w:tcW w:w="1860" w:type="dxa"/>
            <w:noWrap w:val="0"/>
            <w:vAlign w:val="center"/>
          </w:tcPr>
          <w:p w14:paraId="4C90C0CF">
            <w:pPr>
              <w:pStyle w:val="4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  <w:t>报价（元）</w:t>
            </w:r>
          </w:p>
        </w:tc>
        <w:tc>
          <w:tcPr>
            <w:tcW w:w="1333" w:type="dxa"/>
            <w:noWrap w:val="0"/>
            <w:vAlign w:val="center"/>
          </w:tcPr>
          <w:p w14:paraId="48F4636C">
            <w:pPr>
              <w:pStyle w:val="4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7091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6" w:type="dxa"/>
            <w:noWrap w:val="0"/>
            <w:vAlign w:val="center"/>
          </w:tcPr>
          <w:p w14:paraId="2A2C9ACB"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2419" w:type="dxa"/>
            <w:noWrap w:val="0"/>
            <w:vAlign w:val="center"/>
          </w:tcPr>
          <w:p w14:paraId="139F5093"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en-US" w:eastAsia="zh-CN"/>
              </w:rPr>
              <w:t>中幼龄林抚育</w:t>
            </w:r>
          </w:p>
        </w:tc>
        <w:tc>
          <w:tcPr>
            <w:tcW w:w="1860" w:type="dxa"/>
            <w:noWrap w:val="0"/>
            <w:vAlign w:val="center"/>
          </w:tcPr>
          <w:p w14:paraId="132D350A"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en-US" w:eastAsia="zh-CN"/>
              </w:rPr>
              <w:t>4000亩</w:t>
            </w:r>
          </w:p>
        </w:tc>
        <w:tc>
          <w:tcPr>
            <w:tcW w:w="1860" w:type="dxa"/>
            <w:noWrap w:val="0"/>
            <w:vAlign w:val="center"/>
          </w:tcPr>
          <w:p w14:paraId="65603707"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top"/>
          </w:tcPr>
          <w:p w14:paraId="1F53314C"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 w14:paraId="37D7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6" w:type="dxa"/>
            <w:noWrap w:val="0"/>
            <w:vAlign w:val="center"/>
          </w:tcPr>
          <w:p w14:paraId="267DAB7B"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9" w:type="dxa"/>
            <w:noWrap w:val="0"/>
            <w:vAlign w:val="center"/>
          </w:tcPr>
          <w:p w14:paraId="47988F9E"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en-US" w:eastAsia="zh-CN"/>
              </w:rPr>
              <w:t>退化草原修复</w:t>
            </w:r>
          </w:p>
        </w:tc>
        <w:tc>
          <w:tcPr>
            <w:tcW w:w="1860" w:type="dxa"/>
            <w:noWrap w:val="0"/>
            <w:vAlign w:val="center"/>
          </w:tcPr>
          <w:p w14:paraId="2A5AC51C"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en-US" w:eastAsia="zh-CN"/>
              </w:rPr>
              <w:t>1500亩</w:t>
            </w:r>
          </w:p>
        </w:tc>
        <w:tc>
          <w:tcPr>
            <w:tcW w:w="1860" w:type="dxa"/>
            <w:noWrap w:val="0"/>
            <w:vAlign w:val="center"/>
          </w:tcPr>
          <w:p w14:paraId="27F3A3E1"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top"/>
          </w:tcPr>
          <w:p w14:paraId="0BCFD20B"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 w14:paraId="7FD1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125" w:type="dxa"/>
            <w:gridSpan w:val="3"/>
            <w:noWrap w:val="0"/>
            <w:vAlign w:val="center"/>
          </w:tcPr>
          <w:p w14:paraId="1419D842"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  <w:t>合计：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zh-CN" w:eastAsia="zh-CN" w:bidi="ar-SA"/>
              </w:rPr>
              <w:t>（元）</w:t>
            </w:r>
          </w:p>
        </w:tc>
        <w:tc>
          <w:tcPr>
            <w:tcW w:w="1860" w:type="dxa"/>
            <w:noWrap w:val="0"/>
            <w:vAlign w:val="center"/>
          </w:tcPr>
          <w:p w14:paraId="46EA357B"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3" w:type="dxa"/>
            <w:noWrap w:val="0"/>
            <w:vAlign w:val="top"/>
          </w:tcPr>
          <w:p w14:paraId="3A092CFD">
            <w:pPr>
              <w:pStyle w:val="4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212121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EF737A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Theme="minorEastAsia" w:hAnsiTheme="minorEastAsia" w:cstheme="minorEastAsia"/>
          <w:b w:val="0"/>
          <w:bCs w:val="0"/>
          <w:color w:val="212121"/>
          <w:w w:val="100"/>
          <w:sz w:val="24"/>
          <w:szCs w:val="24"/>
          <w:lang w:val="en-US" w:eastAsia="zh-CN"/>
        </w:rPr>
      </w:pPr>
    </w:p>
    <w:p w14:paraId="65A34D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w w:val="1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0000000"/>
    <w:rsid w:val="024769DF"/>
    <w:rsid w:val="08CB4965"/>
    <w:rsid w:val="1EFA7794"/>
    <w:rsid w:val="2A2A7902"/>
    <w:rsid w:val="2D3E73B1"/>
    <w:rsid w:val="35F125D4"/>
    <w:rsid w:val="37BD0326"/>
    <w:rsid w:val="72B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40" w:after="120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60" w:after="60"/>
      <w:jc w:val="left"/>
      <w:outlineLvl w:val="2"/>
    </w:pPr>
    <w:rPr>
      <w:rFonts w:eastAsia="黑体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autoSpaceDE w:val="0"/>
      <w:autoSpaceDN w:val="0"/>
      <w:jc w:val="left"/>
    </w:pPr>
    <w:rPr>
      <w:rFonts w:ascii="宋体" w:hAnsi="Courier New" w:eastAsia="楷体_GB2312" w:cs="宋体"/>
      <w:kern w:val="0"/>
      <w:sz w:val="32"/>
      <w:szCs w:val="20"/>
      <w:lang w:val="zh-CN" w:bidi="zh-CN"/>
    </w:rPr>
  </w:style>
  <w:style w:type="paragraph" w:customStyle="1" w:styleId="7">
    <w:name w:val="Other|1"/>
    <w:basedOn w:val="1"/>
    <w:qFormat/>
    <w:uiPriority w:val="0"/>
    <w:pPr>
      <w:autoSpaceDE w:val="0"/>
      <w:autoSpaceDN w:val="0"/>
      <w:spacing w:after="280" w:line="480" w:lineRule="auto"/>
      <w:ind w:firstLine="400"/>
      <w:jc w:val="left"/>
    </w:pPr>
    <w:rPr>
      <w:rFonts w:ascii="宋体" w:hAnsi="宋体" w:cs="宋体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962</Words>
  <Characters>1002</Characters>
  <Lines>0</Lines>
  <Paragraphs>0</Paragraphs>
  <TotalTime>10</TotalTime>
  <ScaleCrop>false</ScaleCrop>
  <LinksUpToDate>false</LinksUpToDate>
  <CharactersWithSpaces>1004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2022-11-24T12:31:00Z</dcterms:created>
  <dc:creator>Boom</dc:creator>
  <cp:lastModifiedBy>光影流转</cp:lastModifiedBy>
  <dcterms:modified xsi:type="dcterms:W3CDTF">2024-09-02T10:42:30Z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BABD3EDC47A246F18D8E37ECBBB1F1E5</vt:lpwstr>
  </property>
</Properties>
</file>