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7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7" w:type="dxa"/>
            <w:vAlign w:val="center"/>
          </w:tcPr>
          <w:p>
            <w:pPr>
              <w:jc w:val="center"/>
              <w:rPr>
                <w:b/>
                <w:sz w:val="28"/>
              </w:rPr>
            </w:pPr>
            <w:r>
              <w:rPr>
                <w:rFonts w:hint="eastAsia"/>
                <w:b/>
                <w:sz w:val="28"/>
              </w:rPr>
              <w:t>项目</w:t>
            </w:r>
          </w:p>
        </w:tc>
        <w:tc>
          <w:tcPr>
            <w:tcW w:w="7016" w:type="dxa"/>
            <w:vAlign w:val="center"/>
          </w:tcPr>
          <w:p>
            <w:pPr>
              <w:jc w:val="center"/>
              <w:rPr>
                <w:b/>
                <w:sz w:val="28"/>
              </w:rPr>
            </w:pPr>
            <w:r>
              <w:rPr>
                <w:rFonts w:hint="eastAsia"/>
                <w:b/>
                <w:sz w:val="28"/>
                <w:lang w:val="en-US" w:eastAsia="zh-CN"/>
              </w:rPr>
              <w:t>参数</w:t>
            </w:r>
            <w:r>
              <w:rPr>
                <w:rFonts w:hint="eastAsia"/>
                <w:b/>
                <w:sz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7" w:type="dxa"/>
            <w:vAlign w:val="center"/>
          </w:tcPr>
          <w:p>
            <w:pPr>
              <w:pStyle w:val="11"/>
              <w:numPr>
                <w:ilvl w:val="0"/>
                <w:numId w:val="1"/>
              </w:numPr>
              <w:spacing w:after="240"/>
              <w:ind w:left="630" w:leftChars="0" w:firstLineChars="0"/>
              <w:rPr>
                <w:rFonts w:ascii="Times New Roman" w:hAnsi="Times New Roman" w:eastAsia="宋体" w:cs="Times New Roman"/>
                <w:color w:val="FF0000"/>
                <w:sz w:val="20"/>
                <w:szCs w:val="20"/>
              </w:rPr>
            </w:pPr>
          </w:p>
        </w:tc>
        <w:tc>
          <w:tcPr>
            <w:tcW w:w="7016" w:type="dxa"/>
            <w:vAlign w:val="center"/>
          </w:tcPr>
          <w:p>
            <w:pPr>
              <w:spacing w:after="240"/>
              <w:rPr>
                <w:rFonts w:asciiTheme="minorEastAsia" w:hAnsiTheme="minorEastAsia"/>
              </w:rPr>
            </w:pPr>
            <w:r>
              <w:rPr>
                <w:rFonts w:hint="eastAsia" w:asciiTheme="minorEastAsia" w:hAnsiTheme="minorEastAsia"/>
                <w:szCs w:val="21"/>
              </w:rPr>
              <w:t>提供投标型号球管的原版技术白皮书（DATA SHEET），且以下应标参数均以此技术白皮书为准。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17" w:type="dxa"/>
            <w:vAlign w:val="center"/>
          </w:tcPr>
          <w:p>
            <w:pPr>
              <w:pStyle w:val="11"/>
              <w:numPr>
                <w:ilvl w:val="0"/>
                <w:numId w:val="1"/>
              </w:numPr>
              <w:spacing w:after="240"/>
              <w:ind w:left="630" w:leftChars="0" w:firstLineChars="0"/>
              <w:rPr>
                <w:rFonts w:ascii="宋体" w:hAnsi="宋体" w:eastAsia="宋体" w:cs="Times New Roman"/>
                <w:color w:val="000000"/>
                <w:szCs w:val="21"/>
              </w:rPr>
            </w:pPr>
          </w:p>
        </w:tc>
        <w:tc>
          <w:tcPr>
            <w:tcW w:w="7016" w:type="dxa"/>
            <w:vAlign w:val="center"/>
          </w:tcPr>
          <w:p>
            <w:pPr>
              <w:spacing w:after="240"/>
              <w:rPr>
                <w:rFonts w:asciiTheme="minorEastAsia" w:hAnsiTheme="minorEastAsia"/>
                <w:szCs w:val="21"/>
              </w:rPr>
            </w:pPr>
            <w:r>
              <w:rPr>
                <w:rFonts w:hint="eastAsia" w:asciiTheme="minorEastAsia" w:hAnsiTheme="minorEastAsia"/>
                <w:szCs w:val="21"/>
              </w:rPr>
              <w:t>投标人必须提供该球管制造商授权书或者该球管从制造商到投标人所有的合法购买合同。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ascii="Times New Roman" w:hAnsi="Times New Roman" w:eastAsia="宋体" w:cs="Times New Roman"/>
                <w:color w:val="000000"/>
                <w:sz w:val="20"/>
                <w:szCs w:val="20"/>
              </w:rPr>
            </w:pPr>
          </w:p>
        </w:tc>
        <w:tc>
          <w:tcPr>
            <w:tcW w:w="7016" w:type="dxa"/>
            <w:vAlign w:val="center"/>
          </w:tcPr>
          <w:p>
            <w:pPr>
              <w:spacing w:after="240"/>
              <w:rPr>
                <w:rFonts w:asciiTheme="minorEastAsia" w:hAnsiTheme="minorEastAsia"/>
              </w:rPr>
            </w:pPr>
            <w:r>
              <w:rPr>
                <w:rFonts w:hint="eastAsia" w:asciiTheme="minorEastAsia" w:hAnsiTheme="minorEastAsia"/>
              </w:rPr>
              <w:t>阳极热容量：5.0MJ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8"/>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管套热容量要求不小于7.7MJ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ascii="Times New Roman" w:hAnsi="Times New Roman" w:eastAsia="宋体" w:cs="Times New Roman"/>
                <w:color w:val="auto"/>
                <w:sz w:val="20"/>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焦点数量：≥两个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0"/>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焦点尺寸（IEC 336/2005</w:t>
            </w:r>
            <w:r>
              <w:rPr>
                <w:rFonts w:asciiTheme="minorEastAsia" w:hAnsiTheme="minorEastAsia"/>
                <w:color w:val="auto"/>
              </w:rPr>
              <w:t>）</w:t>
            </w:r>
            <w:r>
              <w:rPr>
                <w:rFonts w:hint="eastAsia" w:asciiTheme="minorEastAsia" w:hAnsiTheme="minorEastAsia"/>
                <w:color w:val="auto"/>
              </w:rPr>
              <w:t>：小焦点≤0.9mm*0.7mm；大焦点≥1.2mm*1.1mm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0"/>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焦点功率要求最大≥72KW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8"/>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120KV时最大毫安输出不低于600mA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8"/>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管套出线窗口FOV（Field of View）尺寸：40mm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8"/>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支持0.35秒每圈的高速旋转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cs="Times New Roman"/>
                <w:color w:val="auto"/>
                <w:sz w:val="28"/>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球管拥有ASiR芯片，并提供接口，以支持小宝石CT的ASiR技术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ascii="Times New Roman" w:hAnsi="Times New Roman" w:eastAsia="宋体" w:cs="Times New Roman"/>
                <w:color w:val="auto"/>
                <w:sz w:val="20"/>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球管最大额定电压≥140KV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ascii="Times New Roman" w:hAnsi="Times New Roman" w:eastAsia="宋体" w:cs="Times New Roman"/>
                <w:color w:val="auto"/>
                <w:sz w:val="20"/>
                <w:szCs w:val="20"/>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阳极靶面角度：7度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kern w:val="0"/>
              </w:rPr>
              <w:t>投标人或投标代理商</w:t>
            </w:r>
            <w:r>
              <w:rPr>
                <w:rFonts w:hint="eastAsia" w:asciiTheme="minorEastAsia" w:hAnsiTheme="minorEastAsia"/>
                <w:color w:val="auto"/>
              </w:rPr>
              <w:t>在我省有长期稳定的服务机构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kern w:val="0"/>
              </w:rPr>
              <w:t>投标人或投标代理商</w:t>
            </w:r>
            <w:r>
              <w:rPr>
                <w:rFonts w:hint="eastAsia" w:asciiTheme="minorEastAsia" w:hAnsiTheme="minorEastAsia"/>
                <w:color w:val="auto"/>
              </w:rPr>
              <w:t>省内服务机构需配备有至少两名全职的、原CT厂家认证的工程师，需提供厂家颁发的有效资质证明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kern w:val="0"/>
              </w:rPr>
              <w:t>投标人或投标代理商</w:t>
            </w:r>
            <w:r>
              <w:rPr>
                <w:rFonts w:hint="eastAsia" w:asciiTheme="minorEastAsia" w:hAnsiTheme="minorEastAsia"/>
                <w:color w:val="auto"/>
              </w:rPr>
              <w:t>经营范围必须要包含有CT整机的维修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提供经年检有效地营业执照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提供球管与CT整机匹配的SFDA认证报告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bookmarkStart w:id="0" w:name="OLE_LINK5"/>
            <w:r>
              <w:rPr>
                <w:rFonts w:hint="eastAsia" w:asciiTheme="minorEastAsia" w:hAnsiTheme="minorEastAsia"/>
                <w:color w:val="auto"/>
              </w:rPr>
              <w:t>投标人或投标代理商</w:t>
            </w:r>
            <w:bookmarkEnd w:id="0"/>
            <w:r>
              <w:rPr>
                <w:rFonts w:hint="eastAsia" w:asciiTheme="minorEastAsia" w:hAnsiTheme="minorEastAsia"/>
                <w:color w:val="auto"/>
              </w:rPr>
              <w:t>需具备并提供医疗器械维修ISO9001及ISO13485认证证书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 xml:space="preserve">提供CT原厂的 </w:t>
            </w:r>
            <w:r>
              <w:rPr>
                <w:rFonts w:asciiTheme="minorEastAsia" w:hAnsiTheme="minorEastAsia"/>
                <w:color w:val="auto"/>
              </w:rPr>
              <w:t>InSite</w:t>
            </w:r>
            <w:r>
              <w:rPr>
                <w:rFonts w:asciiTheme="minorEastAsia" w:hAnsiTheme="minorEastAsia"/>
                <w:color w:val="auto"/>
                <w:vertAlign w:val="superscript"/>
              </w:rPr>
              <w:t>TM</w:t>
            </w:r>
            <w:r>
              <w:rPr>
                <w:rFonts w:hint="eastAsia" w:asciiTheme="minorEastAsia" w:hAnsiTheme="minorEastAsia"/>
                <w:color w:val="auto"/>
                <w:vertAlign w:val="superscript"/>
              </w:rPr>
              <w:t xml:space="preserve"> </w:t>
            </w:r>
            <w:r>
              <w:rPr>
                <w:rFonts w:hint="eastAsia" w:asciiTheme="minorEastAsia" w:hAnsiTheme="minorEastAsia"/>
                <w:color w:val="auto"/>
              </w:rPr>
              <w:t>数字化远程故障筛排系统，提前预知CT整机及球管的问题，帮医院提早做计划，无计划外停机。需提供相关文件或以往案例以证明投标厂家具有此能力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rFonts w:asciiTheme="minorEastAsia" w:hAnsiTheme="minorEastAsia"/>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提供基于宽带接入的、可动态远程监测标的设备温湿度实时曲线的软件及硬件,具备对标的设备的电气环境进行24小时实时监测能力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显示标的设备的24小时实时动态的球管异常打火次数，球管使用量等，需提供相关证明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rPr>
                <w:rFonts w:asciiTheme="minorEastAsia" w:hAnsiTheme="minorEastAsia"/>
                <w:color w:val="auto"/>
              </w:rPr>
            </w:pPr>
            <w:r>
              <w:rPr>
                <w:rFonts w:hint="eastAsia" w:asciiTheme="minorEastAsia" w:hAnsiTheme="minorEastAsia"/>
                <w:color w:val="auto"/>
              </w:rPr>
              <w:t>提供能及时获取并实施原厂系统安全性软硬件改版通知(FMI)能力的证明，保修期内免费提供设备（含独立工作站）的系统软件升级补丁和技术支持，保证所有系统软件为最新版本。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11"/>
              <w:numPr>
                <w:ilvl w:val="0"/>
                <w:numId w:val="1"/>
              </w:numPr>
              <w:spacing w:after="240"/>
              <w:ind w:left="630" w:leftChars="0" w:firstLineChars="0"/>
              <w:rPr>
                <w:color w:val="auto"/>
              </w:rPr>
            </w:pPr>
          </w:p>
        </w:tc>
        <w:tc>
          <w:tcPr>
            <w:tcW w:w="7016" w:type="dxa"/>
            <w:vAlign w:val="center"/>
          </w:tcPr>
          <w:p>
            <w:pPr>
              <w:spacing w:after="240"/>
              <w:ind w:firstLine="420" w:firstLineChars="200"/>
              <w:jc w:val="center"/>
              <w:rPr>
                <w:rFonts w:hint="eastAsia" w:asciiTheme="minorEastAsia" w:hAnsiTheme="minorEastAsia"/>
                <w:color w:val="auto"/>
                <w:lang w:val="en-US" w:eastAsia="zh-CN"/>
              </w:rPr>
            </w:pPr>
          </w:p>
          <w:p>
            <w:pPr>
              <w:spacing w:after="240"/>
              <w:ind w:firstLine="420" w:firstLineChars="200"/>
              <w:jc w:val="center"/>
              <w:rPr>
                <w:rFonts w:hint="default" w:asciiTheme="minorEastAsia" w:hAnsiTheme="minorEastAsia" w:eastAsiaTheme="minorEastAsia"/>
                <w:color w:val="auto"/>
                <w:lang w:val="en-US" w:eastAsia="zh-CN"/>
              </w:rPr>
            </w:pPr>
            <w:r>
              <w:rPr>
                <w:rFonts w:hint="eastAsia" w:asciiTheme="minorEastAsia" w:hAnsiTheme="minorEastAsia"/>
                <w:color w:val="auto"/>
                <w:lang w:val="en-US" w:eastAsia="zh-CN"/>
              </w:rPr>
              <w:t xml:space="preserve">合计：    </w:t>
            </w:r>
            <w:bookmarkStart w:id="1" w:name="_GoBack"/>
            <w:bookmarkEnd w:id="1"/>
            <w:r>
              <w:rPr>
                <w:rFonts w:hint="eastAsia" w:asciiTheme="minorEastAsia" w:hAnsiTheme="minorEastAsia"/>
                <w:color w:val="auto"/>
                <w:lang w:val="en-US" w:eastAsia="zh-CN"/>
              </w:rPr>
              <w:t xml:space="preserve">   （元）</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D78BE"/>
    <w:multiLevelType w:val="multilevel"/>
    <w:tmpl w:val="467D78BE"/>
    <w:lvl w:ilvl="0" w:tentative="0">
      <w:start w:val="1"/>
      <w:numFmt w:val="decimal"/>
      <w:lvlText w:val="%1."/>
      <w:lvlJc w:val="left"/>
      <w:pPr>
        <w:ind w:left="630" w:hanging="420"/>
      </w:pPr>
      <w:rPr>
        <w:rFonts w:hint="default"/>
        <w:color w:val="auto"/>
        <w:sz w:val="24"/>
        <w:szCs w:val="24"/>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MWYzY2NlMmEyNGQxODA4ZGY0MDg3OGVkZmE0MTgifQ=="/>
  </w:docVars>
  <w:rsids>
    <w:rsidRoot w:val="002B7D94"/>
    <w:rsid w:val="00003189"/>
    <w:rsid w:val="00012240"/>
    <w:rsid w:val="00017DEC"/>
    <w:rsid w:val="0002753F"/>
    <w:rsid w:val="000606D3"/>
    <w:rsid w:val="000621E7"/>
    <w:rsid w:val="0006364B"/>
    <w:rsid w:val="000822E9"/>
    <w:rsid w:val="000B2C6C"/>
    <w:rsid w:val="00127801"/>
    <w:rsid w:val="00161496"/>
    <w:rsid w:val="001656FA"/>
    <w:rsid w:val="00194DA7"/>
    <w:rsid w:val="002155CC"/>
    <w:rsid w:val="00271767"/>
    <w:rsid w:val="002B7D94"/>
    <w:rsid w:val="00307C01"/>
    <w:rsid w:val="00311FCF"/>
    <w:rsid w:val="00326B22"/>
    <w:rsid w:val="003C5CD2"/>
    <w:rsid w:val="003D3CA6"/>
    <w:rsid w:val="003F4A31"/>
    <w:rsid w:val="00425279"/>
    <w:rsid w:val="004807F6"/>
    <w:rsid w:val="00512D60"/>
    <w:rsid w:val="00577732"/>
    <w:rsid w:val="005A2662"/>
    <w:rsid w:val="00617DF8"/>
    <w:rsid w:val="00677355"/>
    <w:rsid w:val="00692758"/>
    <w:rsid w:val="006B264D"/>
    <w:rsid w:val="006D03C3"/>
    <w:rsid w:val="006D2C6D"/>
    <w:rsid w:val="006D755F"/>
    <w:rsid w:val="006F0052"/>
    <w:rsid w:val="00704E2A"/>
    <w:rsid w:val="007128BB"/>
    <w:rsid w:val="00766D01"/>
    <w:rsid w:val="0077740F"/>
    <w:rsid w:val="00786B09"/>
    <w:rsid w:val="007E1953"/>
    <w:rsid w:val="007E63CE"/>
    <w:rsid w:val="00830873"/>
    <w:rsid w:val="00850679"/>
    <w:rsid w:val="008A4038"/>
    <w:rsid w:val="008D58EE"/>
    <w:rsid w:val="00916E15"/>
    <w:rsid w:val="0094431E"/>
    <w:rsid w:val="0098290A"/>
    <w:rsid w:val="00984CD5"/>
    <w:rsid w:val="0098716E"/>
    <w:rsid w:val="00991F94"/>
    <w:rsid w:val="009A770B"/>
    <w:rsid w:val="009C7732"/>
    <w:rsid w:val="009E3923"/>
    <w:rsid w:val="00A5062D"/>
    <w:rsid w:val="00AD4DCB"/>
    <w:rsid w:val="00B14EB0"/>
    <w:rsid w:val="00B34A79"/>
    <w:rsid w:val="00B70FE8"/>
    <w:rsid w:val="00BC11F2"/>
    <w:rsid w:val="00BE2403"/>
    <w:rsid w:val="00BF0C97"/>
    <w:rsid w:val="00C1388F"/>
    <w:rsid w:val="00C15419"/>
    <w:rsid w:val="00C252C9"/>
    <w:rsid w:val="00C3718C"/>
    <w:rsid w:val="00C551DD"/>
    <w:rsid w:val="00C57B55"/>
    <w:rsid w:val="00D0517E"/>
    <w:rsid w:val="00D473AA"/>
    <w:rsid w:val="00D92941"/>
    <w:rsid w:val="00DF22EF"/>
    <w:rsid w:val="00E774CA"/>
    <w:rsid w:val="00EB7B31"/>
    <w:rsid w:val="00EE0250"/>
    <w:rsid w:val="00EF7872"/>
    <w:rsid w:val="00F75C9C"/>
    <w:rsid w:val="00F87E1E"/>
    <w:rsid w:val="00F935EF"/>
    <w:rsid w:val="00FE1EA8"/>
    <w:rsid w:val="00FF00A5"/>
    <w:rsid w:val="1F651969"/>
    <w:rsid w:val="2C5F076A"/>
    <w:rsid w:val="4EF15434"/>
    <w:rsid w:val="542E6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2</Pages>
  <Words>774</Words>
  <Characters>892</Characters>
  <Lines>7</Lines>
  <Paragraphs>2</Paragraphs>
  <TotalTime>148</TotalTime>
  <ScaleCrop>false</ScaleCrop>
  <LinksUpToDate>false</LinksUpToDate>
  <CharactersWithSpaces>898</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2016-05-09T08:41:00Z</dcterms:created>
  <dc:creator>Zhang, Z (GE Healthcare)</dc:creator>
  <cp:lastModifiedBy>Administrator</cp:lastModifiedBy>
  <dcterms:modified xsi:type="dcterms:W3CDTF">2023-10-20T10:38:25Z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2FCE8466F7394CB99759A865DB527EE8_13</vt:lpwstr>
  </property>
</Properties>
</file>