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滨海街道办事处滨海社区建设方案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滨海</w:t>
            </w:r>
            <w:r>
              <w:rPr>
                <w:rFonts w:hint="eastAsia"/>
                <w:vertAlign w:val="baseline"/>
                <w:lang w:val="en-US" w:eastAsia="zh-CN"/>
              </w:rPr>
              <w:t>社区办公室处于乌达滨海小区中间，由于楼层较低且周围全是六层住宅楼，为防止噪音扰民，根据现场实际情况，拟采用一台300W收扩机、4个音柱的组合方式进行覆盖。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140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滨海社区2楼活动室西南角（滨海A区院内）     联系人： 郭雪               电话：15247306760</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06781BC5"/>
    <w:rsid w:val="0875095D"/>
    <w:rsid w:val="155249D4"/>
    <w:rsid w:val="1BF71AE3"/>
    <w:rsid w:val="25BA57A5"/>
    <w:rsid w:val="2F753DEB"/>
    <w:rsid w:val="328237BE"/>
    <w:rsid w:val="3C750DF4"/>
    <w:rsid w:val="3DF408FD"/>
    <w:rsid w:val="4CD44FFC"/>
    <w:rsid w:val="534D068E"/>
    <w:rsid w:val="57FB4CAF"/>
    <w:rsid w:val="688D2938"/>
    <w:rsid w:val="6AFC0224"/>
    <w:rsid w:val="6D5077BC"/>
    <w:rsid w:val="6E877E67"/>
    <w:rsid w:val="71D12ED3"/>
    <w:rsid w:val="74A771B9"/>
    <w:rsid w:val="74DC1F69"/>
    <w:rsid w:val="758E3908"/>
    <w:rsid w:val="7AC81578"/>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563</Characters>
  <Lines>0</Lines>
  <Paragraphs>0</Paragraphs>
  <TotalTime>2</TotalTime>
  <ScaleCrop>false</ScaleCrop>
  <LinksUpToDate>false</LinksUpToDate>
  <CharactersWithSpaces>664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B3502B185E654AECB72015DB36C03548</vt:lpwstr>
  </property>
</Properties>
</file>