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440" w:type="dxa"/>
        <w:tblInd w:w="-6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80"/>
        <w:gridCol w:w="1110"/>
        <w:gridCol w:w="1146"/>
        <w:gridCol w:w="7494"/>
        <w:gridCol w:w="645"/>
        <w:gridCol w:w="720"/>
        <w:gridCol w:w="3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7" w:hRule="atLeast"/>
        </w:trPr>
        <w:tc>
          <w:tcPr>
            <w:tcW w:w="15440"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系统名称</w:t>
            </w: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规格型号</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高速公路恶劣天气监测预警发布系统</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可变信息发布LED屏</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立柱结构户外LED屏，支持二次开发，支持与第三方系统对接，远程控制等；支持编辑显示字体、内容、亮度；通信指令上传与下达等；外形尺寸：1500mm×1500mm×120mm；外径：1200mm；像素点间距：≤10mm；工作电压220V±10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亮度：≥8000cd/m2  ，亮度可调；寿命：≥8万小时；防护等级: 正面≥IP65、背面≥IP54；保护技术：防潮、防尘、防腐、防静电、防雷击；具有过流、短路、过压、欠压保护功能。</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77470</wp:posOffset>
                  </wp:positionV>
                  <wp:extent cx="1621790" cy="1241425"/>
                  <wp:effectExtent l="0" t="0" r="16510" b="15875"/>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4"/>
                          <a:stretch>
                            <a:fillRect/>
                          </a:stretch>
                        </pic:blipFill>
                        <pic:spPr>
                          <a:xfrm>
                            <a:off x="0" y="0"/>
                            <a:ext cx="1621790" cy="1241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杆件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T型杆件，竖杆高度≥1500mm，直径200mm，壁厚≥5mm；横杆长1500mm，宽160mm，厚≥16mm钢板；底部直径≥400mm，厚≥10mm圆形法兰；采用无缝钢管。无裂缝等缺陷，防锈、防腐处理。</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71755</wp:posOffset>
                  </wp:positionH>
                  <wp:positionV relativeFrom="paragraph">
                    <wp:posOffset>74930</wp:posOffset>
                  </wp:positionV>
                  <wp:extent cx="1896745" cy="866775"/>
                  <wp:effectExtent l="0" t="0" r="8255" b="9525"/>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5"/>
                          <a:stretch>
                            <a:fillRect/>
                          </a:stretch>
                        </pic:blipFill>
                        <pic:spPr>
                          <a:xfrm>
                            <a:off x="0" y="0"/>
                            <a:ext cx="1896745" cy="866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出口警示系统</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尺寸960*480mm，表面贴IV类反光膜，内嵌高亮LED灯珠掉头标志；含配套杆件，杆件高度2500mm，直径≥90mm，壁厚≥3mm，采用无缝钢管，无成悍、假焊、裂缝等缺陷:工件喷涂处理: 热镀锌(被层厚度≥86微米) ，除锈按SA2.5级环氧富锌底漆两度，氟碳面漆两度。</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46355</wp:posOffset>
                  </wp:positionV>
                  <wp:extent cx="1750060" cy="987425"/>
                  <wp:effectExtent l="0" t="0" r="2540" b="3175"/>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6"/>
                          <a:stretch>
                            <a:fillRect/>
                          </a:stretch>
                        </pic:blipFill>
                        <pic:spPr>
                          <a:xfrm>
                            <a:off x="0" y="0"/>
                            <a:ext cx="1750060" cy="987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智慧控制单元模块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嵌入式结构设计，控制LED可变限速预警信息显示发布及语音交互系统的播报等。</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光纤</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国标，单模四芯，用于连接子系统组网络之间传输</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光纤收发器</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千兆收发器，前端支持2个1000/100/10M自适应以太网，传输距离≥20KM；</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连接线</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国标，RVV2*1.5</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恶劣天气智能行车安全诱导系统</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恶劣天气多功能警示灯</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LED警示灯：不少于256颗高亮LED灯珠。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显示亮度：亮度可在5-100之间不小于20级手动调整或根据环境光线自动调整。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同步闪烁频率：在不小于100ms的范围内可设置调整。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同步周期：在不小于1s范围内设置调整。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同步误差：≤40ms。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显示内容：可显示内容：圆盘灯，发光直径≥180mm；“风、沙、雨、雷、电、雪、冰、雾、慢、险、堵”等文字或图案。</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1020445</wp:posOffset>
                  </wp:positionH>
                  <wp:positionV relativeFrom="paragraph">
                    <wp:posOffset>10795</wp:posOffset>
                  </wp:positionV>
                  <wp:extent cx="981075" cy="1576070"/>
                  <wp:effectExtent l="0" t="0" r="9525" b="508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7"/>
                          <a:stretch>
                            <a:fillRect/>
                          </a:stretch>
                        </pic:blipFill>
                        <pic:spPr>
                          <a:xfrm>
                            <a:off x="0" y="0"/>
                            <a:ext cx="981075" cy="157607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50800</wp:posOffset>
                  </wp:positionH>
                  <wp:positionV relativeFrom="paragraph">
                    <wp:posOffset>8890</wp:posOffset>
                  </wp:positionV>
                  <wp:extent cx="901700" cy="1581150"/>
                  <wp:effectExtent l="0" t="0" r="12700" b="0"/>
                  <wp:wrapNone/>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8"/>
                          <a:stretch>
                            <a:fillRect/>
                          </a:stretch>
                        </pic:blipFill>
                        <pic:spPr>
                          <a:xfrm>
                            <a:off x="0" y="0"/>
                            <a:ext cx="901700" cy="15811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none" w:color="auto" w:sz="0" w:space="0"/>
                <w:lang w:val="en-US" w:eastAsia="zh-CN" w:bidi="ar"/>
              </w:rPr>
              <w:t>可按实际情况增减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专用防盗支架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根据现场安装环境定制，用于行车诱导警示屏固定，防盗设计专用。</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控制主机含嵌入式系统软件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 位主控芯片；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2、集成ARM Cortex-A53 四核 CPU， Mali-450 MP4 GPU，搭配 2GB LPDDR3、8GB eMMC；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3、外部接口均采用防雷设计；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4、系统支持能见度、气象、交通数据传感器、摄像机接入；</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5、支持气象采集设备联动，按照预案自动发布警示指令，通过本地主机查看多功能警示灯运行情况；</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6、可通过485接口，RJ45端口，进行数据上传和指令读取；</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供电系统</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单晶硅太阳能板≥20W，≥10Ah工业锂电池组，太阳能专用充放电控制模块；包含≥8块太阳板和≥8块锂电池</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左侧黄色反光标志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370*350*140mm铝板，正面贴黄色IV类反光膜</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主控系统立柱</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杆件总高度≤2000mm，无缝钢管，热镀锌、喷塑；钢管表面采用热镀锌工艺，锌层厚度 86 微米以上，进行喷塑处理。除锈按 SA2.5 级，环氧富锌底漆两度，氟碳面漆两度；</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273685</wp:posOffset>
                  </wp:positionH>
                  <wp:positionV relativeFrom="paragraph">
                    <wp:posOffset>64135</wp:posOffset>
                  </wp:positionV>
                  <wp:extent cx="1655445" cy="882650"/>
                  <wp:effectExtent l="0" t="0" r="1905" b="1270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9"/>
                          <a:stretch>
                            <a:fillRect/>
                          </a:stretch>
                        </pic:blipFill>
                        <pic:spPr>
                          <a:xfrm>
                            <a:off x="0" y="0"/>
                            <a:ext cx="1655445" cy="8826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抱杆机箱</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尺寸：240*400*130mm，内含固定板，220V/12V10A开关电源，空开防雷及5眼插座</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不小于76mm等径管抱箍及配套螺丝</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信号线</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RVVSP2*1.5</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电力电缆</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室外电缆RVV3*2.5</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钢管</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∅40-1.5</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5"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未按规定保持安全车距自动记录取证系统</w:t>
            </w:r>
          </w:p>
        </w:tc>
        <w:tc>
          <w:tcPr>
            <w:tcW w:w="114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一体化抓拍单元</w:t>
            </w:r>
          </w:p>
        </w:tc>
        <w:tc>
          <w:tcPr>
            <w:tcW w:w="749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1.环保车辆人脸卡口抓拍单元；环保车辆人脸卡口抓拍单元由防护罩组件及高清智能摄像机组成，抓拍单元防护罩前面板具有防尘、防水功能，以及 LED补光灯；内置摄像机采用双高清全局曝光CMOS。目标行为检测和特征识别的准确率高；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2.采用多光谱融合技术，可以在晚间使用内置LED灯结合红外爆闪灯的情况下，仍得到全彩的图片；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3.采用两个≥1英寸≥900万像素全局曝光CMOS智能高清摄像机，最大分辨率≥4096×2160，帧</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率≥25帧。输出图片格式：JPEG。支持白天用白光爆闪，晚上用内置灯加红外爆闪同步补光。抓拍图片可看清前排司乘人员人脸，并可用于后端人脸比对；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4.支持视频触发模式；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5.支持车牌、车型、车身颜色、车辆主品牌及子品牌、挂坠、安全带、遮阳板等信息识别。支持多种车牌种类识别：民用车牌，警用车牌，2012式新军用车牌，2012式武警车牌，新能源车牌等；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6.支持多种常见颜色（白、灰、黄、红、紫、绿、蓝、棕、黑等）识别；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7.支持多种车型识别：大客车、中型客车、大货车、小货车、面包车、小轿车及SUV等；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8.支持车辆检测处理器（RS-485协议）、雷达、补光灯的接入。支持远程数据上传，可将抓拍的9.图片上传给终端服务器、FTP服务器或者后端平台等；具有防尘、防水滴、防浪涌等功能；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10.接口，同步输入：SYNC信号灯电源同步输入触发输出：7路F+ F-输出接口，作为补光灯同步输出控制；一路继电器输出口；通讯接口：4个RS-485接口,1个RS-232接口；2个RJ45 10M/100M/1000M自适应以太网口；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11.抓拍功能：图片分辨率：4096(H)×2160(V)、图片格式：JPEG智能功能；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12.智能识别：</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（1）目标检测：机动车抓拍，非机动抓拍，行人抓拍；违章检测：超速、压线、逆行、禁止大货车等违法行为；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（2）车辆特征检测：车牌识别、车型识别、车身颜色识别、违章检测、车辆品牌等特征检测</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13.内部组件：防尘、防水面板、LED补光灯、支持协议；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14.压缩输出码率：32 Kbps~16 Mbps；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15.存储功能：TF;USB、帧率：25fps、视频分辨率：4096(H)×2160(V)；</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16.视频压缩标准：H.264;H.265;MJPEG；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17.终端接入：支持；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18.重量：5.5±0.5kg；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19.传感器类型：1英寸全局曝光CMOS（×2）；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20.尺寸：约180mm(W)×205mm(H)×636mm(D)；</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21.工作温度：-30℃~70℃；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22.电源：100VAC～240VAC；</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23.频率：48Hz～52Hz；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24.工作湿度：5%~95%@40℃；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25.无凝结摄像机参数配置功能：曝光速度、AGC控制、白平衡方式控制等。</w:t>
            </w:r>
          </w:p>
        </w:tc>
        <w:tc>
          <w:tcPr>
            <w:tcW w:w="6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3645"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49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36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补光灯</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铝合金灯体，鳍片式散热结构，面罩采用耐高温的PC材料，采用24颗原装高亮度LED芯片，稳定性好，发光效率高；带LED格栅；气体灯管，经专业光学设计，发光均匀，目标光斑显明，有效减少光污；采用步进电机功能，实现红外滤片的切换；LED控制采用恒流驱动技术，电流控制准确、稳定，有效减少光衰；气体光源回电时间小于67ms，支持超速连拍，气体补光控制具有峰值抑制功能；支持LED灯频闪、白光气体爆闪，红外气体爆闪；支持相机误触发保护功能，触发信号输入异常时自动保护、且自动恢复；灯体适应性强，安装简单，调节方便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一般规范工作温度：温度-30℃~70℃；电源：220VAC±10%；工作湿度：湿度5%~95%@40℃，无凝结</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安全车距智能终端</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1.采用嵌入式封装结构，支持前端数据稳定实时接入，支持数据存储及查询，前端设备的设置及相关配置；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2.高性能嵌入式处理器；内存：4G,存储：≥120G；</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3.网络接口：支持标准NTP/SNTP协议，10/100M/1000M以太网自适应；</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4.GPS、北斗双模定位，设备校时；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5.图像处理器：2个独立的显示输出支持EDP（最高分辨率2560x1600）或者LVDS（最高分辨率1920x1200），HDMI1.4a（最高分辨率1920x1200），VGA（最高分辨率2560x1600）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6.网   卡：支持2个RJ45（10/100/1000 Mb/s以太网）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SATA：支持1个mSATA和1个SATA2.0或者2个SATA2.0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USB：支持5个USB2.0和1个USB3.0/2.0（其中4个前置，2个内置）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7.串口：支持6个RS232(3线)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8.IO: 支持1个mPCIe,8个GPIO接口,1个SIM卡槽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9.声卡：高保真声卡（Line-in ,Line-out, Mic-in）</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10.显示器：10寸触摸式显示屏/轻触按键/自动复位；</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卡口终端服务器</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软件功能；支持≥12路H.265、H.264编码混合自适应接入；支持SDK、RTSP、ONVIF和GB28181添加相机通道；支持图片存储展示，包括车辆卡口、违法、人脸、人体以及其他事件结构化图片数据；支持视频预览、录像和回放，可配置录像计划，录像和图片存储空间可配置；支持本地浏览器查询数据，可设置多种筛选条件；查询结果可关联对应事件短录像；支持新国标电警应用，有反向卡口，需要图片六合一时，支持≥6个电警相机六合一；支持区间测速、区间限停和区间变道功能；支持多个相机抓拍数据匹配合成，三种匹配策略可选；支持多种字符叠加、图片合成模式；支持车牌黑白名单布防比对，黑白名单是否上传平台可配；支持双网隔离应用，可向两个隔离网络分别上传图片和视频数据；支持LED屏（默认交通诱导屏和出入口LED显示屏），音柱对接发布，发布条件和内容可自定义；硬件规格网络接口：≥2个10/100/1000M自适应以太网接口，双网卡，物理隔离；具备≥16个1000M以太网接口；具备≥2个光口（SFP）；硬盘接口：≥4个SATA接口；音频接口：≥1个音频输入接口、≥1个音频输出接口；IO报警接口：≥2路报警输入接口、≥2路报警输出接口；指示灯：电源/报警/硬盘/就绪，共4个状态指示灯；其他接口：≥2个RS-232接口、≥2个RS-485接口、≥1个USB3.0接口；工作温度-40℃～70℃、工作湿度10%～90%，无风扇设计，适合多种场景下应用；</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配电箱</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冷轧钢板制作，厚度≥1mm，含丝网印刷智慧乌海图案</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电力电缆</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RVV3*2.5</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含光纤收发器、8口千兆交换机、水晶头、扎带、空气开关、电源插排等</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AI微波感知研判单元</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（1）检测范围：2m-280m（2）波束宽度：45°x 50°（3）安装模式：正向 （4）检测方向：同向、反向、双向（5）检测车道数目：≥12个车道（6）检测目标数目：≥200个目标（7）检测精度：车流量检测精度≥98%、瞬时速度检测精度≥98%、平均车速检测精度≥98%（8）车速检测范围：至少满足20-180 km/h（9）通信端口：1路 RS485 异步串口，1 路 RJ45 网口（10）温度范围：－40℃—+70℃,（11）外壳指标：符合 IP65 国家标准（12）可靠性：MTBF&gt;30000小时（13）电源：12V 功率：&lt;5W</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车辆跟踪定位模块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车辆轨迹跟踪，行驶状态定位检测</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车速精测模块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车辆速度检测</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车距精测模块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跟踪检测车辆间距</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车辆变道检测模块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跟踪检测车辆变道行为</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车辆减速检测模块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跟踪检测车辆减速行为</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不按规定车道行驶检测模块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跟踪检测车辆类型及行驶车道</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占用应急车道行驶检测模块</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跟踪检测占用应急车道行驶的行为</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多隐层车牌过滤识别系统</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号牌的识别过滤</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违法数据处理软件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各种违法数据的处理</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侧装补光灯I杆件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杆件高度2500mm，直径≥90mm，壁厚≥3mm，采用无缝钢管，无成悍、假焊、裂缝等缺陷:工件喷涂处理: 热镀锌(被层厚度≥86微米) ，除锈按SA2.5级环氧富锌底漆两度，氟碳面漆两度。</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72390</wp:posOffset>
                  </wp:positionH>
                  <wp:positionV relativeFrom="paragraph">
                    <wp:posOffset>22225</wp:posOffset>
                  </wp:positionV>
                  <wp:extent cx="1540510" cy="846455"/>
                  <wp:effectExtent l="0" t="0" r="2540" b="10795"/>
                  <wp:wrapNone/>
                  <wp:docPr id="3" name="图片_9"/>
                  <wp:cNvGraphicFramePr/>
                  <a:graphic xmlns:a="http://schemas.openxmlformats.org/drawingml/2006/main">
                    <a:graphicData uri="http://schemas.openxmlformats.org/drawingml/2006/picture">
                      <pic:pic xmlns:pic="http://schemas.openxmlformats.org/drawingml/2006/picture">
                        <pic:nvPicPr>
                          <pic:cNvPr id="3" name="图片_9"/>
                          <pic:cNvPicPr/>
                        </pic:nvPicPr>
                        <pic:blipFill>
                          <a:blip r:embed="rId10"/>
                          <a:stretch>
                            <a:fillRect/>
                          </a:stretch>
                        </pic:blipFill>
                        <pic:spPr>
                          <a:xfrm>
                            <a:off x="0" y="0"/>
                            <a:ext cx="1540510" cy="8464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前方抓拍提示牌</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标牌尺寸1500*2000mm，≥3mm铝板；标牌、文字、反光膜:符合GB5768.2-2022和GB/T18833-2012相关要求。反光膜符合IV类膜要求</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102235</wp:posOffset>
                  </wp:positionH>
                  <wp:positionV relativeFrom="paragraph">
                    <wp:posOffset>31750</wp:posOffset>
                  </wp:positionV>
                  <wp:extent cx="1744980" cy="1028065"/>
                  <wp:effectExtent l="0" t="0" r="7620" b="635"/>
                  <wp:wrapNone/>
                  <wp:docPr id="2" name="图片_7"/>
                  <wp:cNvGraphicFramePr/>
                  <a:graphic xmlns:a="http://schemas.openxmlformats.org/drawingml/2006/main">
                    <a:graphicData uri="http://schemas.openxmlformats.org/drawingml/2006/picture">
                      <pic:pic xmlns:pic="http://schemas.openxmlformats.org/drawingml/2006/picture">
                        <pic:nvPicPr>
                          <pic:cNvPr id="2" name="图片_7"/>
                          <pic:cNvPicPr/>
                        </pic:nvPicPr>
                        <pic:blipFill>
                          <a:blip r:embed="rId11"/>
                          <a:stretch>
                            <a:fillRect/>
                          </a:stretch>
                        </pic:blipFill>
                        <pic:spPr>
                          <a:xfrm>
                            <a:off x="0" y="0"/>
                            <a:ext cx="1744980" cy="10280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车间据提示牌</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标牌尺寸1200*960mm，≥3mm铝板；标牌、文字、反光膜:符合GB5768.2-2022和GB/T18833-2012相关要求。反光膜符合IV类膜要求；包含0m、50m、100m标牌</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78105</wp:posOffset>
                  </wp:positionV>
                  <wp:extent cx="1677035" cy="887095"/>
                  <wp:effectExtent l="0" t="0" r="18415" b="8255"/>
                  <wp:wrapNone/>
                  <wp:docPr id="1" name="图片_8"/>
                  <wp:cNvGraphicFramePr/>
                  <a:graphic xmlns:a="http://schemas.openxmlformats.org/drawingml/2006/main">
                    <a:graphicData uri="http://schemas.openxmlformats.org/drawingml/2006/picture">
                      <pic:pic xmlns:pic="http://schemas.openxmlformats.org/drawingml/2006/picture">
                        <pic:nvPicPr>
                          <pic:cNvPr id="1" name="图片_8"/>
                          <pic:cNvPicPr/>
                        </pic:nvPicPr>
                        <pic:blipFill>
                          <a:blip r:embed="rId12"/>
                          <a:stretch>
                            <a:fillRect/>
                          </a:stretch>
                        </pic:blipFill>
                        <pic:spPr>
                          <a:xfrm>
                            <a:off x="0" y="0"/>
                            <a:ext cx="1677035" cy="8870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提示牌立杆</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抓拍提示牌杆件：杆件高度4000mm，直径180mm，壁厚≥4mm；车间距提示牌杆件：杆件高度3000mm，直径150mm，壁厚≥4mm；采用无缝钢管，无成悍、假焊、裂缝等缺陷:工件喷涂处理: 热镀锌(被层厚度≥86微米) ，除锈按SA2.5级环氧富锌底漆两度，氟碳面漆两度。</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58420</wp:posOffset>
                  </wp:positionH>
                  <wp:positionV relativeFrom="paragraph">
                    <wp:posOffset>57150</wp:posOffset>
                  </wp:positionV>
                  <wp:extent cx="1596390" cy="827405"/>
                  <wp:effectExtent l="0" t="0" r="3810" b="10795"/>
                  <wp:wrapNone/>
                  <wp:docPr id="10" name="图片_10"/>
                  <wp:cNvGraphicFramePr/>
                  <a:graphic xmlns:a="http://schemas.openxmlformats.org/drawingml/2006/main">
                    <a:graphicData uri="http://schemas.openxmlformats.org/drawingml/2006/picture">
                      <pic:pic xmlns:pic="http://schemas.openxmlformats.org/drawingml/2006/picture">
                        <pic:nvPicPr>
                          <pic:cNvPr id="10" name="图片_10"/>
                          <pic:cNvPicPr/>
                        </pic:nvPicPr>
                        <pic:blipFill>
                          <a:blip r:embed="rId13"/>
                          <a:stretch>
                            <a:fillRect/>
                          </a:stretch>
                        </pic:blipFill>
                        <pic:spPr>
                          <a:xfrm>
                            <a:off x="0" y="0"/>
                            <a:ext cx="1596390" cy="8274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L杆件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bdr w:val="none" w:color="auto" w:sz="0" w:space="0"/>
                <w:lang w:val="en-US" w:eastAsia="zh-CN" w:bidi="ar"/>
              </w:rPr>
              <w:t>L型杆件高6.5米，横臂16米，立杆壁厚≥10mm,距底部2.5米开</w:t>
            </w:r>
            <w:r>
              <w:rPr>
                <w:rStyle w:val="7"/>
                <w:rFonts w:eastAsia="宋体"/>
                <w:bdr w:val="none" w:color="auto" w:sz="0" w:space="0"/>
                <w:lang w:val="en-US" w:eastAsia="zh-CN" w:bidi="ar"/>
              </w:rPr>
              <w:t>φ</w:t>
            </w:r>
            <w:r>
              <w:rPr>
                <w:rStyle w:val="8"/>
                <w:bdr w:val="none" w:color="auto" w:sz="0" w:space="0"/>
                <w:lang w:val="en-US" w:eastAsia="zh-CN" w:bidi="ar"/>
              </w:rPr>
              <w:t>50穿线孔。横臂壁厚8mm,横臂上部安装万向节导轨，下部每隔1米开30*50腰孔。设备杆件及主要构件应为耐用结构，应采用热浸镀锌层防护；杆件及其主要构件所有焊接处焊缝应符合标准要求，表面应光滑平顺，无气孔、焊渣及漏焊等缺陷；</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管控区域及管控等级提示牌</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提示牌</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铝板贴膜1900*1400mm，含P10双色，2行2列 *2 LED显示屏，可变显示当前管控等级、当前气象状态。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字符样式及大小应满足《道路交通标志和标线》GB5768标准。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其中，字样应有：“您已进入恶劣气象管控路段，管控等级*级，天气情况**”，其中的“*”为可变显示内容，P10双色，2行2列 *2</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32385</wp:posOffset>
                  </wp:positionV>
                  <wp:extent cx="1605915" cy="847090"/>
                  <wp:effectExtent l="0" t="0" r="13335" b="10160"/>
                  <wp:wrapNone/>
                  <wp:docPr id="11" name="图片_11"/>
                  <wp:cNvGraphicFramePr/>
                  <a:graphic xmlns:a="http://schemas.openxmlformats.org/drawingml/2006/main">
                    <a:graphicData uri="http://schemas.openxmlformats.org/drawingml/2006/picture">
                      <pic:pic xmlns:pic="http://schemas.openxmlformats.org/drawingml/2006/picture">
                        <pic:nvPicPr>
                          <pic:cNvPr id="11" name="图片_11"/>
                          <pic:cNvPicPr/>
                        </pic:nvPicPr>
                        <pic:blipFill>
                          <a:blip r:embed="rId14"/>
                          <a:stretch>
                            <a:fillRect/>
                          </a:stretch>
                        </pic:blipFill>
                        <pic:spPr>
                          <a:xfrm>
                            <a:off x="0" y="0"/>
                            <a:ext cx="1605915" cy="8470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提示牌杆件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立柱，杆件高6米，壁厚≥4mm，直径≥140mm，杆件及其主要构件均应采用热浸镀锌层防护；杆件及其主要构件所有焊接处焊缝应符合标准要求，表面应光滑平顺，无气孔、焊渣及漏焊等缺陷；杆件及其主要构件外壳应满足露天使用环境的要求；杆件及其主要构件应设有可靠接地装置。</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31115</wp:posOffset>
                  </wp:positionV>
                  <wp:extent cx="1623695" cy="1009015"/>
                  <wp:effectExtent l="0" t="0" r="14605" b="635"/>
                  <wp:wrapNone/>
                  <wp:docPr id="12" name="图片_12"/>
                  <wp:cNvGraphicFramePr/>
                  <a:graphic xmlns:a="http://schemas.openxmlformats.org/drawingml/2006/main">
                    <a:graphicData uri="http://schemas.openxmlformats.org/drawingml/2006/picture">
                      <pic:pic xmlns:pic="http://schemas.openxmlformats.org/drawingml/2006/picture">
                        <pic:nvPicPr>
                          <pic:cNvPr id="12" name="图片_12"/>
                          <pic:cNvPicPr/>
                        </pic:nvPicPr>
                        <pic:blipFill>
                          <a:blip r:embed="rId15"/>
                          <a:stretch>
                            <a:fillRect/>
                          </a:stretch>
                        </pic:blipFill>
                        <pic:spPr>
                          <a:xfrm>
                            <a:off x="0" y="0"/>
                            <a:ext cx="1623695" cy="10090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控制软件</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控制管控等级及天气情况的发布</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安装辅材</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安装支架、紧固件、线材等；</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恶劣天气智能行车综合管理平台</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恶劣天气智能行车综合管理平台</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1.交通气象监测模块：气象信息的收集分析及恶劣天气分级预警管控等。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2.预警信息发布模块：通过可变LED预警屏及语音交互系统发布可变限速及恶劣天气等。</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预警信息行车安全诱导模块：控制发布恶劣天气行车诱导信息。设备管理模块：设备的地图展示及状态管理等资产管理：支持每台设备建一个档案；前端设备请求上线后，中心端会根据上线的设备信息查询到对应的参数配置，并下发给前端设备，保证设备开机就可立即获取到最新的配置数据，同时中心端也可以根据设备的配置策略以及所关联的气象设备实时调整设备工作内容，同时中心端也会根据客户端的操作请求同步修改在线设备的工作内容。接口数据主要包含行车诱导设备、可变限速发布设备，气象采集设备，具备与信息采集和发布系统下发定时限速内容接口进行交互，发送消息并正确接收平台响应的能力。</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数据对接开发</w:t>
            </w:r>
          </w:p>
        </w:tc>
        <w:tc>
          <w:tcPr>
            <w:tcW w:w="7494" w:type="dxa"/>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接口对接内容包括：设备备案编号、设备私有编号、设备类型、设备名称、管理单位编号、管理员姓名、备注、设备地址、道路名称、车道数、方向类型、方向描述、行政区划编号、道路类型、设备经度、设备纬度、设备承建单位、设备建设时间、设备IP地址、设备端口等、详细协议见附件。</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详细对接协议见附件，或可根据第三方平台的标准协议做定制对接。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服务器</w:t>
            </w:r>
          </w:p>
        </w:tc>
        <w:tc>
          <w:tcPr>
            <w:tcW w:w="74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CPU：≥2颗处理器，核数≥10核，主频≥2.4GHz；</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内存：≥128G DDR4，16根内存插槽，最大支持扩展至≥2TB内存,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硬盘：≥2块600G 10K 2.5寸 SAS硬盘,阵列,SAS_HBA卡, 支持RAID 0/1/10</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PCIE扩展：≥6个PCIE扩展插槽</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网口：2个千兆电口；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其他接口：1个RJ45管理接口，后置≥2个USB 3.0接口，前置≥2个USB2.0接口，≥1个VGA接口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电源：550W（1+1）</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w:t>
            </w:r>
          </w:p>
        </w:tc>
        <w:tc>
          <w:tcPr>
            <w:tcW w:w="1110"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安装施工调测</w:t>
            </w: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预埋件、地笼</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16米杆配套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预埋件、地笼</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主控系统立柱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预埋件、地笼</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可变信息发布LED屏立杆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预埋件、地笼</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侧装补光灯I杆件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预埋件、地笼</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提示牌杆件立杆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人工挖坑</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1400*1200*1000mm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人工挖坑</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600*600*600mm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人工挖坑</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500*500*500mm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人工挖坑</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1000*1000*1000mm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土方外运</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支模板</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混凝土浇筑</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接地、预留线管</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拆模板</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恢复路面</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16米杆配套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主控系统立柱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可变信息发布LED屏立杆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侧装补光灯I杆件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立杆安装</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提示牌杆件立杆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安装信息发布屏</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安装出口警示系统</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安装警示灯及反光标志</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敷设布放钢管</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安装卡口及补光灯设备</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含4套卡口相机及8台补光灯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安装安全车距智能终端</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安装AI微波感知研判单元</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安装提示牌</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安装管控区域提示牌</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设备安装</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人工穿线</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米</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二次运输费</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864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吊装费</w:t>
            </w:r>
          </w:p>
        </w:tc>
        <w:tc>
          <w:tcPr>
            <w:tcW w:w="6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6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维护费</w:t>
            </w:r>
          </w:p>
        </w:tc>
        <w:tc>
          <w:tcPr>
            <w:tcW w:w="1146"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000000"/>
                <w:sz w:val="22"/>
                <w:szCs w:val="22"/>
                <w:u w:val="none"/>
              </w:rPr>
            </w:pPr>
          </w:p>
        </w:tc>
        <w:tc>
          <w:tcPr>
            <w:tcW w:w="749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left"/>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3645"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电路租赁费</w:t>
            </w:r>
          </w:p>
        </w:tc>
        <w:tc>
          <w:tcPr>
            <w:tcW w:w="1146"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000000"/>
                <w:sz w:val="22"/>
                <w:szCs w:val="22"/>
                <w:u w:val="none"/>
              </w:rPr>
            </w:pPr>
          </w:p>
        </w:tc>
        <w:tc>
          <w:tcPr>
            <w:tcW w:w="749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jc w:val="left"/>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3645"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NzA0NTVjYjk5ZDY4ODRkMWRkOWNmNzRmM2YyMzEifQ=="/>
  </w:docVars>
  <w:rsids>
    <w:rsidRoot w:val="00000000"/>
    <w:rsid w:val="5936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uiPriority w:val="0"/>
    <w:rPr>
      <w:rFonts w:hint="eastAsia" w:ascii="宋体" w:hAnsi="宋体" w:eastAsia="宋体" w:cs="宋体"/>
      <w:color w:val="000000"/>
      <w:sz w:val="22"/>
      <w:szCs w:val="22"/>
      <w:u w:val="none"/>
    </w:rPr>
  </w:style>
  <w:style w:type="character" w:customStyle="1" w:styleId="7">
    <w:name w:val="font61"/>
    <w:basedOn w:val="5"/>
    <w:uiPriority w:val="0"/>
    <w:rPr>
      <w:rFonts w:ascii="Calibri" w:hAnsi="Calibri" w:cs="Calibri"/>
      <w:color w:val="000000"/>
      <w:sz w:val="22"/>
      <w:szCs w:val="22"/>
      <w:u w:val="none"/>
    </w:rPr>
  </w:style>
  <w:style w:type="character" w:customStyle="1" w:styleId="8">
    <w:name w:val="font0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2023-11-23T08:57:42Z</dcterms:created>
  <dc:creator>Administrator</dc:creator>
  <cp:lastModifiedBy> </cp:lastModifiedBy>
  <dcterms:modified xsi:type="dcterms:W3CDTF">2023-11-23T09:04:25Z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DC3660642A984DE1AF68F216FFD8543F_12</vt:lpwstr>
  </property>
</Properties>
</file>