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497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eastAsia="zh-CN"/>
        </w:rPr>
        <w:t>附件一：技术要求</w:t>
      </w:r>
    </w:p>
    <w:p>
      <w:pPr>
        <w:spacing w:line="105" w:lineRule="exact"/>
      </w:pPr>
    </w:p>
    <w:tbl>
      <w:tblPr>
        <w:tblStyle w:val="4"/>
        <w:tblW w:w="502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227"/>
        <w:gridCol w:w="10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before="30" w:line="360" w:lineRule="auto"/>
              <w:jc w:val="center"/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eastAsia="zh-CN"/>
              </w:rPr>
              <w:t>一、软件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8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网站内容管理系统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159" w:line="360" w:lineRule="auto"/>
              <w:ind w:left="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建设海勃湾区人民政府门户网站专用网站内容管理系统，包括栏目管理、内容资源管理、内容编辑、模板管理、词汇管理、内容发布等功能，同时提供便捷易用的富文本编辑器、全流程稿件管理、错敏词筛查等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特色功能。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38" w:type="pct"/>
            <w:vAlign w:val="center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网站智能搜索系统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141" w:line="360" w:lineRule="auto"/>
              <w:ind w:left="51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智能搜索系统按照《政府网站发展指引》(国办发(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2017〕47号)与《关于印发政府网站与政务新媒体检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查指标》有关要求，借鉴国内领先政府网站搜索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特点，紧密结合海勃湾区政府门户网站信息内容与服务特色，构建政府网站统一的智能化、场景化新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一代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搜索服务引擎，实现一个搜索框中一键搜索到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海勃湾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区门户网站、内蒙古政务服务网、移动门户等全部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信息与服务，全面支持电脑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PC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端与手机移动端搜索服务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38" w:type="pct"/>
            <w:vAlign w:val="center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网站政务公开系统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163" w:line="360" w:lineRule="auto"/>
              <w:ind w:left="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依据《八项地方标准》,建设标准化、规范化的海勃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湾区人民政府信息公开平台，保障同网站栏目内容交叉数据同源、同其他相关应用系统实现数据衔接，最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限度保持数据一致性。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按《八项地方标准》要求，同时参考自治区政府、呼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和浩特市新城区政府信息公开平台全部页面进行改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版，包括颜色、宽度、展示形式等。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38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网站信息报送系统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68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支持海勃湾下级部门便捷向海勃湾区政府报送信息，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配置完成后，可实现稿件信息的互通共享，同时支持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将稿件直接灌入到目标栏目完成自动发布，减少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次维护工作量，亦支持将稿件灌入到不对前台发布的特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定栏目中，以供站点管理员对稿件进行筛选使用。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38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网站云防护服务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(云服务)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182" w:line="360" w:lineRule="auto"/>
              <w:ind w:right="1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提供一个域名一年网站应用安全云防护服务，重点防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护内容包括：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Web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攻击防护服务、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DDoS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攻击共享型防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护服务、CC攻击防护服务、高防DNS服务、网站缓存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加速、防护配置、并提供一年售后服务，确保网站正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常、有序、安全运行。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38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网站防篡改系统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182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支持分布式架构，具备独立的防篡改管理中心，支持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对网页文件、上传文件、动态文件、配置文件等不同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文件类型的防篡改防护。防护功能包括内嵌比对、轮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询比对、驱动过滤、轮询扫描、驱动扫描、发布扫描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六种本地防护手段；网页监测、应用防护两种网络防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护手段。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38" w:type="pct"/>
            <w:vAlign w:val="center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网站智能问答机器</w:t>
            </w:r>
          </w:p>
          <w:p>
            <w:pPr>
              <w:spacing w:before="40" w:line="360" w:lineRule="auto"/>
              <w:ind w:left="3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人(云服务)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214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建设智能问答机器人，以一问一答形式，通过与用户进行互动，为网站用户提供个性化的问答服务，通过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自然语言处理等相关技术，自动解答用户咨询，智能问答功能包括：多轮引导对话能力模块、相关问题推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送模块、相似问题识别能力模块、容错纠错能力模块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、智能应答服务模块、知识满意度评价模块、热点问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题推送模块、引导留言模块、智能知识推送模块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before="214" w:line="360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eastAsia="zh-CN"/>
              </w:rPr>
              <w:t>二、实施服务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top"/>
          </w:tcPr>
          <w:p>
            <w:pPr>
              <w:spacing w:before="71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8" w:type="pct"/>
            <w:vAlign w:val="top"/>
          </w:tcPr>
          <w:p>
            <w:pPr>
              <w:spacing w:before="7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门户网站改版升级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top"/>
          </w:tcPr>
          <w:p>
            <w:pPr>
              <w:spacing w:before="69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基于政策及海勃湾区业务需求，对标最新的政府网站考核指标，同时按照《政府网站发展指引》页面设计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规范要求，规划并设计门户网站PC端，页面包含首页、要闻动态、政务公开、办事服务、互动交流、机构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概况、领导信箱、意见征集、在线访谈、政府信息公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开平台等页面，全新设计版面，开发实施。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top"/>
          </w:tcPr>
          <w:p>
            <w:pPr>
              <w:spacing w:before="71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8" w:type="pct"/>
            <w:vAlign w:val="top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移动门户建设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top"/>
          </w:tcPr>
          <w:p>
            <w:pPr>
              <w:spacing w:before="83" w:line="360" w:lineRule="auto"/>
              <w:ind w:left="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多终端自适应移动门户网站要满足用户使用多终端浏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览网站需求，实现PC网站、移动门户的统一内容管理。充分利用HTML5多设备跨平台的优点，采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5+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CSS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3开发，支持手机、平板、电脑等多终端自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应显示，支持i0S、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Android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Windows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Phone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等各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种客户端系统，支持主流手机浏览器的访问，可以给用户呈现最佳的网页视觉效果，以适应移动端用户的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浏览习惯。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top"/>
          </w:tcPr>
          <w:p>
            <w:pPr>
              <w:spacing w:before="71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8" w:type="pct"/>
            <w:vAlign w:val="top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政策问答库建设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top"/>
          </w:tcPr>
          <w:p>
            <w:pPr>
              <w:spacing w:before="305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建设海勃湾区人民政府网站政策问答库，将对网站政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策文件进行梳理，形成一个具备知识自主挖掘与归集能力、分类展示热点问题并予以准确、客观回答、快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速定位查找内容的智能化政策问答平台。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top"/>
          </w:tcPr>
          <w:p>
            <w:pPr>
              <w:spacing w:before="71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8" w:type="pct"/>
            <w:vAlign w:val="top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网站适老化改造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top"/>
          </w:tcPr>
          <w:p>
            <w:pPr>
              <w:spacing w:before="202" w:line="360" w:lineRule="auto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依据国家标准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/T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37668-2019《信息技术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互联网内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容无障碍可访问性技术要求与测试方法》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一、二级技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指标及《互联网适老化通用设计规范》,依据现有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网站页面结构进行适老化建设，达到适老化规范要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求，同时充分考虑到老年人的使用习惯，通过无障碍引导、语音朗读、字体放大等方式辅助浏览阅读网站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政务信息，进一步满足不同用户访问需求。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3"/>
            <w:vAlign w:val="top"/>
          </w:tcPr>
          <w:p>
            <w:pPr>
              <w:spacing w:before="202" w:line="360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eastAsia="zh-CN"/>
              </w:rPr>
              <w:t>三、运维服务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7" w:type="pct"/>
            <w:vAlign w:val="center"/>
          </w:tcPr>
          <w:p>
            <w:pPr>
              <w:spacing w:before="71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8" w:type="pct"/>
            <w:vAlign w:val="center"/>
          </w:tcPr>
          <w:p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网站运维服务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  <w:tc>
          <w:tcPr>
            <w:tcW w:w="3823" w:type="pct"/>
            <w:vAlign w:val="center"/>
          </w:tcPr>
          <w:p>
            <w:pPr>
              <w:spacing w:before="202" w:line="360" w:lineRule="auto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借助成熟的网站运维服务满足网站运行维护的实际需求，保障网站稳定运行，同时帮助用户及时、快速、可靠地解决网站在使用过程中所遇到的各类问题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429" w:lineRule="auto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sectPr>
      <w:headerReference r:id="rId5" w:type="default"/>
      <w:footerReference r:id="rId6" w:type="default"/>
      <w:pgSz w:w="16820" w:h="1190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kMjNlZWRhN2M4MDNkMWUwZjEyZjdhZDE2NWRmMzcifQ=="/>
  </w:docVars>
  <w:rsids>
    <w:rsidRoot w:val="00000000"/>
    <w:rsid w:val="03553304"/>
    <w:rsid w:val="04C0433E"/>
    <w:rsid w:val="04F31198"/>
    <w:rsid w:val="08C43471"/>
    <w:rsid w:val="0AEC3153"/>
    <w:rsid w:val="0AED6133"/>
    <w:rsid w:val="0B8C3CA5"/>
    <w:rsid w:val="0CA86033"/>
    <w:rsid w:val="0E0F40AA"/>
    <w:rsid w:val="0E29085B"/>
    <w:rsid w:val="0FBA381F"/>
    <w:rsid w:val="10F36FE9"/>
    <w:rsid w:val="11CB38E0"/>
    <w:rsid w:val="137D2B9A"/>
    <w:rsid w:val="149C1746"/>
    <w:rsid w:val="15C9016D"/>
    <w:rsid w:val="174B2FAF"/>
    <w:rsid w:val="1A295829"/>
    <w:rsid w:val="1AA11864"/>
    <w:rsid w:val="1ADD03C2"/>
    <w:rsid w:val="1E483440"/>
    <w:rsid w:val="1F300115"/>
    <w:rsid w:val="259E35AA"/>
    <w:rsid w:val="26336079"/>
    <w:rsid w:val="281079D4"/>
    <w:rsid w:val="286E4D4F"/>
    <w:rsid w:val="2A473892"/>
    <w:rsid w:val="2C9F05EE"/>
    <w:rsid w:val="2EC61641"/>
    <w:rsid w:val="326E06BF"/>
    <w:rsid w:val="3A422978"/>
    <w:rsid w:val="3A986AFB"/>
    <w:rsid w:val="3C94292D"/>
    <w:rsid w:val="3CFE20C6"/>
    <w:rsid w:val="3D6A733F"/>
    <w:rsid w:val="43AD1D66"/>
    <w:rsid w:val="43C743B1"/>
    <w:rsid w:val="44D35F39"/>
    <w:rsid w:val="44E42260"/>
    <w:rsid w:val="4A7D4746"/>
    <w:rsid w:val="4FF26FAA"/>
    <w:rsid w:val="50D43A3A"/>
    <w:rsid w:val="534068EC"/>
    <w:rsid w:val="540D20E2"/>
    <w:rsid w:val="54526FF0"/>
    <w:rsid w:val="55BD3B21"/>
    <w:rsid w:val="58CD2491"/>
    <w:rsid w:val="59481C0B"/>
    <w:rsid w:val="5A587D48"/>
    <w:rsid w:val="5ACD46E2"/>
    <w:rsid w:val="5BAF30D9"/>
    <w:rsid w:val="5C3543D2"/>
    <w:rsid w:val="5D6752DF"/>
    <w:rsid w:val="5EE950CF"/>
    <w:rsid w:val="5F4F6756"/>
    <w:rsid w:val="602D42F6"/>
    <w:rsid w:val="63B975F1"/>
    <w:rsid w:val="64B81776"/>
    <w:rsid w:val="654A75D3"/>
    <w:rsid w:val="680C3022"/>
    <w:rsid w:val="68C53596"/>
    <w:rsid w:val="699F29DF"/>
    <w:rsid w:val="6B867323"/>
    <w:rsid w:val="6BD2201D"/>
    <w:rsid w:val="6C3E27BE"/>
    <w:rsid w:val="6D47333A"/>
    <w:rsid w:val="6D7B72BF"/>
    <w:rsid w:val="6EA6211A"/>
    <w:rsid w:val="71C22190"/>
    <w:rsid w:val="72F97723"/>
    <w:rsid w:val="73307239"/>
    <w:rsid w:val="73A40BF2"/>
    <w:rsid w:val="749A7D0E"/>
    <w:rsid w:val="74A40C7B"/>
    <w:rsid w:val="79455C0B"/>
    <w:rsid w:val="798E181F"/>
    <w:rsid w:val="79D80533"/>
    <w:rsid w:val="7DF82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2023-08-23T11:04:00Z</dcterms:created>
  <dc:creator>Kingsoft-PDF</dc:creator>
  <cp:lastModifiedBy> </cp:lastModifiedBy>
  <dcterms:modified xsi:type="dcterms:W3CDTF">2023-11-10T08:57:40Z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2023-08-23T11:04:37Z</vt:filetime>
  </property>
  <property fmtid="{D5CDD505-2E9C-101B-9397-08002B2CF9AE}" pid="4" name="UsrData">
    <vt:lpwstr>64e57733026568001f534759</vt:lpwstr>
  </property>
  <property fmtid="{D5CDD505-2E9C-101B-9397-08002B2CF9AE}" pid="5" name="KSOProductBuildVer">
    <vt:lpwstr>2052-12.1.0.15712</vt:lpwstr>
  </property>
  <property fmtid="{D5CDD505-2E9C-101B-9397-08002B2CF9AE}" pid="6" name="ICV">
    <vt:lpwstr>435CECD4DF804F64AE2890521735FC2C_12</vt:lpwstr>
  </property>
</Properties>
</file>