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60" w:lineRule="auto"/>
        <w:ind w:left="1042" w:right="1129" w:firstLine="0"/>
        <w:jc w:val="center"/>
        <w:rPr>
          <w:rFonts w:hint="eastAsia" w:ascii="宋体" w:hAnsi="宋体" w:eastAsia="宋体" w:cs="宋体"/>
          <w:b/>
          <w:bCs/>
          <w:color w:val="auto"/>
          <w:sz w:val="29"/>
          <w:szCs w:val="29"/>
          <w:lang w:val="en-US" w:eastAsia="en-US" w:bidi="ar-SA"/>
        </w:rPr>
      </w:pPr>
    </w:p>
    <w:p>
      <w:pPr>
        <w:jc w:val="both"/>
        <w:rPr>
          <w:rFonts w:hint="eastAsia" w:ascii="宋体" w:hAnsi="宋体" w:eastAsia="宋体" w:cs="宋体"/>
          <w:b/>
          <w:sz w:val="56"/>
          <w:szCs w:val="18"/>
          <w:lang w:eastAsia="zh-CN"/>
        </w:rPr>
      </w:pPr>
    </w:p>
    <w:p>
      <w:pPr>
        <w:jc w:val="center"/>
        <w:rPr>
          <w:rFonts w:hint="eastAsia" w:ascii="宋体" w:hAnsi="宋体" w:eastAsia="宋体" w:cs="宋体"/>
          <w:b/>
          <w:highlight w:val="none"/>
          <w:lang w:eastAsia="zh-CN"/>
        </w:rPr>
      </w:pPr>
      <w:bookmarkStart w:id="11" w:name="_GoBack"/>
      <w:r>
        <w:rPr>
          <w:rFonts w:hint="eastAsia" w:cs="宋体"/>
          <w:b/>
          <w:sz w:val="56"/>
          <w:szCs w:val="18"/>
          <w:highlight w:val="none"/>
          <w:lang w:eastAsia="zh-CN"/>
        </w:rPr>
        <w:t>赤峰市中心城市环卫设施专项规划</w:t>
      </w:r>
      <w:r>
        <w:rPr>
          <w:rFonts w:hint="eastAsia" w:ascii="宋体" w:hAnsi="宋体" w:eastAsia="宋体" w:cs="宋体"/>
          <w:b/>
          <w:sz w:val="56"/>
          <w:szCs w:val="18"/>
          <w:highlight w:val="none"/>
        </w:rPr>
        <w:t>合</w:t>
      </w:r>
      <w:r>
        <w:rPr>
          <w:rFonts w:hint="eastAsia" w:cs="宋体"/>
          <w:b/>
          <w:sz w:val="56"/>
          <w:szCs w:val="18"/>
          <w:highlight w:val="none"/>
          <w:lang w:eastAsia="zh-CN"/>
        </w:rPr>
        <w:t>同</w:t>
      </w:r>
    </w:p>
    <w:bookmarkEnd w:id="11"/>
    <w:p>
      <w:pPr>
        <w:pStyle w:val="9"/>
        <w:rPr>
          <w:rFonts w:hint="eastAsia" w:ascii="宋体" w:hAnsi="宋体" w:eastAsia="宋体" w:cs="宋体"/>
          <w:b/>
        </w:rPr>
      </w:pPr>
    </w:p>
    <w:p>
      <w:pPr>
        <w:pStyle w:val="9"/>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pStyle w:val="8"/>
        <w:rPr>
          <w:rFonts w:hint="eastAsia" w:ascii="宋体" w:hAnsi="宋体" w:eastAsia="宋体" w:cs="宋体"/>
          <w:b/>
        </w:rPr>
      </w:pPr>
    </w:p>
    <w:p>
      <w:pPr>
        <w:pStyle w:val="9"/>
        <w:rPr>
          <w:rFonts w:hint="eastAsia" w:ascii="宋体" w:hAnsi="宋体" w:eastAsia="宋体" w:cs="宋体"/>
          <w:b/>
        </w:rPr>
      </w:pPr>
    </w:p>
    <w:p>
      <w:pPr>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rPr>
          <w:rFonts w:hint="eastAsia" w:ascii="宋体" w:hAnsi="宋体" w:eastAsia="宋体" w:cs="宋体"/>
        </w:rPr>
      </w:pPr>
    </w:p>
    <w:p>
      <w:pPr>
        <w:spacing w:line="360" w:lineRule="auto"/>
        <w:ind w:left="850" w:firstLine="425"/>
        <w:rPr>
          <w:rFonts w:hint="default" w:ascii="宋体" w:hAnsi="宋体" w:eastAsia="宋体" w:cs="宋体"/>
          <w:b/>
          <w:sz w:val="11"/>
          <w:szCs w:val="21"/>
          <w:u w:val="single"/>
          <w:lang w:val="en-US"/>
        </w:rPr>
      </w:pPr>
      <w:r>
        <w:rPr>
          <w:rFonts w:hint="eastAsia" w:ascii="宋体" w:hAnsi="宋体" w:eastAsia="宋体" w:cs="宋体"/>
          <w:b/>
          <w:sz w:val="28"/>
          <w:szCs w:val="21"/>
        </w:rPr>
        <w:t>项 目 名 称：</w:t>
      </w:r>
      <w:r>
        <w:rPr>
          <w:rFonts w:hint="eastAsia" w:ascii="宋体" w:hAnsi="宋体" w:eastAsia="宋体" w:cs="宋体"/>
          <w:b/>
          <w:sz w:val="28"/>
          <w:szCs w:val="21"/>
          <w:u w:val="single"/>
          <w:lang w:val="en-US" w:eastAsia="zh-CN"/>
        </w:rPr>
        <w:t xml:space="preserve">       </w:t>
      </w:r>
      <w:r>
        <w:rPr>
          <w:rFonts w:hint="eastAsia" w:cs="宋体"/>
          <w:b w:val="0"/>
          <w:bCs w:val="0"/>
          <w:sz w:val="28"/>
          <w:szCs w:val="21"/>
          <w:u w:val="single"/>
          <w:lang w:eastAsia="zh-CN"/>
        </w:rPr>
        <w:t>赤峰市中心城市环卫设施专项规划</w:t>
      </w:r>
      <w:r>
        <w:rPr>
          <w:rFonts w:hint="eastAsia" w:ascii="宋体" w:hAnsi="宋体" w:eastAsia="宋体" w:cs="宋体"/>
          <w:b w:val="0"/>
          <w:bCs w:val="0"/>
          <w:sz w:val="28"/>
          <w:szCs w:val="21"/>
          <w:u w:val="single"/>
          <w:lang w:val="en-US" w:eastAsia="zh-CN"/>
        </w:rPr>
        <w:t xml:space="preserve">      </w:t>
      </w:r>
    </w:p>
    <w:p>
      <w:pPr>
        <w:spacing w:line="360" w:lineRule="auto"/>
        <w:ind w:left="850" w:firstLine="425"/>
        <w:rPr>
          <w:rFonts w:hint="eastAsia" w:ascii="宋体" w:hAnsi="宋体" w:eastAsia="宋体" w:cs="宋体"/>
          <w:b/>
          <w:sz w:val="28"/>
          <w:szCs w:val="21"/>
          <w:u w:val="single"/>
        </w:rPr>
      </w:pPr>
      <w:r>
        <w:rPr>
          <w:rFonts w:hint="eastAsia" w:ascii="宋体" w:hAnsi="宋体" w:eastAsia="宋体" w:cs="宋体"/>
          <w:b/>
          <w:sz w:val="28"/>
          <w:szCs w:val="21"/>
        </w:rPr>
        <w:t>项 目 地 点：</w:t>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lang w:val="en-US" w:eastAsia="zh-CN"/>
        </w:rPr>
        <w:t xml:space="preserve">       </w:t>
      </w:r>
      <w:r>
        <w:rPr>
          <w:rFonts w:hint="eastAsia" w:ascii="宋体" w:hAnsi="宋体" w:eastAsia="宋体" w:cs="宋体"/>
          <w:b w:val="0"/>
          <w:bCs w:val="0"/>
          <w:sz w:val="28"/>
          <w:szCs w:val="21"/>
          <w:u w:val="single"/>
          <w:lang w:val="en-US" w:eastAsia="zh-CN"/>
        </w:rPr>
        <w:t xml:space="preserve"> 赤峰市  </w:t>
      </w:r>
      <w:r>
        <w:rPr>
          <w:rFonts w:hint="eastAsia" w:ascii="宋体" w:hAnsi="宋体" w:eastAsia="宋体" w:cs="宋体"/>
          <w:b/>
          <w:sz w:val="28"/>
          <w:szCs w:val="21"/>
          <w:u w:val="single"/>
          <w:lang w:val="en-US" w:eastAsia="zh-CN"/>
        </w:rPr>
        <w:t xml:space="preserve">         </w:t>
      </w:r>
      <w:r>
        <w:rPr>
          <w:rFonts w:hint="eastAsia" w:ascii="宋体" w:hAnsi="宋体" w:eastAsia="宋体" w:cs="宋体"/>
          <w:b/>
          <w:sz w:val="28"/>
          <w:szCs w:val="21"/>
          <w:u w:val="single"/>
        </w:rPr>
        <w:tab/>
      </w:r>
      <w:r>
        <w:rPr>
          <w:rFonts w:hint="eastAsia" w:ascii="宋体" w:hAnsi="宋体" w:eastAsia="宋体" w:cs="宋体"/>
          <w:b/>
          <w:sz w:val="28"/>
          <w:szCs w:val="21"/>
          <w:u w:val="single"/>
        </w:rPr>
        <w:tab/>
      </w:r>
    </w:p>
    <w:p>
      <w:pPr>
        <w:spacing w:line="360" w:lineRule="auto"/>
        <w:ind w:left="850" w:firstLine="425"/>
        <w:rPr>
          <w:rFonts w:hint="eastAsia" w:ascii="宋体" w:hAnsi="宋体" w:eastAsia="宋体" w:cs="宋体"/>
          <w:b/>
          <w:sz w:val="28"/>
          <w:szCs w:val="21"/>
          <w:u w:val="single"/>
        </w:rPr>
      </w:pPr>
      <w:r>
        <w:rPr>
          <w:rFonts w:hint="eastAsia" w:ascii="宋体" w:hAnsi="宋体" w:eastAsia="宋体" w:cs="宋体"/>
          <w:b/>
          <w:sz w:val="28"/>
          <w:szCs w:val="21"/>
        </w:rPr>
        <w:t>合 同 编 号：</w:t>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p>
    <w:p>
      <w:pPr>
        <w:spacing w:line="360" w:lineRule="auto"/>
        <w:ind w:left="850" w:firstLine="425"/>
        <w:rPr>
          <w:rFonts w:hint="default" w:ascii="宋体" w:hAnsi="宋体" w:eastAsia="宋体" w:cs="宋体"/>
          <w:b w:val="0"/>
          <w:bCs/>
          <w:sz w:val="22"/>
          <w:szCs w:val="21"/>
          <w:u w:val="single"/>
          <w:lang w:val="en-US" w:eastAsia="zh-CN"/>
        </w:rPr>
      </w:pPr>
      <w:r>
        <w:rPr>
          <w:rFonts w:hint="eastAsia" w:ascii="宋体" w:hAnsi="宋体" w:eastAsia="宋体" w:cs="宋体"/>
          <w:b/>
          <w:sz w:val="28"/>
          <w:szCs w:val="21"/>
        </w:rPr>
        <w:t>签 订 日 期：</w:t>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 xml:space="preserve">  </w:t>
      </w:r>
      <w:r>
        <w:rPr>
          <w:rFonts w:hint="eastAsia" w:ascii="宋体" w:hAnsi="宋体" w:eastAsia="宋体" w:cs="宋体"/>
          <w:b w:val="0"/>
          <w:bCs/>
          <w:sz w:val="28"/>
          <w:szCs w:val="21"/>
          <w:u w:val="single"/>
        </w:rPr>
        <w:t xml:space="preserve"> 年  月  日</w:t>
      </w:r>
      <w:r>
        <w:rPr>
          <w:rFonts w:hint="eastAsia" w:ascii="宋体" w:hAnsi="宋体" w:eastAsia="宋体" w:cs="宋体"/>
          <w:b w:val="0"/>
          <w:bCs/>
          <w:sz w:val="28"/>
          <w:szCs w:val="21"/>
          <w:u w:val="single"/>
        </w:rPr>
        <w:tab/>
      </w:r>
      <w:r>
        <w:rPr>
          <w:rFonts w:hint="eastAsia" w:ascii="宋体" w:hAnsi="宋体" w:eastAsia="宋体" w:cs="宋体"/>
          <w:b w:val="0"/>
          <w:bCs/>
          <w:sz w:val="28"/>
          <w:szCs w:val="21"/>
          <w:u w:val="single"/>
          <w:lang w:val="en-US" w:eastAsia="zh-CN"/>
        </w:rPr>
        <w:t xml:space="preserve">  </w:t>
      </w:r>
      <w:r>
        <w:rPr>
          <w:rFonts w:hint="eastAsia" w:ascii="宋体" w:hAnsi="宋体" w:eastAsia="宋体" w:cs="宋体"/>
          <w:b w:val="0"/>
          <w:bCs/>
          <w:sz w:val="28"/>
          <w:szCs w:val="21"/>
          <w:u w:val="single"/>
        </w:rPr>
        <w:tab/>
      </w:r>
      <w:r>
        <w:rPr>
          <w:rFonts w:hint="eastAsia" w:ascii="宋体" w:hAnsi="宋体" w:eastAsia="宋体" w:cs="宋体"/>
          <w:b w:val="0"/>
          <w:bCs/>
          <w:sz w:val="28"/>
          <w:szCs w:val="21"/>
          <w:u w:val="single"/>
          <w:lang w:val="en-US" w:eastAsia="zh-CN"/>
        </w:rPr>
        <w:t xml:space="preserve">     </w:t>
      </w:r>
    </w:p>
    <w:p>
      <w:pPr>
        <w:rPr>
          <w:rFonts w:hint="eastAsia" w:ascii="宋体" w:hAnsi="宋体" w:eastAsia="宋体" w:cs="宋体"/>
          <w:b w:val="0"/>
          <w:bCs/>
        </w:rPr>
      </w:pPr>
    </w:p>
    <w:p>
      <w:pPr>
        <w:rPr>
          <w:rFonts w:hint="eastAsia" w:ascii="宋体" w:hAnsi="宋体" w:eastAsia="宋体" w:cs="宋体"/>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r>
        <w:rPr>
          <w:rFonts w:hint="eastAsia" w:ascii="宋体" w:hAnsi="宋体" w:eastAsia="宋体" w:cs="宋体"/>
          <w:sz w:val="24"/>
          <w:lang w:val="en-US" w:eastAsia="zh-CN"/>
        </w:rPr>
        <w:t>采购人（</w:t>
      </w:r>
      <w:r>
        <w:rPr>
          <w:rFonts w:hint="eastAsia" w:ascii="宋体" w:hAnsi="宋体" w:eastAsia="宋体" w:cs="宋体"/>
          <w:sz w:val="24"/>
        </w:rPr>
        <w:t>甲方</w:t>
      </w:r>
      <w:r>
        <w:rPr>
          <w:rFonts w:hint="eastAsia" w:ascii="宋体" w:hAnsi="宋体" w:eastAsia="宋体" w:cs="宋体"/>
          <w:sz w:val="24"/>
          <w:lang w:val="en-US"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赤峰市住房和城乡建设局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r>
        <w:rPr>
          <w:rFonts w:hint="eastAsia" w:ascii="宋体" w:hAnsi="宋体" w:eastAsia="宋体" w:cs="宋体"/>
          <w:sz w:val="24"/>
          <w:lang w:val="en-US" w:eastAsia="zh-CN"/>
        </w:rPr>
        <w:t>成交供应商（</w:t>
      </w:r>
      <w:r>
        <w:rPr>
          <w:rFonts w:hint="eastAsia" w:ascii="宋体" w:hAnsi="宋体" w:eastAsia="宋体" w:cs="宋体"/>
          <w:sz w:val="24"/>
        </w:rPr>
        <w:t>乙方</w:t>
      </w:r>
      <w:r>
        <w:rPr>
          <w:rFonts w:hint="eastAsia" w:ascii="宋体" w:hAnsi="宋体" w:eastAsia="宋体" w:cs="宋体"/>
          <w:sz w:val="24"/>
          <w:lang w:val="en-US"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甲方合法委托乙方承担</w:t>
      </w:r>
      <w:r>
        <w:rPr>
          <w:rFonts w:hint="eastAsia" w:cs="宋体"/>
          <w:b w:val="0"/>
          <w:bCs w:val="0"/>
          <w:sz w:val="24"/>
          <w:u w:val="single"/>
          <w:lang w:eastAsia="zh-CN"/>
        </w:rPr>
        <w:t>赤峰市中心城市环卫设施专项规划</w:t>
      </w:r>
      <w:r>
        <w:rPr>
          <w:rFonts w:hint="eastAsia" w:ascii="宋体" w:hAnsi="宋体" w:eastAsia="宋体" w:cs="宋体"/>
          <w:sz w:val="24"/>
        </w:rPr>
        <w:t>任务，经双方协商一致，签订本合同。</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 本合同签订依据</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1.1《中华人民共和国民法典》、《中华人民共和国城乡规划法》。</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响应</w:t>
      </w: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成交通知书</w:t>
      </w:r>
      <w:r>
        <w:rPr>
          <w:rFonts w:hint="eastAsia" w:ascii="宋体" w:hAnsi="宋体" w:eastAsia="宋体" w:cs="宋体"/>
          <w:b w:val="0"/>
          <w:bCs w:val="0"/>
          <w:sz w:val="24"/>
          <w:szCs w:val="24"/>
        </w:rPr>
        <w:t>。</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w:t>
      </w:r>
      <w:r>
        <w:rPr>
          <w:rFonts w:hint="eastAsia" w:ascii="宋体" w:hAnsi="宋体" w:eastAsia="宋体" w:cs="宋体"/>
          <w:b w:val="0"/>
          <w:bCs w:val="0"/>
          <w:sz w:val="24"/>
          <w:szCs w:val="24"/>
          <w:highlight w:val="none"/>
          <w:lang w:val="en-US" w:eastAsia="zh-CN"/>
        </w:rPr>
        <w:t>规</w:t>
      </w:r>
      <w:r>
        <w:rPr>
          <w:rFonts w:hint="eastAsia" w:ascii="宋体" w:hAnsi="宋体" w:eastAsia="宋体" w:cs="宋体"/>
          <w:sz w:val="24"/>
          <w:szCs w:val="24"/>
          <w:highlight w:val="none"/>
          <w:lang w:val="en-US" w:eastAsia="zh-CN"/>
        </w:rPr>
        <w:t>划依据</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《中华人民共和国城乡规划法》（2008 年）</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w:t>
      </w:r>
      <w:r>
        <w:rPr>
          <w:rFonts w:hint="eastAsia" w:ascii="宋体" w:hAnsi="宋体" w:eastAsia="宋体" w:cs="宋体"/>
          <w:b w:val="0"/>
          <w:bCs w:val="0"/>
          <w:sz w:val="24"/>
          <w:szCs w:val="24"/>
        </w:rPr>
        <w:t>《城市规划编制办法》（2006 年）</w:t>
      </w:r>
    </w:p>
    <w:p>
      <w:pPr>
        <w:pStyle w:val="13"/>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eastAsia="宋体" w:cs="宋体"/>
          <w:b/>
          <w:sz w:val="24"/>
          <w:szCs w:val="24"/>
        </w:rPr>
      </w:pPr>
      <w:r>
        <w:rPr>
          <w:rFonts w:hint="eastAsia" w:ascii="宋体" w:hAnsi="宋体" w:eastAsia="宋体" w:cs="宋体"/>
          <w:b w:val="0"/>
          <w:bCs w:val="0"/>
          <w:sz w:val="24"/>
          <w:szCs w:val="24"/>
          <w:lang w:val="en-US" w:eastAsia="zh-CN"/>
        </w:rPr>
        <w:t>1.3.</w:t>
      </w:r>
      <w:r>
        <w:rPr>
          <w:rFonts w:hint="eastAsia" w:cs="宋体"/>
          <w:b w:val="0"/>
          <w:bCs w:val="0"/>
          <w:sz w:val="24"/>
          <w:szCs w:val="24"/>
          <w:lang w:val="en-US" w:eastAsia="zh-CN"/>
        </w:rPr>
        <w:t>3</w:t>
      </w:r>
      <w:r>
        <w:rPr>
          <w:rFonts w:hint="eastAsia" w:ascii="宋体" w:hAnsi="宋体" w:eastAsia="宋体" w:cs="宋体"/>
          <w:b w:val="0"/>
          <w:bCs w:val="0"/>
          <w:sz w:val="24"/>
          <w:szCs w:val="24"/>
        </w:rPr>
        <w:t>国家、内蒙古自治区和</w:t>
      </w:r>
      <w:r>
        <w:rPr>
          <w:rFonts w:hint="eastAsia" w:ascii="宋体" w:hAnsi="宋体" w:eastAsia="宋体" w:cs="宋体"/>
          <w:sz w:val="24"/>
          <w:szCs w:val="24"/>
        </w:rPr>
        <w:t>赤峰市的其他相关政策、规范、技术规定和要求</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本合同</w:t>
      </w:r>
      <w:r>
        <w:rPr>
          <w:rFonts w:hint="eastAsia" w:ascii="宋体" w:hAnsi="宋体" w:eastAsia="宋体" w:cs="宋体"/>
          <w:b/>
          <w:sz w:val="24"/>
          <w:szCs w:val="24"/>
          <w:lang w:eastAsia="zh-CN"/>
        </w:rPr>
        <w:t>规划</w:t>
      </w:r>
      <w:r>
        <w:rPr>
          <w:rFonts w:hint="eastAsia" w:ascii="宋体" w:hAnsi="宋体" w:eastAsia="宋体" w:cs="宋体"/>
          <w:b/>
          <w:sz w:val="24"/>
          <w:szCs w:val="24"/>
        </w:rPr>
        <w:t>项目</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2.1项目名称：</w:t>
      </w:r>
      <w:r>
        <w:rPr>
          <w:rFonts w:hint="eastAsia" w:cs="宋体"/>
          <w:b w:val="0"/>
          <w:bCs/>
          <w:sz w:val="24"/>
          <w:lang w:eastAsia="zh-CN"/>
        </w:rPr>
        <w:t>赤峰市中心城市环卫设施专项规划</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2.2项目地点：</w:t>
      </w:r>
      <w:r>
        <w:rPr>
          <w:rFonts w:hint="eastAsia" w:ascii="宋体" w:hAnsi="宋体" w:eastAsia="宋体" w:cs="宋体"/>
          <w:b w:val="0"/>
          <w:bCs/>
          <w:color w:val="auto"/>
          <w:spacing w:val="-1"/>
          <w:sz w:val="24"/>
          <w:szCs w:val="24"/>
          <w:highlight w:val="none"/>
          <w:lang w:val="en-US" w:eastAsia="zh-CN"/>
        </w:rPr>
        <w:t>赤峰市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color w:val="FF0000"/>
          <w:sz w:val="24"/>
          <w:szCs w:val="24"/>
          <w:lang w:eastAsia="zh-CN"/>
        </w:rPr>
      </w:pPr>
      <w:r>
        <w:rPr>
          <w:rFonts w:hint="eastAsia" w:ascii="宋体" w:hAnsi="宋体" w:eastAsia="宋体" w:cs="宋体"/>
          <w:b w:val="0"/>
          <w:bCs/>
          <w:sz w:val="24"/>
        </w:rPr>
        <w:t>2.3</w:t>
      </w:r>
      <w:r>
        <w:rPr>
          <w:rFonts w:hint="eastAsia" w:ascii="宋体" w:hAnsi="宋体" w:eastAsia="宋体" w:cs="宋体"/>
          <w:b w:val="0"/>
          <w:bCs/>
          <w:sz w:val="24"/>
          <w:lang w:eastAsia="zh-CN"/>
        </w:rPr>
        <w:t>规划</w:t>
      </w:r>
      <w:r>
        <w:rPr>
          <w:rFonts w:hint="eastAsia" w:ascii="宋体" w:hAnsi="宋体" w:eastAsia="宋体" w:cs="宋体"/>
          <w:b w:val="0"/>
          <w:bCs/>
          <w:sz w:val="24"/>
        </w:rPr>
        <w:t>范围：</w:t>
      </w:r>
      <w:r>
        <w:rPr>
          <w:rFonts w:hint="eastAsia" w:cs="宋体"/>
          <w:b w:val="0"/>
          <w:bCs/>
          <w:color w:val="auto"/>
          <w:sz w:val="24"/>
          <w:lang w:eastAsia="zh-CN"/>
        </w:rPr>
        <w:t>中心城市，包含中心城区、平庄城区、元宝山城区、赤峰商贸物流城、赤峰高新技术产业开发区和陈营子组团。</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sz w:val="24"/>
          <w:highlight w:val="none"/>
        </w:rPr>
        <w:t>2.4</w:t>
      </w:r>
      <w:r>
        <w:rPr>
          <w:rFonts w:hint="eastAsia" w:ascii="宋体" w:hAnsi="宋体" w:eastAsia="宋体" w:cs="宋体"/>
          <w:b w:val="0"/>
          <w:bCs/>
          <w:color w:val="auto"/>
          <w:sz w:val="24"/>
          <w:szCs w:val="24"/>
          <w:lang w:val="en-US" w:eastAsia="zh-CN"/>
        </w:rPr>
        <w:t>规划年限：</w:t>
      </w:r>
      <w:r>
        <w:rPr>
          <w:rFonts w:hint="eastAsia" w:ascii="宋体" w:hAnsi="宋体" w:eastAsia="宋体" w:cs="宋体"/>
          <w:b w:val="0"/>
          <w:bCs/>
          <w:sz w:val="24"/>
        </w:rPr>
        <w:t>规划期限至2035年</w:t>
      </w:r>
      <w:r>
        <w:rPr>
          <w:rFonts w:hint="eastAsia" w:ascii="宋体" w:hAnsi="宋体" w:eastAsia="宋体" w:cs="宋体"/>
          <w:b w:val="0"/>
          <w:bCs/>
          <w:color w:val="auto"/>
          <w:sz w:val="24"/>
          <w:szCs w:val="24"/>
          <w:lang w:eastAsia="zh-CN"/>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2.</w:t>
      </w:r>
      <w:r>
        <w:rPr>
          <w:rFonts w:hint="eastAsia" w:ascii="宋体" w:hAnsi="宋体" w:eastAsia="宋体" w:cs="宋体"/>
          <w:b w:val="0"/>
          <w:bCs/>
          <w:sz w:val="24"/>
          <w:highlight w:val="none"/>
          <w:lang w:val="en-US" w:eastAsia="zh-CN"/>
        </w:rPr>
        <w:t>5</w:t>
      </w:r>
      <w:r>
        <w:rPr>
          <w:rFonts w:hint="eastAsia" w:ascii="宋体" w:hAnsi="宋体" w:eastAsia="宋体" w:cs="宋体"/>
          <w:b w:val="0"/>
          <w:bCs/>
          <w:sz w:val="24"/>
          <w:highlight w:val="none"/>
          <w:lang w:eastAsia="zh-CN"/>
        </w:rPr>
        <w:t>规划</w:t>
      </w:r>
      <w:r>
        <w:rPr>
          <w:rFonts w:hint="eastAsia" w:ascii="宋体" w:hAnsi="宋体" w:eastAsia="宋体" w:cs="宋体"/>
          <w:sz w:val="24"/>
          <w:highlight w:val="none"/>
        </w:rPr>
        <w:t>内容及深度：</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规划内容和设计深度应满足国家、内蒙古自治区、赤峰市相关规范、规定及标准,主要规划内容如下: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cs="宋体"/>
          <w:sz w:val="24"/>
          <w:highlight w:val="none"/>
          <w:lang w:val="en-US" w:eastAsia="zh-CN"/>
        </w:rPr>
        <w:t>2.5.</w:t>
      </w:r>
      <w:r>
        <w:rPr>
          <w:rFonts w:hint="eastAsia" w:ascii="宋体" w:hAnsi="宋体" w:eastAsia="宋体" w:cs="宋体"/>
          <w:sz w:val="24"/>
          <w:highlight w:val="none"/>
        </w:rPr>
        <w:t>1.环卫设施规划</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①根据赤峰市的发展特征与发展阶段分析结果，结合人口、生产和环境现状等数据提出环卫设施的发展目标。</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②分析赤峰市中心城市各类环卫设施现状能力特征与问题。</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③在收集各组团、逐时垃圾产生量基础数据基础上，根据垃圾再生及资源化利用的原则，预测城市生活、农业和建筑等各类固体废弃物产量。</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④根据本地垃圾组成与垃圾产生量的时空特征，结合赤峰市发展需求、经济承受能力，确定各类垃圾收集和处置的目标与方式，分区布局生活垃圾分类、再生、资源化利用的处理处置设施，结合国内外经济发达、技术先进地区的技术和经验，试点开展垃圾分类收集、专项处置与资源化利用的方式。</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⑤新型生活垃圾处置系统构建。针对现状国内生活垃圾分类政策难以落地等问题，结合国家节能减排和双碳工作要求，结合国家碳交易政策，国内外生活垃圾处理处置的先进经验和赤峰实际情况，在对比分析各类生活垃圾处理处置技术的经济技术成本基础上，构建赤峰市中心生活垃圾收运及再生循环处理处置体系，达到技术先进、措施节能、运行经济的目标。布局垃圾箱、中转站、公厕等设施规模、空间布局，以及人员和设备配置数量和标准，规划垃圾收集转运处理网络，通过方案优化降低收运成本。</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⑥新型建筑垃圾处理处置系统构建。在充分调研总结国内外新型建筑垃圾处理处置技术经验基础上，针对城市建设拆迁过程中产生的建筑垃圾、装修垃圾等垃圾的时空分布情况，分区分类布局建筑垃圾处理处置场所和建筑垃圾回用设施，构建新型建筑垃圾回收利用系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⑦构建新型园林垃圾、农林废弃物、餐厨垃圾、粪便垃圾等有机废弃垃圾处理处置系统。在充分调研总结国内外新型有机废弃垃圾处理处置技术经验基础上，结合赤峰市中心城市各组团园林垃圾、农林废弃物、餐厨垃圾产生的时空规律，分区分类布局有机废弃垃圾处理处置场所和设施，构建技术先进、循环再生、运维方便、费用经济的新型有机废弃垃圾处理。</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⑧新型城市大件垃圾处理处置系统。结合国内外大件垃圾处理处置经验，针对家用电器、生活家具等大件垃圾，建立完善的大件垃圾收运系统，布局大件垃圾处理处置中心，系统完成破拆、分拣、回收等环节。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⑨危险废弃物收集和处理系统。结合国内外危险废弃物处理处置经验和赤峰市实际情况，结合规划范围内的医疗、</w:t>
      </w:r>
      <w:r>
        <w:rPr>
          <w:rFonts w:hint="eastAsia" w:cs="宋体"/>
          <w:strike/>
          <w:dstrike w:val="0"/>
          <w:color w:val="FF0000"/>
          <w:sz w:val="24"/>
          <w:highlight w:val="none"/>
          <w:lang w:val="en-US" w:eastAsia="zh-CN"/>
        </w:rPr>
        <w:t xml:space="preserve"> </w:t>
      </w:r>
      <w:r>
        <w:rPr>
          <w:rFonts w:hint="eastAsia" w:ascii="宋体" w:hAnsi="宋体" w:eastAsia="宋体" w:cs="宋体"/>
          <w:sz w:val="24"/>
          <w:highlight w:val="none"/>
        </w:rPr>
        <w:t>的分布和产生情况，布局医疗废弃物处理处置中心，建立完备的收运、处理系统。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⑩城市污泥处理处置系统。结合国内外污泥处理处置经验和赤峰市实际情况，针对中心城市范围内各污水处理厂、给水处理厂、城市排水管网系统清理、河道治理清淤产生的污泥，按照污泥的成分和性质，分区域布局不同的污泥处理系统，并形成污泥资源化循环利用系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cs="宋体"/>
          <w:sz w:val="24"/>
          <w:highlight w:val="none"/>
          <w:lang w:val="en-US" w:eastAsia="zh-CN"/>
        </w:rPr>
        <w:t>2.5.</w:t>
      </w:r>
      <w:r>
        <w:rPr>
          <w:rFonts w:hint="eastAsia" w:ascii="宋体" w:hAnsi="宋体" w:eastAsia="宋体" w:cs="宋体"/>
          <w:sz w:val="24"/>
          <w:highlight w:val="none"/>
        </w:rPr>
        <w:t>2.运营管理模式及可行性分析</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①提出符合赤峰市中心城市特点的垃圾分类收集管理模式，从源头保障垃圾分类收集有效实施。</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②结合国内外先进经验提出适合赤峰市中心城市特点的环卫设施整体运营模式与成本负担方式，提出分阶段实施策略，建立专业化、市场化、可持续的运营管理模式。</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③通过分析环卫设施运行成本与废弃物资源化收益，计算垃圾收运与处置体系整体运行成本，形成可持续的垃圾处理处置体系。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④制定环卫应急方案，包括生活垃圾、粪便收集、道路保洁、环卫公共设施等应急方案。</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cs="宋体"/>
          <w:sz w:val="24"/>
          <w:highlight w:val="none"/>
          <w:lang w:val="en-US" w:eastAsia="zh-CN"/>
        </w:rPr>
        <w:t>2.5.</w:t>
      </w:r>
      <w:r>
        <w:rPr>
          <w:rFonts w:hint="eastAsia" w:ascii="宋体" w:hAnsi="宋体" w:eastAsia="宋体" w:cs="宋体"/>
          <w:sz w:val="24"/>
          <w:highlight w:val="none"/>
        </w:rPr>
        <w:t>3.智慧环卫与循环型社区示范</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①建立智慧环卫系统，依托物联网技术与移动互联网技术，对环卫管理部门涉及到的人、车、物、事全过程进行实时管理，合理设计规划环卫管理模式，提升环卫作业质量，降低环卫运营成本，用数字评估和推动垃圾分类管理实效。</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②深入分析当地的农业生产、经济生产及生活模式，以循环型社区的建设为目标，提出部门管理，公众参与技术培训等方面的建议，并选定试点提出实施方案。</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甲方应向乙方提交的有关资料及文件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909"/>
        <w:gridCol w:w="1018"/>
        <w:gridCol w:w="238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序号</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资料及文件名称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份数</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提交日期</w:t>
            </w:r>
          </w:p>
        </w:tc>
        <w:tc>
          <w:tcPr>
            <w:tcW w:w="172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1</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172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2</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3</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4</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50" w:lineRule="exact"/>
              <w:ind w:firstLine="0"/>
              <w:jc w:val="center"/>
              <w:textAlignment w:val="auto"/>
              <w:rPr>
                <w:rFonts w:hint="eastAsia" w:ascii="宋体" w:hAnsi="宋体" w:eastAsia="宋体" w:cs="宋体"/>
                <w:highlight w:val="none"/>
              </w:rPr>
            </w:pPr>
            <w:r>
              <w:rPr>
                <w:rFonts w:hint="eastAsia" w:ascii="宋体" w:hAnsi="宋体" w:eastAsia="宋体" w:cs="宋体"/>
                <w:highlight w:val="none"/>
              </w:rPr>
              <w:t>5</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50" w:lineRule="exact"/>
              <w:jc w:val="left"/>
              <w:textAlignment w:val="auto"/>
              <w:rPr>
                <w:rFonts w:hint="eastAsia" w:ascii="宋体" w:hAnsi="宋体" w:eastAsia="宋体" w:cs="宋体"/>
                <w:highlight w:val="none"/>
              </w:rPr>
            </w:pPr>
          </w:p>
        </w:tc>
      </w:tr>
    </w:tbl>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注：（1）以上是本项目开展必不可少的资料及文件，甲方应于合同签订后5个工作日内或调研工作期间提供，以保证</w:t>
      </w:r>
      <w:r>
        <w:rPr>
          <w:rFonts w:hint="eastAsia" w:ascii="宋体" w:hAnsi="宋体" w:eastAsia="宋体" w:cs="宋体"/>
          <w:sz w:val="24"/>
          <w:highlight w:val="none"/>
          <w:lang w:eastAsia="zh-CN"/>
        </w:rPr>
        <w:t>规划</w:t>
      </w:r>
      <w:r>
        <w:rPr>
          <w:rFonts w:hint="eastAsia" w:ascii="宋体" w:hAnsi="宋体" w:eastAsia="宋体" w:cs="宋体"/>
          <w:sz w:val="24"/>
          <w:highlight w:val="none"/>
        </w:rPr>
        <w:t>工作顺利进行；（2）如乙方需要其它资料和文件，甲方应积极配合提供。</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第四条 乙方应向甲方交付的成果文件</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4.1规划文本</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（1）规划文本应当以条文方式表述规划结论，内容明确简练，具有指导性和可操作性。</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（2）规划文本按相关内容要求编写。</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（3）强制性规划内容采用与其他规划内容有明显区别的字体或格式进行表述。</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4.2规划说明书</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(1)规划说明书由正文和附录两部分组成。</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(2)规划说明书正文应当与规划文本的条文相对应，对规划文本条文做出详细访明。</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(3)说明书文件为WORD、PDF格式</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4.3规划图纸</w:t>
      </w:r>
    </w:p>
    <w:p>
      <w:pPr>
        <w:pStyle w:val="14"/>
        <w:keepNext w:val="0"/>
        <w:keepLines w:val="0"/>
        <w:pageBreakBefore w:val="0"/>
        <w:kinsoku/>
        <w:wordWrap/>
        <w:overflowPunct/>
        <w:topLinePunct w:val="0"/>
        <w:autoSpaceDE/>
        <w:autoSpaceDN/>
        <w:bidi w:val="0"/>
        <w:spacing w:before="48" w:line="450" w:lineRule="exact"/>
        <w:ind w:right="-68" w:rightChars="0"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color w:val="000000" w:themeColor="text1"/>
          <w:sz w:val="24"/>
          <w:szCs w:val="24"/>
          <w14:textFill>
            <w14:solidFill>
              <w14:schemeClr w14:val="tx1"/>
            </w14:solidFill>
          </w14:textFill>
        </w:rPr>
        <w:t>规划图纸所表达的内容应当清晰、准确，与规划说明书内容相符</w:t>
      </w:r>
      <w:r>
        <w:rPr>
          <w:rFonts w:hint="eastAsia" w:ascii="宋体" w:hAnsi="宋体" w:eastAsia="宋体" w:cs="宋体"/>
          <w:b w:val="0"/>
          <w:bCs w:val="0"/>
          <w:color w:val="auto"/>
          <w:sz w:val="24"/>
          <w:szCs w:val="24"/>
          <w:highlight w:val="none"/>
          <w:lang w:val="en-US" w:eastAsia="zh-CN" w:bidi="ar-SA"/>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b w:val="0"/>
          <w:bCs w:val="0"/>
          <w:color w:val="auto"/>
          <w:sz w:val="24"/>
          <w:szCs w:val="24"/>
          <w:highlight w:val="none"/>
          <w:lang w:val="en-US" w:eastAsia="zh-CN" w:bidi="ar-SA"/>
        </w:rPr>
        <w:t xml:space="preserve">4.4汇报 </w:t>
      </w:r>
      <w:r>
        <w:rPr>
          <w:rFonts w:hint="eastAsia" w:ascii="宋体" w:hAnsi="宋体" w:eastAsia="宋体" w:cs="宋体"/>
          <w:color w:val="auto"/>
          <w:sz w:val="24"/>
          <w:szCs w:val="24"/>
          <w:highlight w:val="none"/>
          <w:lang w:val="en-US" w:eastAsia="zh-CN" w:bidi="ar-SA"/>
        </w:rPr>
        <w:t>ppt</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第五条 </w:t>
      </w:r>
      <w:r>
        <w:rPr>
          <w:rFonts w:hint="eastAsia" w:ascii="宋体" w:hAnsi="宋体" w:eastAsia="宋体" w:cs="宋体"/>
          <w:b/>
          <w:sz w:val="24"/>
          <w:szCs w:val="24"/>
          <w:highlight w:val="none"/>
          <w:lang w:eastAsia="zh-CN"/>
        </w:rPr>
        <w:t>规划</w:t>
      </w:r>
      <w:r>
        <w:rPr>
          <w:rFonts w:hint="eastAsia" w:ascii="宋体" w:hAnsi="宋体" w:eastAsia="宋体" w:cs="宋体"/>
          <w:b/>
          <w:sz w:val="24"/>
          <w:szCs w:val="24"/>
          <w:highlight w:val="none"/>
          <w:lang w:val="en-US" w:eastAsia="zh-CN"/>
        </w:rPr>
        <w:t>要求及</w:t>
      </w:r>
      <w:r>
        <w:rPr>
          <w:rFonts w:hint="eastAsia" w:ascii="宋体" w:hAnsi="宋体" w:eastAsia="宋体" w:cs="宋体"/>
          <w:b/>
          <w:sz w:val="24"/>
          <w:szCs w:val="24"/>
          <w:highlight w:val="none"/>
        </w:rPr>
        <w:t>工作周期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5.1规划目标</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①以保障环卫系统的运行效果和可持续性为目标，提出切实可行的目标与分阶段实施方案。</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探索赤峰环卫设施建设与运营模式及途径，构建高效、低耗、绿色和可持续的环卫设施建设模式，结合碳达峰碳中和的理念，选择先进环卫处理处置技术和相应的应用示范点，提出实施方案，发挥试点示范作用。</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③以构建资源循环型城市为抓手，落实资源化与减量化相结合理念，将垃圾收集处置与资源回收有机结合，有效降低垃圾处理的经济成本与环境成本。</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④提出构建“智慧环卫”的建设框架方案。</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sz w:val="24"/>
          <w:highlight w:val="none"/>
        </w:rPr>
        <w:t>5.</w:t>
      </w:r>
      <w:r>
        <w:rPr>
          <w:rFonts w:hint="eastAsia" w:ascii="宋体" w:hAnsi="宋体" w:eastAsia="宋体" w:cs="宋体"/>
          <w:b w:val="0"/>
          <w:bCs/>
          <w:sz w:val="24"/>
          <w:highlight w:val="none"/>
          <w:lang w:val="en-US" w:eastAsia="zh-CN"/>
        </w:rPr>
        <w:t>2</w:t>
      </w:r>
      <w:r>
        <w:rPr>
          <w:rFonts w:hint="eastAsia" w:ascii="宋体" w:hAnsi="宋体" w:eastAsia="宋体" w:cs="宋体"/>
          <w:b w:val="0"/>
          <w:bCs/>
          <w:color w:val="auto"/>
          <w:sz w:val="24"/>
          <w:szCs w:val="24"/>
          <w:highlight w:val="none"/>
          <w:lang w:val="en-US" w:eastAsia="zh-CN" w:bidi="ar-SA"/>
        </w:rPr>
        <w:t>规划</w:t>
      </w:r>
      <w:r>
        <w:rPr>
          <w:rFonts w:hint="eastAsia" w:ascii="宋体" w:hAnsi="宋体" w:eastAsia="宋体" w:cs="宋体"/>
          <w:b w:val="0"/>
          <w:bCs w:val="0"/>
          <w:color w:val="auto"/>
          <w:sz w:val="24"/>
          <w:szCs w:val="24"/>
          <w:highlight w:val="none"/>
          <w:lang w:val="en-US" w:eastAsia="zh-CN" w:bidi="ar-SA"/>
        </w:rPr>
        <w:t>要求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b w:val="0"/>
          <w:bCs/>
          <w:sz w:val="24"/>
          <w:lang w:eastAsia="zh-CN"/>
        </w:rPr>
        <w:t>赤峰市中心城市环卫设施专项规划</w:t>
      </w:r>
      <w:r>
        <w:rPr>
          <w:rFonts w:hint="eastAsia" w:ascii="宋体" w:hAnsi="宋体" w:eastAsia="宋体" w:cs="宋体"/>
          <w:color w:val="auto"/>
          <w:sz w:val="24"/>
          <w:szCs w:val="24"/>
          <w:highlight w:val="none"/>
          <w:lang w:val="en-US" w:eastAsia="zh-CN" w:bidi="ar-SA"/>
        </w:rPr>
        <w:t>可分为现状调研、专项研究、规划成果三个阶段，各阶段工作应符合以下要求：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5.2.1现状调研阶段</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b w:val="0"/>
          <w:bCs/>
          <w:sz w:val="24"/>
          <w:lang w:eastAsia="zh-CN"/>
        </w:rPr>
        <w:t>赤峰市中心城市环卫设施专项规划</w:t>
      </w:r>
      <w:r>
        <w:rPr>
          <w:rFonts w:hint="eastAsia" w:ascii="宋体" w:hAnsi="宋体" w:eastAsia="宋体" w:cs="宋体"/>
          <w:color w:val="auto"/>
          <w:sz w:val="24"/>
          <w:szCs w:val="24"/>
          <w:highlight w:val="none"/>
          <w:lang w:val="en-US" w:eastAsia="zh-CN" w:bidi="ar-SA"/>
        </w:rPr>
        <w:t>可分为现状调研、专项研究、规划成果三个阶段，各阶段工作应符合以下要求：</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5.2.1现状调研阶段</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通过多种方式收集环卫</w:t>
      </w:r>
      <w:r>
        <w:rPr>
          <w:rFonts w:hint="eastAsia" w:cs="宋体"/>
          <w:color w:val="auto"/>
          <w:sz w:val="24"/>
          <w:szCs w:val="24"/>
          <w:highlight w:val="none"/>
          <w:lang w:val="en-US" w:eastAsia="zh-CN" w:bidi="ar-SA"/>
        </w:rPr>
        <w:t>设施</w:t>
      </w:r>
      <w:r>
        <w:rPr>
          <w:rFonts w:hint="eastAsia" w:ascii="宋体" w:hAnsi="宋体" w:eastAsia="宋体" w:cs="宋体"/>
          <w:color w:val="auto"/>
          <w:sz w:val="24"/>
          <w:szCs w:val="24"/>
          <w:highlight w:val="none"/>
          <w:lang w:val="en-US" w:eastAsia="zh-CN" w:bidi="ar-SA"/>
        </w:rPr>
        <w:t>的现状和规划资料。</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5.2.2专项研究阶段</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在现状调研基础上，对环卫</w:t>
      </w:r>
      <w:r>
        <w:rPr>
          <w:rFonts w:hint="eastAsia" w:cs="宋体"/>
          <w:color w:val="auto"/>
          <w:sz w:val="24"/>
          <w:szCs w:val="24"/>
          <w:highlight w:val="none"/>
          <w:lang w:val="en-US" w:eastAsia="zh-CN" w:bidi="ar-SA"/>
        </w:rPr>
        <w:t>系统</w:t>
      </w:r>
      <w:r>
        <w:rPr>
          <w:rFonts w:hint="eastAsia" w:ascii="宋体" w:hAnsi="宋体" w:eastAsia="宋体" w:cs="宋体"/>
          <w:color w:val="auto"/>
          <w:sz w:val="24"/>
          <w:szCs w:val="24"/>
          <w:highlight w:val="none"/>
          <w:lang w:val="en-US" w:eastAsia="zh-CN" w:bidi="ar-SA"/>
        </w:rPr>
        <w:t>设施规划建设及管理的重大问题组织开展专项研究。</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5.2.3规划成果阶段</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color w:val="FF0000"/>
          <w:sz w:val="24"/>
          <w:highlight w:val="yellow"/>
        </w:rPr>
      </w:pPr>
      <w:r>
        <w:rPr>
          <w:rFonts w:hint="eastAsia" w:ascii="宋体" w:hAnsi="宋体" w:eastAsia="宋体" w:cs="宋体"/>
          <w:color w:val="auto"/>
          <w:sz w:val="24"/>
          <w:szCs w:val="24"/>
          <w:highlight w:val="none"/>
          <w:lang w:val="en-US" w:eastAsia="zh-CN" w:bidi="ar-SA"/>
        </w:rPr>
        <w:t>分析环卫</w:t>
      </w:r>
      <w:r>
        <w:rPr>
          <w:rFonts w:hint="eastAsia" w:cs="宋体"/>
          <w:color w:val="auto"/>
          <w:sz w:val="24"/>
          <w:szCs w:val="24"/>
          <w:highlight w:val="none"/>
          <w:lang w:val="en-US" w:eastAsia="zh-CN" w:bidi="ar-SA"/>
        </w:rPr>
        <w:t>系统</w:t>
      </w:r>
      <w:r>
        <w:rPr>
          <w:rFonts w:hint="eastAsia" w:ascii="宋体" w:hAnsi="宋体" w:eastAsia="宋体" w:cs="宋体"/>
          <w:color w:val="auto"/>
          <w:sz w:val="24"/>
          <w:szCs w:val="24"/>
          <w:highlight w:val="none"/>
          <w:lang w:val="en-US" w:eastAsia="zh-CN" w:bidi="ar-SA"/>
        </w:rPr>
        <w:t>供给需求；确定环卫</w:t>
      </w:r>
      <w:r>
        <w:rPr>
          <w:rFonts w:hint="eastAsia" w:cs="宋体"/>
          <w:color w:val="auto"/>
          <w:sz w:val="24"/>
          <w:szCs w:val="24"/>
          <w:highlight w:val="none"/>
          <w:lang w:val="en-US" w:eastAsia="zh-CN" w:bidi="ar-SA"/>
        </w:rPr>
        <w:t>系统</w:t>
      </w:r>
      <w:r>
        <w:rPr>
          <w:rFonts w:hint="eastAsia" w:ascii="宋体" w:hAnsi="宋体" w:eastAsia="宋体" w:cs="宋体"/>
          <w:color w:val="auto"/>
          <w:sz w:val="24"/>
          <w:szCs w:val="24"/>
          <w:highlight w:val="none"/>
          <w:lang w:val="en-US" w:eastAsia="zh-CN" w:bidi="ar-SA"/>
        </w:rPr>
        <w:t>设施发展战略；确定环卫</w:t>
      </w:r>
      <w:r>
        <w:rPr>
          <w:rFonts w:hint="eastAsia" w:cs="宋体"/>
          <w:color w:val="auto"/>
          <w:sz w:val="24"/>
          <w:szCs w:val="24"/>
          <w:highlight w:val="none"/>
          <w:lang w:val="en-US" w:eastAsia="zh-CN" w:bidi="ar-SA"/>
        </w:rPr>
        <w:t>系统</w:t>
      </w:r>
      <w:r>
        <w:rPr>
          <w:rFonts w:hint="eastAsia" w:ascii="宋体" w:hAnsi="宋体" w:eastAsia="宋体" w:cs="宋体"/>
          <w:color w:val="auto"/>
          <w:sz w:val="24"/>
          <w:szCs w:val="24"/>
          <w:highlight w:val="none"/>
          <w:lang w:val="en-US" w:eastAsia="zh-CN" w:bidi="ar-SA"/>
        </w:rPr>
        <w:t>设施分区供给策略</w:t>
      </w:r>
      <w:r>
        <w:rPr>
          <w:rFonts w:hint="eastAsia" w:cs="宋体"/>
          <w:color w:val="auto"/>
          <w:sz w:val="24"/>
          <w:szCs w:val="24"/>
          <w:highlight w:val="none"/>
          <w:lang w:val="en-US" w:eastAsia="zh-CN" w:bidi="ar-SA"/>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rPr>
      </w:pPr>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b w:val="0"/>
          <w:bCs w:val="0"/>
          <w:sz w:val="24"/>
          <w:szCs w:val="24"/>
          <w:highlight w:val="none"/>
        </w:rPr>
        <w:t>工作</w:t>
      </w:r>
      <w:r>
        <w:rPr>
          <w:rFonts w:hint="eastAsia" w:ascii="宋体" w:hAnsi="宋体" w:eastAsia="宋体" w:cs="宋体"/>
          <w:b w:val="0"/>
          <w:bCs/>
          <w:sz w:val="24"/>
          <w:szCs w:val="24"/>
          <w:highlight w:val="none"/>
        </w:rPr>
        <w:t>周期</w:t>
      </w:r>
      <w:r>
        <w:rPr>
          <w:rFonts w:hint="eastAsia" w:ascii="宋体" w:hAnsi="宋体" w:eastAsia="宋体" w:cs="宋体"/>
          <w:b w:val="0"/>
          <w:bCs/>
          <w:sz w:val="24"/>
          <w:szCs w:val="24"/>
          <w:highlight w:val="none"/>
          <w:lang w:eastAsia="zh-CN"/>
        </w:rPr>
        <w:t>：</w:t>
      </w:r>
      <w:r>
        <w:rPr>
          <w:rFonts w:hint="eastAsia" w:ascii="宋体" w:hAnsi="宋体" w:eastAsia="宋体" w:cs="宋体"/>
          <w:color w:val="auto"/>
          <w:sz w:val="24"/>
          <w:szCs w:val="24"/>
          <w:highlight w:val="none"/>
          <w:lang w:val="en-US" w:eastAsia="zh-CN"/>
        </w:rPr>
        <w:t>政府采购合同签订之日起</w:t>
      </w:r>
      <w:r>
        <w:rPr>
          <w:rFonts w:hint="eastAsia" w:cs="宋体"/>
          <w:color w:val="auto"/>
          <w:sz w:val="24"/>
          <w:szCs w:val="24"/>
          <w:highlight w:val="none"/>
          <w:lang w:val="en-US" w:eastAsia="zh-CN"/>
        </w:rPr>
        <w:t>90日</w:t>
      </w:r>
      <w:r>
        <w:rPr>
          <w:rFonts w:hint="eastAsia" w:ascii="宋体" w:hAnsi="宋体" w:eastAsia="宋体" w:cs="宋体"/>
          <w:color w:val="auto"/>
          <w:sz w:val="24"/>
          <w:szCs w:val="24"/>
          <w:highlight w:val="none"/>
          <w:lang w:val="en-US" w:eastAsia="zh-CN"/>
        </w:rPr>
        <w:t>历日内完成规划设计内容。</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项目费用及支付办法</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6.1</w:t>
      </w:r>
      <w:r>
        <w:rPr>
          <w:rFonts w:hint="eastAsia" w:ascii="宋体" w:hAnsi="宋体" w:eastAsia="宋体" w:cs="宋体"/>
          <w:sz w:val="24"/>
          <w:highlight w:val="none"/>
        </w:rPr>
        <w:t>项目总收费</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该项目总收费人民币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元整（小写：¥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元）（含税）。</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（1）上述费用包含乙方完成本项目的人工费用、</w:t>
      </w:r>
      <w:r>
        <w:rPr>
          <w:rFonts w:hint="eastAsia" w:ascii="宋体" w:hAnsi="宋体" w:eastAsia="宋体" w:cs="宋体"/>
          <w:sz w:val="24"/>
          <w:highlight w:val="none"/>
          <w:lang w:val="en-US" w:eastAsia="zh-CN"/>
        </w:rPr>
        <w:t>人员</w:t>
      </w:r>
      <w:r>
        <w:rPr>
          <w:rFonts w:hint="eastAsia" w:ascii="宋体" w:hAnsi="宋体" w:eastAsia="宋体" w:cs="宋体"/>
          <w:sz w:val="24"/>
          <w:highlight w:val="none"/>
        </w:rPr>
        <w:t>差旅费（含交通、住宿、餐饮费</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材料费等所有费用</w:t>
      </w:r>
      <w:r>
        <w:rPr>
          <w:rFonts w:hint="eastAsia" w:ascii="宋体" w:hAnsi="宋体" w:eastAsia="宋体" w:cs="宋体"/>
          <w:sz w:val="24"/>
          <w:highlight w:val="none"/>
        </w:rPr>
        <w:t>；不包括应由甲方提供的资料费以及组织评审会、聘请专家等所需的相关费用。</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（2）如甲方要求制作本合同第四条约定以外的工作成果，原则上乙方应积极配合，制作费用应由双方根据具体情况另行商定。</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6.2</w:t>
      </w:r>
      <w:r>
        <w:rPr>
          <w:rFonts w:hint="eastAsia" w:ascii="宋体" w:hAnsi="宋体" w:eastAsia="宋体" w:cs="宋体"/>
          <w:sz w:val="24"/>
          <w:highlight w:val="none"/>
        </w:rPr>
        <w:t>费用支付方式及时限</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1期：政府采购合同签订后支付合同总价款的</w:t>
      </w:r>
      <w:r>
        <w:rPr>
          <w:rFonts w:hint="eastAsia" w:cs="宋体"/>
          <w:sz w:val="24"/>
          <w:highlight w:val="none"/>
          <w:lang w:val="en-US" w:eastAsia="zh-CN"/>
        </w:rPr>
        <w:t>30</w:t>
      </w:r>
      <w:r>
        <w:rPr>
          <w:rFonts w:hint="eastAsia" w:ascii="宋体" w:hAnsi="宋体" w:eastAsia="宋体" w:cs="宋体"/>
          <w:sz w:val="24"/>
          <w:highlight w:val="none"/>
          <w:lang w:val="en-US" w:eastAsia="zh-CN"/>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2期：完成规划成</w:t>
      </w:r>
      <w:r>
        <w:rPr>
          <w:rFonts w:hint="eastAsia" w:ascii="宋体" w:hAnsi="宋体" w:eastAsia="宋体" w:cs="宋体"/>
          <w:color w:val="auto"/>
          <w:sz w:val="24"/>
          <w:highlight w:val="none"/>
          <w:lang w:val="en-US" w:eastAsia="zh-CN"/>
        </w:rPr>
        <w:t>果，支付合同总价款的</w:t>
      </w:r>
      <w:r>
        <w:rPr>
          <w:rFonts w:hint="eastAsia" w:cs="宋体"/>
          <w:color w:val="auto"/>
          <w:sz w:val="24"/>
          <w:highlight w:val="none"/>
          <w:lang w:val="en-US" w:eastAsia="zh-CN"/>
        </w:rPr>
        <w:t>50</w:t>
      </w:r>
      <w:r>
        <w:rPr>
          <w:rFonts w:hint="eastAsia" w:ascii="宋体" w:hAnsi="宋体" w:eastAsia="宋体" w:cs="宋体"/>
          <w:color w:val="auto"/>
          <w:sz w:val="24"/>
          <w:highlight w:val="none"/>
          <w:lang w:val="en-US" w:eastAsia="zh-CN"/>
        </w:rPr>
        <w:t>%；</w:t>
      </w:r>
    </w:p>
    <w:p>
      <w:pPr>
        <w:keepNext w:val="0"/>
        <w:keepLines w:val="0"/>
        <w:pageBreakBefore w:val="0"/>
        <w:kinsoku/>
        <w:wordWrap/>
        <w:overflowPunct/>
        <w:topLinePunct w:val="0"/>
        <w:autoSpaceDE/>
        <w:autoSpaceDN/>
        <w:bidi w:val="0"/>
        <w:spacing w:line="45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3期</w:t>
      </w:r>
      <w:r>
        <w:rPr>
          <w:rFonts w:hint="eastAsia" w:cs="宋体"/>
          <w:color w:val="auto"/>
          <w:sz w:val="24"/>
          <w:highlight w:val="none"/>
          <w:lang w:val="en-US" w:eastAsia="zh-CN"/>
        </w:rPr>
        <w:t>：</w:t>
      </w:r>
      <w:r>
        <w:rPr>
          <w:rFonts w:hint="eastAsia" w:cs="宋体"/>
          <w:color w:val="auto"/>
          <w:spacing w:val="-1"/>
          <w:sz w:val="24"/>
          <w:szCs w:val="24"/>
          <w:highlight w:val="none"/>
          <w:lang w:val="en-US" w:eastAsia="zh-CN"/>
        </w:rPr>
        <w:t>规委会批准</w:t>
      </w:r>
      <w:r>
        <w:rPr>
          <w:rFonts w:hint="eastAsia" w:ascii="宋体" w:hAnsi="宋体" w:eastAsia="宋体" w:cs="宋体"/>
          <w:color w:val="auto"/>
          <w:spacing w:val="-1"/>
          <w:sz w:val="24"/>
          <w:szCs w:val="24"/>
          <w:highlight w:val="none"/>
          <w:lang w:val="en-US" w:eastAsia="zh-CN"/>
        </w:rPr>
        <w:t>后，支付合同总价款的20%</w:t>
      </w:r>
      <w:r>
        <w:rPr>
          <w:rFonts w:hint="eastAsia" w:ascii="宋体" w:hAnsi="宋体" w:eastAsia="宋体" w:cs="宋体"/>
          <w:color w:val="auto"/>
          <w:sz w:val="24"/>
          <w:highlight w:val="none"/>
          <w:lang w:val="en-US" w:eastAsia="zh-CN"/>
        </w:rPr>
        <w:t>；</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第七条 验收的标准和方式</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7.1</w:t>
      </w:r>
      <w:r>
        <w:rPr>
          <w:rFonts w:hint="eastAsia" w:ascii="宋体" w:hAnsi="宋体" w:eastAsia="宋体" w:cs="宋体"/>
          <w:sz w:val="24"/>
          <w:highlight w:val="none"/>
        </w:rPr>
        <w:t>阶段成果验收</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乙方按合同完成的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成果，达到了本合同第二条、第四条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第五条</w:t>
      </w:r>
      <w:r>
        <w:rPr>
          <w:rFonts w:hint="eastAsia" w:ascii="宋体" w:hAnsi="宋体" w:eastAsia="宋体" w:cs="宋体"/>
          <w:sz w:val="24"/>
          <w:highlight w:val="none"/>
        </w:rPr>
        <w:t>相关要求，双方约定，本项目采用</w:t>
      </w:r>
      <w:r>
        <w:rPr>
          <w:rFonts w:hint="eastAsia" w:ascii="宋体" w:hAnsi="宋体" w:cs="宋体"/>
          <w:sz w:val="24"/>
          <w:highlight w:val="none"/>
          <w:u w:val="single"/>
        </w:rPr>
        <w:t>规委会</w:t>
      </w:r>
      <w:r>
        <w:rPr>
          <w:rFonts w:ascii="宋体" w:hAnsi="宋体" w:cs="宋体"/>
          <w:sz w:val="24"/>
          <w:highlight w:val="none"/>
          <w:u w:val="single"/>
        </w:rPr>
        <w:t>评审或</w:t>
      </w:r>
      <w:r>
        <w:rPr>
          <w:rFonts w:hint="eastAsia" w:ascii="宋体" w:hAnsi="宋体" w:cs="宋体"/>
          <w:sz w:val="24"/>
          <w:highlight w:val="none"/>
          <w:u w:val="single"/>
        </w:rPr>
        <w:t>专家</w:t>
      </w:r>
      <w:r>
        <w:rPr>
          <w:rFonts w:ascii="宋体" w:hAnsi="宋体" w:cs="宋体"/>
          <w:sz w:val="24"/>
          <w:highlight w:val="none"/>
          <w:u w:val="single"/>
        </w:rPr>
        <w:t>审查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方式验收，所需费用由甲方负责，</w:t>
      </w:r>
      <w:r>
        <w:rPr>
          <w:rFonts w:hint="eastAsia" w:ascii="宋体" w:hAnsi="宋体" w:eastAsia="宋体" w:cs="宋体"/>
          <w:sz w:val="24"/>
          <w:szCs w:val="24"/>
          <w:highlight w:val="none"/>
        </w:rPr>
        <w:t>由甲方出具项目评审验收意见。</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7.2</w:t>
      </w:r>
      <w:r>
        <w:rPr>
          <w:rFonts w:hint="eastAsia" w:ascii="宋体" w:hAnsi="宋体" w:eastAsia="宋体" w:cs="宋体"/>
          <w:sz w:val="24"/>
          <w:highlight w:val="none"/>
        </w:rPr>
        <w:t>最终成果签收</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乙方按合同完成的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成果，达到了本合同第二条、第四条</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第五条</w:t>
      </w:r>
      <w:r>
        <w:rPr>
          <w:rFonts w:hint="eastAsia" w:ascii="宋体" w:hAnsi="宋体" w:eastAsia="宋体" w:cs="宋体"/>
          <w:sz w:val="24"/>
          <w:highlight w:val="none"/>
        </w:rPr>
        <w:t>所列各项指标，经相关审批机关批复后，乙方向甲方提交最终</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成果，甲方应出具规划成果接收确认函。</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双方责任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8.1</w:t>
      </w:r>
      <w:r>
        <w:rPr>
          <w:rFonts w:hint="eastAsia" w:ascii="宋体" w:hAnsi="宋体" w:eastAsia="宋体" w:cs="宋体"/>
          <w:sz w:val="24"/>
          <w:highlight w:val="none"/>
        </w:rPr>
        <w:t>甲方责任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8.1.1甲方不得要求乙方违反国家、地方、行业等有关标准进行</w:t>
      </w:r>
      <w:r>
        <w:rPr>
          <w:rFonts w:hint="eastAsia" w:ascii="宋体" w:hAnsi="宋体" w:eastAsia="宋体" w:cs="宋体"/>
          <w:sz w:val="24"/>
          <w:highlight w:val="none"/>
          <w:lang w:eastAsia="zh-CN"/>
        </w:rPr>
        <w:t>规划</w:t>
      </w:r>
      <w:r>
        <w:rPr>
          <w:rFonts w:hint="eastAsia" w:ascii="宋体" w:hAnsi="宋体" w:eastAsia="宋体" w:cs="宋体"/>
          <w:sz w:val="24"/>
          <w:highlight w:val="none"/>
        </w:rPr>
        <w:t>工作，否则乙方有权终止履行合同。</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8.1.2甲方</w:t>
      </w:r>
      <w:r>
        <w:rPr>
          <w:rFonts w:hint="eastAsia" w:ascii="宋体" w:hAnsi="宋体" w:eastAsia="宋体" w:cs="宋体"/>
          <w:sz w:val="24"/>
          <w:highlight w:val="none"/>
          <w:lang w:val="en-US" w:eastAsia="zh-CN"/>
        </w:rPr>
        <w:t>在合同签订后5</w:t>
      </w:r>
      <w:r>
        <w:rPr>
          <w:rFonts w:hint="eastAsia" w:ascii="宋体" w:hAnsi="宋体" w:eastAsia="宋体" w:cs="宋体"/>
          <w:sz w:val="24"/>
          <w:highlight w:val="none"/>
        </w:rPr>
        <w:t>个日历日内向乙方提交基础资料及文件，</w:t>
      </w:r>
      <w:r>
        <w:rPr>
          <w:rFonts w:hint="eastAsia" w:ascii="宋体" w:hAnsi="宋体" w:eastAsia="宋体" w:cs="宋体"/>
          <w:color w:val="auto"/>
          <w:sz w:val="24"/>
          <w:szCs w:val="24"/>
          <w:highlight w:val="none"/>
        </w:rPr>
        <w:t>乙方负责对上述基础资料及文件进行规划审核，如发现基础资料及文件有错误或缺漏的，最迟应在开始规划前一周向甲方书面提出，由各双方协商确认。甲方逾期提交上述资料及文件，影响乙方按期完成相应工作的，乙方可以顺延交付规划文件时间。但乙方应以书面方式向甲方进行催告，在实际收到上述资料及文件前未进行书面催告的，视为未影响乙方工作，规划文件提交时间不予顺延。</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8.1.3甲方有权要求乙方进行正常的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变更，但应以正式书面文件的形式通知乙方，该通知需包含甲方代表签字及甲方公章。</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8.1.4由于下述原因造成乙方</w:t>
      </w:r>
      <w:r>
        <w:rPr>
          <w:rFonts w:hint="eastAsia" w:ascii="宋体" w:hAnsi="宋体" w:eastAsia="宋体" w:cs="宋体"/>
          <w:sz w:val="24"/>
          <w:highlight w:val="none"/>
          <w:lang w:eastAsia="zh-CN"/>
        </w:rPr>
        <w:t>规划</w:t>
      </w:r>
      <w:r>
        <w:rPr>
          <w:rFonts w:hint="eastAsia" w:ascii="宋体" w:hAnsi="宋体" w:eastAsia="宋体" w:cs="宋体"/>
          <w:sz w:val="24"/>
          <w:highlight w:val="none"/>
        </w:rPr>
        <w:t>返工或新增工作量时，双方需另行协商签订补充协议、重新明确费用、成果提交时间等有关条款外，甲方应根据乙方新增工作量增补</w:t>
      </w:r>
      <w:r>
        <w:rPr>
          <w:rFonts w:hint="eastAsia" w:ascii="宋体" w:hAnsi="宋体" w:eastAsia="宋体" w:cs="宋体"/>
          <w:sz w:val="24"/>
          <w:highlight w:val="none"/>
          <w:lang w:eastAsia="zh-CN"/>
        </w:rPr>
        <w:t>规划</w:t>
      </w:r>
      <w:r>
        <w:rPr>
          <w:rFonts w:hint="eastAsia" w:ascii="宋体" w:hAnsi="宋体" w:eastAsia="宋体" w:cs="宋体"/>
          <w:sz w:val="24"/>
          <w:highlight w:val="none"/>
        </w:rPr>
        <w:t>费。由此造成合同履行期延长的，乙方不承担责任；如双方未能签订补充协议，乙方有权拒绝相应返工或新增工作量。</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（1）甲方提交的资料错误，或所提交资料进行较大修改导致工作量增加的；</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（2）甲方变更委托规划起始年限，乙方需要重新收集资料的；</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（3）甲方变更委托规划项目、范围、规模、内容、条件、成果等要求的。</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8.2乙方责</w:t>
      </w:r>
      <w:r>
        <w:rPr>
          <w:rFonts w:hint="eastAsia" w:ascii="宋体" w:hAnsi="宋体" w:eastAsia="宋体" w:cs="宋体"/>
          <w:sz w:val="24"/>
          <w:highlight w:val="none"/>
        </w:rPr>
        <w:t>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8.2.1乙方应按国家相应技术规范、标准、规程及合同约定的各项要求，进行</w:t>
      </w:r>
      <w:r>
        <w:rPr>
          <w:rFonts w:hint="eastAsia" w:ascii="宋体" w:hAnsi="宋体" w:eastAsia="宋体" w:cs="宋体"/>
          <w:sz w:val="24"/>
          <w:highlight w:val="none"/>
          <w:lang w:eastAsia="zh-CN"/>
        </w:rPr>
        <w:t>规划</w:t>
      </w:r>
      <w:r>
        <w:rPr>
          <w:rFonts w:hint="eastAsia" w:ascii="宋体" w:hAnsi="宋体" w:eastAsia="宋体" w:cs="宋体"/>
          <w:sz w:val="24"/>
          <w:highlight w:val="none"/>
        </w:rPr>
        <w:t>工作，按合同规定的进度要求提交质量合格的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成果，并对其负责。</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8.2.2乙方按本合同第二条、第四条</w:t>
      </w:r>
      <w:r>
        <w:rPr>
          <w:rFonts w:hint="eastAsia" w:ascii="宋体" w:hAnsi="宋体" w:eastAsia="宋体" w:cs="宋体"/>
          <w:sz w:val="24"/>
          <w:highlight w:val="none"/>
          <w:lang w:eastAsia="zh-CN"/>
        </w:rPr>
        <w:t>、</w:t>
      </w:r>
      <w:r>
        <w:rPr>
          <w:rFonts w:hint="eastAsia" w:ascii="宋体" w:hAnsi="宋体" w:eastAsia="宋体" w:cs="宋体"/>
          <w:sz w:val="24"/>
          <w:highlight w:val="none"/>
        </w:rPr>
        <w:t>第五条规定的内容、进度及份数向甲方提交</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成果，按规定参加有关的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审查，并根据审查结论对不超出原定范围的内容做必要调整补充。</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highlight w:val="none"/>
        </w:rPr>
        <w:t>8.2.3由于乙方自身原因</w:t>
      </w:r>
      <w:r>
        <w:rPr>
          <w:rFonts w:hint="eastAsia" w:ascii="宋体" w:hAnsi="宋体" w:eastAsia="宋体" w:cs="宋体"/>
          <w:color w:val="auto"/>
          <w:sz w:val="24"/>
          <w:szCs w:val="24"/>
          <w:highlight w:val="none"/>
        </w:rPr>
        <w:t>（包括但不限于规划考虑不周或规划不当、错误、遗漏或不符合合同约定的规划依据、要求而进行的规划修改等情况）</w:t>
      </w:r>
      <w:r>
        <w:rPr>
          <w:rFonts w:hint="eastAsia" w:ascii="宋体" w:hAnsi="宋体" w:eastAsia="宋体" w:cs="宋体"/>
          <w:sz w:val="24"/>
          <w:highlight w:val="none"/>
        </w:rPr>
        <w:t>，延误了按本合同规定的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成果文件的交付，</w:t>
      </w:r>
      <w:r>
        <w:rPr>
          <w:rFonts w:hint="eastAsia" w:ascii="宋体" w:hAnsi="宋体" w:eastAsia="宋体" w:cs="宋体"/>
          <w:sz w:val="24"/>
          <w:szCs w:val="22"/>
          <w:highlight w:val="none"/>
        </w:rPr>
        <w:t>每延误一天，应减收该阶段</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费的千分之一。</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8.2.4乙方应做好</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的质量与技术管理工作，加强</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全过程的质量控制，保证</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内容的合理性。</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8.2.5甲方要求乙方比合同规定时间提前交付</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成果时，乙方应积极配合，如乙方确实能做到，甲方应根据乙方提前投入的工作量，向乙方支付赶工费。</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color w:val="FF0000"/>
          <w:sz w:val="24"/>
          <w:highlight w:val="none"/>
        </w:rPr>
      </w:pPr>
      <w:r>
        <w:rPr>
          <w:rFonts w:hint="eastAsia" w:ascii="宋体" w:hAnsi="宋体" w:eastAsia="宋体" w:cs="宋体"/>
          <w:sz w:val="24"/>
          <w:highlight w:val="none"/>
        </w:rPr>
        <w:t>8.2.6乙方未经甲方同意不得无故变更项目负责人（人员生病、死亡、离职等情况除外），若确有情况需要调整人员，乙方应提前通知甲方，经协商一致后再进行调整。</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 技术情报和资料的保密</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.1 各方均应保护合同履行过程中获得的对方的各项资料、文件及信息（已公开的除外），并保护对方享有的知识产权。未经对方同意，任何一方均不得对对方的上述资料、文件或信息擅自修改、复制、向第三人泄露或用于本合同项目外的项目。甲方提供给乙方的涉密资料，未经甲方书面同意严禁泄密给第三方使用。如发生以上情况，违约方应承担一切由此引起的后果并承担赔偿责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.2 甲方支付乙方相应规划文件规划费后，规划文件的知识产权及所有权归甲方享有，乙方不得对上述规划文件擅自修改、复制、向第三人泄露或用于本合同项目外的项目。甲方或甲方委托的第三方利用乙方提交的规划文件所完成的新的成果，其知识产权归甲方所有。</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.3 乙方应保证提交给甲方的规划文件不会侵犯任何第三方知识产权（包括但不限于著作权、商标权、专利权）、专有技术、商业秘密或其他权利，不会因此影响甲方获取上述相关权利。否则甲方有权要求乙方负责处理，包括修改规划文件、向第三方获取授权、权利转让等，由此所需</w:t>
      </w:r>
      <w:r>
        <w:rPr>
          <w:rFonts w:hint="eastAsia" w:ascii="宋体" w:hAnsi="宋体" w:eastAsia="宋体" w:cs="宋体"/>
          <w:color w:val="auto"/>
          <w:sz w:val="24"/>
          <w:szCs w:val="24"/>
          <w:highlight w:val="none"/>
        </w:rPr>
        <w:t>的费用及造成的甲方经济损失由乙方负责承担。如造成第三方以侵权为由向甲方进行索赔的，无论索赔结果是否成立，甲方由此发生的全部费用（包括但不限于诉讼、仲裁费、调查费、委托律师费等）、经济损失均由乙方负责承担。如经法院或仲裁部门确认确属侵权的，乙方还应返还甲方已付全部费用，并按合同总价的5%向甲方支付违约金，作为对甲方名誉损失及其他不良影响的赔偿。</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违约责任</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highlight w:val="none"/>
        </w:rPr>
      </w:pPr>
      <w:bookmarkStart w:id="0" w:name="OLE_LINK1"/>
      <w:r>
        <w:rPr>
          <w:rFonts w:hint="eastAsia" w:ascii="宋体" w:hAnsi="宋体" w:eastAsia="宋体" w:cs="宋体"/>
          <w:b w:val="0"/>
          <w:bCs/>
          <w:sz w:val="24"/>
          <w:highlight w:val="none"/>
        </w:rPr>
        <w:t>10.1在合同履行期间，因甲方原因终止或解除合同，乙方未开始</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工作的，不退还甲方已支付款项；已开始</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工作的，甲方应根据乙方已进行的实际工作量，不足一半时，按该阶段</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费的一半支付；超过一半时，按该阶段</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费的全部支付。</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rPr>
        <w:t>10.2在合同履行期间，</w:t>
      </w:r>
      <w:bookmarkEnd w:id="0"/>
      <w:r>
        <w:rPr>
          <w:rFonts w:hint="eastAsia" w:ascii="宋体" w:hAnsi="宋体" w:eastAsia="宋体" w:cs="宋体"/>
          <w:b w:val="0"/>
          <w:bCs/>
          <w:sz w:val="24"/>
          <w:highlight w:val="none"/>
          <w:lang w:val="en-US" w:eastAsia="zh-CN"/>
        </w:rPr>
        <w:t>因乙方原因解除合同的，退还甲方全部已支付款项。</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10.3甲方的上级或审批部门对</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文件不审批或本合同项目停滞的，双方应一个月内协商签订终止合同，甲方需按照10.1支付乙方已完成的</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费金额。</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10.4甲</w:t>
      </w:r>
      <w:r>
        <w:rPr>
          <w:rFonts w:hint="eastAsia" w:ascii="宋体" w:hAnsi="宋体" w:eastAsia="宋体" w:cs="宋体"/>
          <w:sz w:val="24"/>
          <w:highlight w:val="none"/>
        </w:rPr>
        <w:t>乙双方因任何一方违约产生的赔偿金总额以本合同</w:t>
      </w:r>
      <w:r>
        <w:rPr>
          <w:rFonts w:hint="eastAsia" w:ascii="宋体" w:hAnsi="宋体" w:eastAsia="宋体" w:cs="宋体"/>
          <w:sz w:val="24"/>
          <w:highlight w:val="none"/>
          <w:lang w:eastAsia="zh-CN"/>
        </w:rPr>
        <w:t>规划</w:t>
      </w:r>
      <w:r>
        <w:rPr>
          <w:rFonts w:hint="eastAsia" w:ascii="宋体" w:hAnsi="宋体" w:eastAsia="宋体" w:cs="宋体"/>
          <w:sz w:val="24"/>
          <w:highlight w:val="none"/>
        </w:rPr>
        <w:t>费金额为上限。</w:t>
      </w:r>
    </w:p>
    <w:p>
      <w:pPr>
        <w:keepNext w:val="0"/>
        <w:keepLines w:val="0"/>
        <w:pageBreakBefore w:val="0"/>
        <w:kinsoku/>
        <w:wordWrap/>
        <w:overflowPunct/>
        <w:topLinePunct w:val="0"/>
        <w:autoSpaceDE/>
        <w:autoSpaceDN/>
        <w:bidi w:val="0"/>
        <w:spacing w:line="450" w:lineRule="exact"/>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w:t>
      </w:r>
      <w:r>
        <w:rPr>
          <w:rFonts w:hint="eastAsia" w:cs="宋体"/>
          <w:b w:val="0"/>
          <w:bCs/>
          <w:sz w:val="24"/>
          <w:highlight w:val="none"/>
          <w:lang w:val="en-US" w:eastAsia="zh-CN"/>
        </w:rPr>
        <w:t>0</w:t>
      </w:r>
      <w:r>
        <w:rPr>
          <w:rFonts w:hint="eastAsia" w:ascii="宋体" w:hAnsi="宋体" w:eastAsia="宋体" w:cs="宋体"/>
          <w:b w:val="0"/>
          <w:bCs/>
          <w:sz w:val="24"/>
          <w:highlight w:val="none"/>
          <w:lang w:val="en-US" w:eastAsia="zh-CN"/>
        </w:rPr>
        <w:t>.5因乙方原因，导致规划成果未能通过验收批准的</w:t>
      </w:r>
      <w:r>
        <w:rPr>
          <w:rFonts w:hint="eastAsia" w:cs="宋体"/>
          <w:b w:val="0"/>
          <w:bCs/>
          <w:sz w:val="24"/>
          <w:highlight w:val="none"/>
          <w:lang w:val="en-US" w:eastAsia="zh-CN"/>
        </w:rPr>
        <w:t>，</w:t>
      </w:r>
      <w:r>
        <w:rPr>
          <w:rFonts w:hint="eastAsia"/>
          <w:bCs/>
          <w:sz w:val="24"/>
          <w:highlight w:val="none"/>
          <w:lang w:val="en-US" w:eastAsia="zh-CN"/>
        </w:rPr>
        <w:t>乙方应</w:t>
      </w:r>
      <w:r>
        <w:rPr>
          <w:rFonts w:hint="eastAsia"/>
          <w:sz w:val="24"/>
          <w:highlight w:val="none"/>
          <w:lang w:eastAsia="zh-CN"/>
        </w:rPr>
        <w:t>按</w:t>
      </w:r>
      <w:r>
        <w:rPr>
          <w:rFonts w:hint="eastAsia"/>
          <w:sz w:val="24"/>
          <w:highlight w:val="none"/>
          <w:lang w:val="en-US" w:eastAsia="zh-CN"/>
        </w:rPr>
        <w:t>甲方</w:t>
      </w:r>
      <w:r>
        <w:rPr>
          <w:rFonts w:hint="eastAsia"/>
          <w:sz w:val="24"/>
          <w:highlight w:val="none"/>
          <w:lang w:eastAsia="zh-CN"/>
        </w:rPr>
        <w:t>规定的进度要求</w:t>
      </w:r>
      <w:r>
        <w:rPr>
          <w:rFonts w:hint="eastAsia"/>
          <w:sz w:val="24"/>
          <w:highlight w:val="none"/>
          <w:lang w:val="en-US" w:eastAsia="zh-CN"/>
        </w:rPr>
        <w:t>再次</w:t>
      </w:r>
      <w:r>
        <w:rPr>
          <w:rFonts w:hint="eastAsia"/>
          <w:sz w:val="24"/>
          <w:highlight w:val="none"/>
          <w:lang w:eastAsia="zh-CN"/>
        </w:rPr>
        <w:t>提交质量合格的成果，</w:t>
      </w:r>
      <w:r>
        <w:rPr>
          <w:rFonts w:hint="eastAsia"/>
          <w:sz w:val="24"/>
          <w:highlight w:val="none"/>
          <w:lang w:val="en-US" w:eastAsia="zh-CN"/>
        </w:rPr>
        <w:t>仍</w:t>
      </w:r>
      <w:r>
        <w:rPr>
          <w:rFonts w:hint="eastAsia"/>
          <w:bCs/>
          <w:sz w:val="24"/>
          <w:highlight w:val="none"/>
          <w:lang w:val="en-US" w:eastAsia="zh-CN"/>
        </w:rPr>
        <w:t>未能获得评审验收的，解除合同，</w:t>
      </w:r>
      <w:r>
        <w:rPr>
          <w:rFonts w:hint="eastAsia"/>
          <w:sz w:val="24"/>
          <w:szCs w:val="24"/>
          <w:highlight w:val="none"/>
          <w:lang w:eastAsia="zh-CN"/>
        </w:rPr>
        <w:t>乙方还应返还甲方已付全部费用，并按合同总价的</w:t>
      </w:r>
      <w:r>
        <w:rPr>
          <w:rFonts w:hint="eastAsia"/>
          <w:sz w:val="24"/>
          <w:szCs w:val="24"/>
          <w:highlight w:val="none"/>
          <w:lang w:val="en-US" w:eastAsia="zh-CN"/>
        </w:rPr>
        <w:t>50</w:t>
      </w:r>
      <w:r>
        <w:rPr>
          <w:rFonts w:hint="eastAsia"/>
          <w:sz w:val="24"/>
          <w:szCs w:val="24"/>
          <w:highlight w:val="none"/>
          <w:lang w:eastAsia="zh-CN"/>
        </w:rPr>
        <w:t>%向甲方支付违约金</w:t>
      </w:r>
      <w:r>
        <w:rPr>
          <w:rFonts w:hint="eastAsia" w:ascii="宋体" w:hAnsi="宋体" w:eastAsia="宋体" w:cs="宋体"/>
          <w:b w:val="0"/>
          <w:bCs/>
          <w:sz w:val="24"/>
          <w:highlight w:val="none"/>
          <w:lang w:val="en-US" w:eastAsia="zh-CN"/>
        </w:rPr>
        <w:t>。</w:t>
      </w:r>
    </w:p>
    <w:p>
      <w:pPr>
        <w:pStyle w:val="2"/>
        <w:rPr>
          <w:rFonts w:hint="eastAsia"/>
        </w:rPr>
      </w:pP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争议的解决办法</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11.1在本合同履行过程中发生争议，双方应当协商解决。</w:t>
      </w:r>
    </w:p>
    <w:p>
      <w:pPr>
        <w:keepNext w:val="0"/>
        <w:keepLines w:val="0"/>
        <w:pageBreakBefore w:val="0"/>
        <w:kinsoku/>
        <w:wordWrap/>
        <w:overflowPunct/>
        <w:topLinePunct w:val="0"/>
        <w:autoSpaceDE/>
        <w:autoSpaceDN/>
        <w:bidi w:val="0"/>
        <w:spacing w:line="450" w:lineRule="exact"/>
        <w:ind w:left="480"/>
        <w:jc w:val="left"/>
        <w:textAlignment w:val="auto"/>
        <w:rPr>
          <w:rFonts w:hint="eastAsia" w:ascii="宋体" w:hAnsi="宋体" w:eastAsia="宋体" w:cs="宋体"/>
          <w:sz w:val="24"/>
          <w:highlight w:val="none"/>
          <w:u w:val="none"/>
          <w:lang w:val="en-US" w:eastAsia="zh-CN"/>
        </w:rPr>
      </w:pPr>
      <w:r>
        <w:rPr>
          <w:rFonts w:hint="eastAsia" w:ascii="宋体" w:hAnsi="宋体" w:eastAsia="宋体" w:cs="宋体"/>
          <w:b w:val="0"/>
          <w:bCs/>
          <w:sz w:val="24"/>
          <w:szCs w:val="24"/>
          <w:highlight w:val="none"/>
        </w:rPr>
        <w:t>11.2双方</w:t>
      </w:r>
      <w:r>
        <w:rPr>
          <w:rFonts w:hint="eastAsia" w:ascii="宋体" w:hAnsi="宋体" w:eastAsia="宋体" w:cs="宋体"/>
          <w:sz w:val="24"/>
          <w:szCs w:val="24"/>
          <w:highlight w:val="none"/>
        </w:rPr>
        <w:t>不愿协商、调解解决或者协商、调解不成的，</w:t>
      </w:r>
      <w:r>
        <w:rPr>
          <w:rFonts w:hint="eastAsia" w:ascii="宋体" w:hAnsi="宋体" w:eastAsia="宋体" w:cs="宋体"/>
          <w:sz w:val="24"/>
          <w:highlight w:val="none"/>
          <w:u w:val="none"/>
          <w:lang w:val="en-US" w:eastAsia="zh-CN"/>
        </w:rPr>
        <w:t>向甲方所在地有管辖权的人民法</w:t>
      </w:r>
    </w:p>
    <w:p>
      <w:pPr>
        <w:keepNext w:val="0"/>
        <w:keepLines w:val="0"/>
        <w:pageBreakBefore w:val="0"/>
        <w:kinsoku/>
        <w:wordWrap/>
        <w:overflowPunct/>
        <w:topLinePunct w:val="0"/>
        <w:autoSpaceDE/>
        <w:autoSpaceDN/>
        <w:bidi w:val="0"/>
        <w:spacing w:line="450" w:lineRule="exact"/>
        <w:jc w:val="left"/>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lang w:val="en-US" w:eastAsia="zh-CN"/>
        </w:rPr>
        <w:t>院提起诉讼。</w:t>
      </w:r>
    </w:p>
    <w:p>
      <w:pPr>
        <w:keepNext w:val="0"/>
        <w:keepLines w:val="0"/>
        <w:pageBreakBefore w:val="0"/>
        <w:kinsoku/>
        <w:wordWrap/>
        <w:overflowPunct/>
        <w:topLinePunct w:val="0"/>
        <w:autoSpaceDE/>
        <w:autoSpaceDN/>
        <w:bidi w:val="0"/>
        <w:adjustRightInd w:val="0"/>
        <w:snapToGrid w:val="0"/>
        <w:spacing w:before="312" w:beforeLines="100" w:after="312" w:afterLines="100" w:line="45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其它</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12.1甲方要求乙方派专人留驻现场进行配合、解决有关问题时，双方应另行签订补充协议或技术咨询服务合同。</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12.2甲方要求乙方提供本合同内容以外的工作服务，需另行支付费用。</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12.3由于不可抗力因素致使合同无法履行时，双方应及时协商解决。</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color w:val="FF0000"/>
          <w:sz w:val="24"/>
        </w:rPr>
      </w:pPr>
      <w:r>
        <w:rPr>
          <w:rFonts w:hint="eastAsia" w:ascii="宋体" w:hAnsi="宋体" w:eastAsia="宋体" w:cs="宋体"/>
          <w:b w:val="0"/>
          <w:bCs/>
          <w:sz w:val="24"/>
        </w:rPr>
        <w:t>12.4甲方指定</w:t>
      </w:r>
      <w:r>
        <w:rPr>
          <w:rFonts w:hint="eastAsia" w:ascii="宋体" w:hAnsi="宋体" w:eastAsia="宋体" w:cs="宋体"/>
          <w:b w:val="0"/>
          <w:bCs/>
          <w:sz w:val="24"/>
          <w:u w:val="single"/>
        </w:rPr>
        <w:t xml:space="preserve">      </w:t>
      </w:r>
      <w:r>
        <w:rPr>
          <w:rFonts w:hint="eastAsia" w:ascii="宋体" w:hAnsi="宋体" w:eastAsia="宋体" w:cs="宋体"/>
          <w:b w:val="0"/>
          <w:bCs/>
          <w:sz w:val="24"/>
        </w:rPr>
        <w:t>（联系方式：</w:t>
      </w:r>
      <w:r>
        <w:rPr>
          <w:rFonts w:hint="eastAsia" w:ascii="宋体" w:hAnsi="宋体" w:eastAsia="宋体" w:cs="宋体"/>
          <w:b w:val="0"/>
          <w:bCs/>
          <w:sz w:val="24"/>
          <w:u w:val="single"/>
        </w:rPr>
        <w:t xml:space="preserve">    </w:t>
      </w:r>
      <w:r>
        <w:rPr>
          <w:rFonts w:hint="eastAsia" w:ascii="宋体" w:hAnsi="宋体" w:eastAsia="宋体" w:cs="宋体"/>
          <w:b w:val="0"/>
          <w:bCs/>
          <w:sz w:val="24"/>
        </w:rPr>
        <w:t>；邮箱：</w:t>
      </w:r>
      <w:r>
        <w:rPr>
          <w:rFonts w:hint="eastAsia" w:ascii="宋体" w:hAnsi="宋体" w:eastAsia="宋体" w:cs="宋体"/>
          <w:b w:val="0"/>
          <w:bCs/>
          <w:sz w:val="24"/>
          <w:u w:val="single"/>
        </w:rPr>
        <w:t xml:space="preserve">      </w:t>
      </w:r>
      <w:r>
        <w:rPr>
          <w:rFonts w:hint="eastAsia" w:ascii="宋体" w:hAnsi="宋体" w:eastAsia="宋体" w:cs="宋体"/>
          <w:b w:val="0"/>
          <w:bCs/>
          <w:sz w:val="24"/>
        </w:rPr>
        <w:t>）为项目代表与乙方对接项目联系事宜；乙方指定</w:t>
      </w:r>
      <w:r>
        <w:rPr>
          <w:rFonts w:hint="eastAsia" w:ascii="宋体" w:hAnsi="宋体" w:eastAsia="宋体" w:cs="宋体"/>
          <w:b w:val="0"/>
          <w:bCs/>
          <w:sz w:val="24"/>
          <w:u w:val="single"/>
        </w:rPr>
        <w:t xml:space="preserve">      </w:t>
      </w:r>
      <w:r>
        <w:rPr>
          <w:rFonts w:hint="eastAsia" w:ascii="宋体" w:hAnsi="宋体" w:eastAsia="宋体" w:cs="宋体"/>
          <w:b w:val="0"/>
          <w:bCs/>
          <w:sz w:val="24"/>
        </w:rPr>
        <w:t>（联系方式：</w:t>
      </w:r>
      <w:r>
        <w:rPr>
          <w:rFonts w:hint="eastAsia" w:ascii="宋体" w:hAnsi="宋体" w:eastAsia="宋体" w:cs="宋体"/>
          <w:b w:val="0"/>
          <w:bCs/>
          <w:sz w:val="24"/>
          <w:u w:val="single"/>
        </w:rPr>
        <w:t xml:space="preserve">    </w:t>
      </w:r>
      <w:r>
        <w:rPr>
          <w:rFonts w:hint="eastAsia" w:ascii="宋体" w:hAnsi="宋体" w:eastAsia="宋体" w:cs="宋体"/>
          <w:b w:val="0"/>
          <w:bCs/>
          <w:sz w:val="24"/>
        </w:rPr>
        <w:t>；邮箱：</w:t>
      </w:r>
      <w:r>
        <w:rPr>
          <w:rFonts w:hint="eastAsia" w:ascii="宋体" w:hAnsi="宋体" w:eastAsia="宋体" w:cs="宋体"/>
          <w:b w:val="0"/>
          <w:bCs/>
          <w:sz w:val="24"/>
          <w:u w:val="single"/>
        </w:rPr>
        <w:t xml:space="preserve">      </w:t>
      </w:r>
      <w:r>
        <w:rPr>
          <w:rFonts w:hint="eastAsia" w:ascii="宋体" w:hAnsi="宋体" w:eastAsia="宋体" w:cs="宋体"/>
          <w:b w:val="0"/>
          <w:bCs/>
          <w:sz w:val="24"/>
        </w:rPr>
        <w:t>）为项目代表与甲方对接项目联系事宜，如一方需变更项目代表，需以书面形式通知对方。</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color w:val="FF0000"/>
          <w:sz w:val="24"/>
        </w:rPr>
      </w:pPr>
      <w:r>
        <w:rPr>
          <w:rFonts w:hint="eastAsia" w:ascii="宋体" w:hAnsi="宋体" w:eastAsia="宋体" w:cs="宋体"/>
          <w:b w:val="0"/>
          <w:bCs/>
          <w:sz w:val="24"/>
        </w:rPr>
        <w:t>12.5本合同一式</w:t>
      </w:r>
      <w:r>
        <w:rPr>
          <w:rFonts w:hint="eastAsia" w:ascii="宋体" w:hAnsi="宋体" w:eastAsia="宋体" w:cs="宋体"/>
          <w:b w:val="0"/>
          <w:bCs/>
          <w:sz w:val="24"/>
          <w:u w:val="single"/>
        </w:rPr>
        <w:t xml:space="preserve">   </w:t>
      </w:r>
      <w:r>
        <w:rPr>
          <w:rFonts w:hint="eastAsia" w:ascii="宋体" w:hAnsi="宋体" w:eastAsia="宋体" w:cs="宋体"/>
          <w:b w:val="0"/>
          <w:bCs/>
          <w:sz w:val="24"/>
        </w:rPr>
        <w:t>份，甲方</w:t>
      </w:r>
      <w:r>
        <w:rPr>
          <w:rFonts w:hint="eastAsia" w:ascii="宋体" w:hAnsi="宋体" w:eastAsia="宋体" w:cs="宋体"/>
          <w:b w:val="0"/>
          <w:bCs/>
          <w:sz w:val="24"/>
          <w:u w:val="single"/>
        </w:rPr>
        <w:t xml:space="preserve">   </w:t>
      </w:r>
      <w:r>
        <w:rPr>
          <w:rFonts w:hint="eastAsia" w:ascii="宋体" w:hAnsi="宋体" w:eastAsia="宋体" w:cs="宋体"/>
          <w:b w:val="0"/>
          <w:bCs/>
          <w:sz w:val="24"/>
        </w:rPr>
        <w:t>份，乙方</w:t>
      </w:r>
      <w:r>
        <w:rPr>
          <w:rFonts w:hint="eastAsia" w:ascii="宋体" w:hAnsi="宋体" w:eastAsia="宋体" w:cs="宋体"/>
          <w:b w:val="0"/>
          <w:bCs/>
          <w:sz w:val="24"/>
          <w:u w:val="single"/>
        </w:rPr>
        <w:t xml:space="preserve">   </w:t>
      </w:r>
      <w:r>
        <w:rPr>
          <w:rFonts w:hint="eastAsia" w:ascii="宋体" w:hAnsi="宋体" w:eastAsia="宋体" w:cs="宋体"/>
          <w:b w:val="0"/>
          <w:bCs/>
          <w:sz w:val="24"/>
        </w:rPr>
        <w:t>份，正本各执1份，具有同等法律效力。</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12.6本合同经双方签字盖章后生效。</w:t>
      </w:r>
    </w:p>
    <w:p>
      <w:pPr>
        <w:keepNext w:val="0"/>
        <w:keepLines w:val="0"/>
        <w:pageBreakBefore w:val="0"/>
        <w:kinsoku/>
        <w:wordWrap/>
        <w:overflowPunct/>
        <w:topLinePunct w:val="0"/>
        <w:autoSpaceDE/>
        <w:autoSpaceDN/>
        <w:bidi w:val="0"/>
        <w:spacing w:line="450" w:lineRule="exact"/>
        <w:ind w:left="0" w:leftChars="0"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12.7本合同未尽事宜，双方可签订补充协议，有关协议及双方认可的来往邮件、传真、会议纪要等，均为本合同组成部分，与本合同具有同等法律效力。</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sz w:val="24"/>
        </w:rPr>
      </w:pPr>
      <w:r>
        <w:rPr>
          <w:rFonts w:hint="eastAsia" w:ascii="宋体" w:hAnsi="宋体" w:eastAsia="宋体" w:cs="宋体"/>
          <w:b w:val="0"/>
          <w:bCs/>
          <w:sz w:val="24"/>
        </w:rPr>
        <w:t>12.8甲方</w:t>
      </w:r>
      <w:r>
        <w:rPr>
          <w:rFonts w:hint="eastAsia" w:ascii="宋体" w:hAnsi="宋体" w:eastAsia="宋体" w:cs="宋体"/>
          <w:sz w:val="24"/>
        </w:rPr>
        <w:t>要求乙方开具的发票类型：</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（2）       </w:t>
      </w:r>
      <w:r>
        <w:rPr>
          <w:rFonts w:hint="eastAsia" w:ascii="宋体" w:hAnsi="宋体" w:eastAsia="宋体" w:cs="宋体"/>
          <w:sz w:val="24"/>
          <w:u w:val="single"/>
        </w:rPr>
        <w:t xml:space="preserve">  </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（1）增值税专用发票；</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（2）增值税普通发票。</w:t>
      </w:r>
    </w:p>
    <w:p>
      <w:pPr>
        <w:autoSpaceDE/>
        <w:autoSpaceDN/>
        <w:spacing w:line="450" w:lineRule="exact"/>
        <w:ind w:left="480"/>
        <w:rPr>
          <w:rFonts w:hint="eastAsia" w:ascii="宋体" w:hAnsi="宋体" w:eastAsia="宋体" w:cs="宋体"/>
          <w:bCs/>
          <w:sz w:val="24"/>
          <w:highlight w:val="none"/>
          <w:lang w:eastAsia="zh-CN"/>
        </w:rPr>
      </w:pPr>
      <w:r>
        <w:rPr>
          <w:rFonts w:hint="eastAsia" w:ascii="宋体" w:hAnsi="宋体" w:eastAsia="宋体" w:cs="宋体"/>
          <w:b w:val="0"/>
          <w:bCs w:val="0"/>
          <w:sz w:val="24"/>
          <w:highlight w:val="none"/>
        </w:rPr>
        <w:t>12.9其它约定事项：</w:t>
      </w:r>
      <w:bookmarkStart w:id="1" w:name="_Toc2150791"/>
      <w:bookmarkStart w:id="2" w:name="_Toc9868899"/>
      <w:r>
        <w:rPr>
          <w:rFonts w:hint="eastAsia" w:ascii="宋体" w:hAnsi="宋体" w:eastAsia="宋体" w:cs="宋体"/>
          <w:bCs/>
          <w:sz w:val="24"/>
          <w:highlight w:val="none"/>
          <w:lang w:eastAsia="zh-CN"/>
        </w:rPr>
        <w:t>履约担保</w:t>
      </w:r>
      <w:bookmarkEnd w:id="1"/>
      <w:bookmarkEnd w:id="2"/>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（1）比例：中标金额的10%，精确至万元。</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2）提交（缴纳）形式：①转账或电汇：在签订合同前由成交供应商单位账户一次性汇入采购人要求的账户，在汇款附言中写明项目名称，并到采购人财务室换取履约担保金收据。②支票、汇票、本票；③银行保函：向采购人递交由银行出具的无条件的、见索即付、不可撤销的履约保函（格式见附件）。 </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3）提交（缴纳）时间：以转账、支票、汇票、本票形式缴纳的，应于签订合同前；以保函形式提交的，应于签订合同后十五日内。如果成交供应商没有按照规定提交（缴纳）履约担保，采购人有权取消其中标资格，在其他中标候选人中依次确定成交供应商或重新招标。 </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（4）退还的方式、时间、条件：按照政府采购合同规定的技术、服务等标准组织对供应商履约验收，验收合格后28天内，成交供应商可要求采购人履行履约保证金退还手续。 </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 xml:space="preserve">（5）不予退还的情形：①本项目不允许转包，如果成交供应商在与采购人签订合同后，将中标项目转包给第三方，采购人将有充分理由终止合同，并没收其履约担保。②如果成交供应商在与采购人签订合同后，将中标项目中不允许分包的内容分包给第三方，采购人将有充分理由终止合同，并没收其履约担保。③如成交供应商未能完全履行合同规定的义务，采购人有权从履约担保中得到补偿。 </w:t>
      </w:r>
    </w:p>
    <w:p>
      <w:pPr>
        <w:autoSpaceDE/>
        <w:autoSpaceDN/>
        <w:spacing w:line="450" w:lineRule="exact"/>
        <w:ind w:left="480"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（6）逾期退还履约保证金的违约责任：除应当退还履约保证金本金外，还应当按中国人民银行同期贷款基准利率支付超期资金占用费，但因供应商自身原因导致无法及时退还的除外。</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（7）如乙方未按要求提交履约担保，则构成乙方违约，甲方有权终止本合同。</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（8）</w:t>
      </w:r>
      <w:bookmarkStart w:id="3" w:name="_Toc524709603"/>
      <w:bookmarkStart w:id="4" w:name="_Toc475544368"/>
      <w:bookmarkStart w:id="5" w:name="_Toc2150794"/>
      <w:bookmarkStart w:id="6" w:name="_Toc479866800"/>
      <w:bookmarkStart w:id="7" w:name="_Toc510278825"/>
      <w:bookmarkStart w:id="8" w:name="_Toc2078690"/>
      <w:r>
        <w:rPr>
          <w:rFonts w:hint="eastAsia" w:ascii="宋体" w:hAnsi="宋体" w:eastAsia="宋体" w:cs="宋体"/>
          <w:bCs/>
          <w:sz w:val="24"/>
          <w:highlight w:val="none"/>
          <w:lang w:val="en-US" w:eastAsia="zh-CN"/>
        </w:rPr>
        <w:t>恢复履约保函的数额</w:t>
      </w:r>
      <w:bookmarkEnd w:id="3"/>
      <w:bookmarkEnd w:id="4"/>
      <w:bookmarkEnd w:id="5"/>
      <w:bookmarkEnd w:id="6"/>
      <w:bookmarkEnd w:id="7"/>
      <w:bookmarkEnd w:id="8"/>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①如果甲方在项目合作期内根据本合同的有关规定提取履约保函项下的款项，乙方应确保在甲方提取后的十(10)个工作日内，将履约保函的数额恢复到约定的数额，且应向甲方提供履约保函已足额恢复的证据。甲方提取履约保函的权利不影响甲方在本合同项下的其他权利，并且不应解除乙方不履行本项目义务而对甲方所负的任何进一步的责任和义务。</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②乙方未在前述期限内补足或恢复履约保函相应金额的，甲方有权发出催告，乙方应在三十（30）日内予以补足；乙方在前述期限内仍未补足的，则甲方有权提取履约保函项下的余额，并有权提前终止本合同。甲方应保证所提取的所有款项，用于承担履约保函担保的相同义务，并且应在下述两个日期中的较早的一个日期将该等款项未使用的余额交予乙方：</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a、乙方完全履行其在本合同项下的义务之日；</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b、履约保函到期日之次日，如果本合同提前终止，则在终止日后的第三（3）个月届满之日。</w:t>
      </w:r>
    </w:p>
    <w:p>
      <w:pPr>
        <w:autoSpaceDE/>
        <w:autoSpaceDN/>
        <w:spacing w:line="450" w:lineRule="exact"/>
        <w:ind w:left="480" w:firstLine="480" w:firstLineChars="200"/>
        <w:rPr>
          <w:rFonts w:hint="eastAsia" w:ascii="宋体" w:hAnsi="宋体" w:eastAsia="宋体" w:cs="宋体"/>
          <w:bCs/>
          <w:sz w:val="24"/>
          <w:highlight w:val="none"/>
          <w:lang w:val="en-US" w:eastAsia="zh-CN"/>
        </w:rPr>
      </w:pPr>
      <w:bookmarkStart w:id="9" w:name="_Toc2150795"/>
      <w:bookmarkStart w:id="10" w:name="_Toc2078691"/>
      <w:r>
        <w:rPr>
          <w:rFonts w:hint="eastAsia" w:ascii="宋体" w:hAnsi="宋体" w:eastAsia="宋体" w:cs="宋体"/>
          <w:bCs/>
          <w:sz w:val="24"/>
          <w:highlight w:val="none"/>
          <w:lang w:val="en-US" w:eastAsia="zh-CN"/>
        </w:rPr>
        <w:t>③保持履约保函持续、有效</w:t>
      </w:r>
      <w:bookmarkEnd w:id="9"/>
      <w:bookmarkEnd w:id="10"/>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乙方可以根据其意愿提供期限少于整个期限的履约保函。在这种情况下，在履约保函到期前的六十（60）日之前，乙方应使这份履约保函通过另一份履约保函得以延续或更换。</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乙方未在前述期限内补足或恢复履约保函相应金额的，甲方有权：</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a、发出催告，乙方应在三十（30）日内予以补足；</w:t>
      </w:r>
    </w:p>
    <w:p>
      <w:pPr>
        <w:autoSpaceDE/>
        <w:autoSpaceDN/>
        <w:spacing w:line="450" w:lineRule="exact"/>
        <w:ind w:left="48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b、乙方在前述期限内仍未补足的，则甲方有权提取履约保函项下的余额；以及</w:t>
      </w:r>
    </w:p>
    <w:p>
      <w:pPr>
        <w:keepNext w:val="0"/>
        <w:keepLines w:val="0"/>
        <w:pageBreakBefore w:val="0"/>
        <w:kinsoku/>
        <w:wordWrap/>
        <w:overflowPunct/>
        <w:topLinePunct w:val="0"/>
        <w:autoSpaceDE/>
        <w:autoSpaceDN/>
        <w:bidi w:val="0"/>
        <w:spacing w:line="450" w:lineRule="exact"/>
        <w:ind w:left="480"/>
        <w:textAlignment w:val="auto"/>
        <w:rPr>
          <w:rFonts w:hint="eastAsia" w:ascii="宋体" w:hAnsi="宋体" w:eastAsia="宋体" w:cs="宋体"/>
          <w:sz w:val="24"/>
          <w:highlight w:val="none"/>
        </w:rPr>
      </w:pPr>
      <w:r>
        <w:rPr>
          <w:rFonts w:hint="eastAsia" w:ascii="宋体" w:hAnsi="宋体" w:eastAsia="宋体" w:cs="宋体"/>
          <w:bCs/>
          <w:sz w:val="24"/>
          <w:highlight w:val="none"/>
          <w:lang w:val="en-US" w:eastAsia="zh-CN"/>
        </w:rPr>
        <w:t>c、有权扣留在本合同下由甲方或其指定机构应支付给乙方的服务费，直至乙方补足或直至甲方扣留的金额与在1）项下提取的金额总共达到本合同规定的金额为止。</w:t>
      </w:r>
    </w:p>
    <w:p>
      <w:pPr>
        <w:keepNext w:val="0"/>
        <w:keepLines w:val="0"/>
        <w:pageBreakBefore w:val="0"/>
        <w:kinsoku/>
        <w:wordWrap/>
        <w:overflowPunct/>
        <w:topLinePunct w:val="0"/>
        <w:autoSpaceDE/>
        <w:autoSpaceDN/>
        <w:bidi w:val="0"/>
        <w:spacing w:line="450" w:lineRule="exact"/>
        <w:ind w:firstLine="480" w:firstLineChars="200"/>
        <w:jc w:val="left"/>
        <w:textAlignment w:val="auto"/>
        <w:rPr>
          <w:rFonts w:hint="eastAsia" w:ascii="宋体" w:hAnsi="宋体" w:eastAsia="宋体" w:cs="宋体"/>
          <w:sz w:val="24"/>
        </w:rPr>
      </w:pPr>
    </w:p>
    <w:p>
      <w:pPr>
        <w:keepNext w:val="0"/>
        <w:keepLines w:val="0"/>
        <w:pageBreakBefore w:val="0"/>
        <w:kinsoku/>
        <w:wordWrap/>
        <w:overflowPunct/>
        <w:topLinePunct w:val="0"/>
        <w:autoSpaceDE/>
        <w:autoSpaceDN/>
        <w:bidi w:val="0"/>
        <w:spacing w:line="450" w:lineRule="exact"/>
        <w:ind w:firstLine="480" w:firstLineChars="200"/>
        <w:jc w:val="left"/>
        <w:textAlignment w:val="auto"/>
        <w:rPr>
          <w:rFonts w:hint="eastAsia" w:ascii="宋体" w:hAnsi="宋体" w:eastAsia="宋体" w:cs="宋体"/>
          <w:sz w:val="18"/>
          <w:u w:val="single"/>
        </w:rPr>
        <w:sectPr>
          <w:headerReference r:id="rId5" w:type="default"/>
          <w:footerReference r:id="rId6" w:type="default"/>
          <w:pgSz w:w="11907" w:h="16839"/>
          <w:pgMar w:top="1440" w:right="1134" w:bottom="1440" w:left="1134" w:header="851" w:footer="992" w:gutter="0"/>
          <w:pgNumType w:start="15"/>
          <w:cols w:space="720" w:num="1"/>
          <w:docGrid w:type="lines" w:linePitch="312" w:charSpace="0"/>
        </w:sectPr>
      </w:pPr>
      <w:r>
        <w:rPr>
          <w:rFonts w:hint="eastAsia" w:ascii="宋体" w:hAnsi="宋体" w:eastAsia="宋体" w:cs="宋体"/>
          <w:sz w:val="24"/>
        </w:rPr>
        <w:t>（以下无正文）</w:t>
      </w:r>
    </w:p>
    <w:p>
      <w:pPr>
        <w:keepNext w:val="0"/>
        <w:keepLines w:val="0"/>
        <w:pageBreakBefore w:val="0"/>
        <w:kinsoku/>
        <w:wordWrap/>
        <w:overflowPunct/>
        <w:topLinePunct w:val="0"/>
        <w:autoSpaceDE/>
        <w:autoSpaceDN/>
        <w:bidi w:val="0"/>
        <w:spacing w:line="450" w:lineRule="exact"/>
        <w:ind w:firstLine="480" w:firstLineChars="200"/>
        <w:textAlignment w:val="auto"/>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 xml:space="preserve">甲方名称：                         （盖章）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法定代表人/委托代理人：            （签字或盖章）</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住所：</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联系邮箱：</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邮政编码：</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电话：</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传真：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开户银行：</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银行帐号：</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p>
    <w:p>
      <w:pPr>
        <w:keepNext w:val="0"/>
        <w:keepLines w:val="0"/>
        <w:pageBreakBefore w:val="0"/>
        <w:kinsoku/>
        <w:wordWrap/>
        <w:overflowPunct/>
        <w:topLinePunct w:val="0"/>
        <w:autoSpaceDE/>
        <w:autoSpaceDN/>
        <w:bidi w:val="0"/>
        <w:spacing w:line="450" w:lineRule="exact"/>
        <w:ind w:firstLine="480" w:firstLineChars="200"/>
        <w:textAlignment w:val="auto"/>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 xml:space="preserve">乙方名称：                         （盖章）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法定代表人/委托代理人：            （签字或盖章）</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住所：</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联系邮箱：</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邮政编码：</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电话：</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传真：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开户银行：</w:t>
      </w:r>
    </w:p>
    <w:p>
      <w:r>
        <w:rPr>
          <w:rFonts w:hint="eastAsia" w:ascii="宋体" w:hAnsi="宋体" w:eastAsia="宋体" w:cs="宋体"/>
          <w:b w:val="0"/>
          <w:bCs/>
          <w:sz w:val="24"/>
          <w:lang w:val="en-US" w:eastAsia="zh-CN"/>
        </w:rPr>
        <w:t>银行帐号：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3506470</wp:posOffset>
              </wp:positionH>
              <wp:positionV relativeFrom="page">
                <wp:posOffset>10494645</wp:posOffset>
              </wp:positionV>
              <wp:extent cx="537845" cy="2032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537845" cy="203200"/>
                      </a:xfrm>
                      <a:prstGeom prst="rect">
                        <a:avLst/>
                      </a:prstGeom>
                      <a:noFill/>
                      <a:ln>
                        <a:noFill/>
                      </a:ln>
                    </wps:spPr>
                    <wps:txbx>
                      <w:txbxContent>
                        <w:p>
                          <w:pPr>
                            <w:spacing w:before="2"/>
                            <w:ind w:left="20" w:right="0" w:firstLine="0"/>
                            <w:jc w:val="left"/>
                            <w:rPr>
                              <w:sz w:val="24"/>
                            </w:rPr>
                          </w:pPr>
                          <w:r>
                            <w:rPr>
                              <w:w w:val="95"/>
                              <w:sz w:val="24"/>
                            </w:rPr>
                            <w:t>-第</w:t>
                          </w:r>
                          <w:r>
                            <w:fldChar w:fldCharType="begin"/>
                          </w:r>
                          <w:r>
                            <w:rPr>
                              <w:w w:val="95"/>
                              <w:sz w:val="24"/>
                            </w:rPr>
                            <w:instrText xml:space="preserve"> PAGE </w:instrText>
                          </w:r>
                          <w:r>
                            <w:fldChar w:fldCharType="separate"/>
                          </w:r>
                          <w:r>
                            <w:t>3</w:t>
                          </w:r>
                          <w:r>
                            <w:fldChar w:fldCharType="end"/>
                          </w:r>
                          <w:r>
                            <w:rPr>
                              <w:rFonts w:hint="eastAsia"/>
                              <w:lang w:val="en-US" w:eastAsia="zh-CN"/>
                            </w:rPr>
                            <w:t>页</w:t>
                          </w:r>
                          <w:r>
                            <w:rPr>
                              <w:w w:val="95"/>
                              <w:sz w:val="24"/>
                            </w:rPr>
                            <w:t>页-</w:t>
                          </w:r>
                        </w:p>
                      </w:txbxContent>
                    </wps:txbx>
                    <wps:bodyPr lIns="0" tIns="0" rIns="0" bIns="0" upright="1"/>
                  </wps:wsp>
                </a:graphicData>
              </a:graphic>
            </wp:anchor>
          </w:drawing>
        </mc:Choice>
        <mc:Fallback>
          <w:pict>
            <v:shape id="文本框 1025" o:spid="_x0000_s1026" o:spt="202" type="#_x0000_t202" style="position:absolute;left:0pt;margin-left:276.1pt;margin-top:826.35pt;height:16pt;width:42.35pt;mso-position-horizontal-relative:page;mso-position-vertical-relative:page;z-index:-251657216;mso-width-relative:page;mso-height-relative:page;" filled="f" stroked="f" coordsize="21600,21600" o:gfxdata="UEsDBAoAAAAAAIdO4kAAAAAAAAAAAAAAAAAEAAAAZHJzL1BLAwQUAAAACACHTuJA1CBVqNsAAAAN&#10;AQAADwAAAGRycy9kb3ducmV2LnhtbE2Py07DMBBF90j8gzVI7KjdQNI2xKkQglUlRBoWLJ3YTazG&#10;4xC7r79nuoLlzD26c6ZYn93AjmYK1qOE+UwAM9h6bbGT8FW/PyyBhahQq8GjkXAxAdbl7U2hcu1P&#10;WJnjNnaMSjDkSkIf45hzHtreOBVmfjRI2c5PTkUap47rSZ2o3A08ESLjTlmkC70azWtv2v324CS8&#10;fGP1Zn8+ms9qV9m6XgncZHsp7+/m4hlYNOf4B8NVn9ShJKfGH1AHNkhI0yQhlIIsTRbACMkesxWw&#10;5rpaPi2AlwX//0X5C1BLAwQUAAAACACHTuJATEkIObwBAAB0AwAADgAAAGRycy9lMm9Eb2MueG1s&#10;rVPNjtMwEL4j8Q6W79Rply6rqOlKqFqEhABplwdwHbux5D953CZ9AXgDTly481x9DsZO04Xlsgcu&#10;znhm8s1834xXt4M15CAjaO8aOp9VlEgnfKvdrqFfHu5e3VACibuWG+9kQ48S6O365YtVH2q58J03&#10;rYwEQRzUfWhol1KoGQPRScth5oN0GFQ+Wp7wGnesjbxHdGvYoqquWe9jG6IXEgC9mzFIz4jxOYBe&#10;KS3kxou9lS6NqFEanpASdDoAXZdulZIifVIKZCKmocg0lROLoL3NJ1uveL2LPHRanFvgz2nhCSfL&#10;tcOiF6gNT5zso/4HymoRPXiVZsJbNhIpiiCLefVEm/uOB1m4oNQQLqLD/4MVHw+fI9FtQ68pcdzi&#10;wE/fv51+/Dr9/Erm1WKZFeoD1Jh4HzA1DW/9gHsz+QGdmfigos1fpEQwjvoeL/rKIRGBzuXVm5vX&#10;S0oEhhbVFW5DRmGPP4cI6Z30lmSjoRHHV1Tlhw+QxtQpJddy/k4bU0Zo3F8OxMweljsfO8xWGrbD&#10;mc7Wt0dkY947FDMvxmTEydhOxj5EveuwncK5QOIwSt/nxcnT/vNeCj8+lv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CBVqNsAAAANAQAADwAAAAAAAAABACAAAAAiAAAAZHJzL2Rvd25yZXYueG1s&#10;UEsBAhQAFAAAAAgAh07iQExJCDm8AQAAdAMAAA4AAAAAAAAAAQAgAAAAKgEAAGRycy9lMm9Eb2Mu&#10;eG1sUEsFBgAAAAAGAAYAWQEAAFgFAAAAAA==&#10;">
              <v:fill on="f" focussize="0,0"/>
              <v:stroke on="f"/>
              <v:imagedata o:title=""/>
              <o:lock v:ext="edit" aspectratio="f"/>
              <v:textbox inset="0mm,0mm,0mm,0mm">
                <w:txbxContent>
                  <w:p>
                    <w:pPr>
                      <w:spacing w:before="2"/>
                      <w:ind w:left="20" w:right="0" w:firstLine="0"/>
                      <w:jc w:val="left"/>
                      <w:rPr>
                        <w:sz w:val="24"/>
                      </w:rPr>
                    </w:pPr>
                    <w:r>
                      <w:rPr>
                        <w:w w:val="95"/>
                        <w:sz w:val="24"/>
                      </w:rPr>
                      <w:t>-第</w:t>
                    </w:r>
                    <w:r>
                      <w:fldChar w:fldCharType="begin"/>
                    </w:r>
                    <w:r>
                      <w:rPr>
                        <w:w w:val="95"/>
                        <w:sz w:val="24"/>
                      </w:rPr>
                      <w:instrText xml:space="preserve"> PAGE </w:instrText>
                    </w:r>
                    <w:r>
                      <w:fldChar w:fldCharType="separate"/>
                    </w:r>
                    <w:r>
                      <w:t>3</w:t>
                    </w:r>
                    <w:r>
                      <w:fldChar w:fldCharType="end"/>
                    </w:r>
                    <w:r>
                      <w:rPr>
                        <w:rFonts w:hint="eastAsia"/>
                        <w:lang w:val="en-US" w:eastAsia="zh-CN"/>
                      </w:rPr>
                      <w:t>页</w:t>
                    </w:r>
                    <w:r>
                      <w:rPr>
                        <w:w w:val="95"/>
                        <w:sz w:val="24"/>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9072"/>
        <w:tab w:val="right" w:pos="9639"/>
        <w:tab w:val="clear" w:pos="8306"/>
      </w:tabs>
      <w:jc w:val="both"/>
      <w:rPr>
        <w:rFonts w:hint="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I3OGMwYjI0YmYyNTM4ZDEwMGFjOGY2MDI1N2EifQ=="/>
  </w:docVars>
  <w:rsids>
    <w:rsidRoot w:val="14AA52BD"/>
    <w:rsid w:val="14AA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9"/>
      <w:szCs w:val="19"/>
    </w:rPr>
  </w:style>
  <w:style w:type="paragraph" w:styleId="3">
    <w:name w:val="Date"/>
    <w:basedOn w:val="1"/>
    <w:next w:val="1"/>
    <w:qFormat/>
    <w:uiPriority w:val="99"/>
    <w:pPr>
      <w:ind w:left="100" w:leftChars="2500"/>
    </w:pPr>
  </w:style>
  <w:style w:type="paragraph" w:styleId="4">
    <w:name w:val="Normal Indent"/>
    <w:basedOn w:val="1"/>
    <w:qFormat/>
    <w:uiPriority w:val="0"/>
    <w:pPr>
      <w:ind w:firstLine="420"/>
    </w:pPr>
  </w:style>
  <w:style w:type="paragraph" w:styleId="5">
    <w:name w:val="Body Text Indent"/>
    <w:basedOn w:val="1"/>
    <w:qFormat/>
    <w:uiPriority w:val="0"/>
    <w:pPr>
      <w:spacing w:line="360" w:lineRule="auto"/>
      <w:ind w:firstLine="482"/>
    </w:pPr>
    <w:rPr>
      <w:sz w:val="24"/>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Quote1"/>
    <w:basedOn w:val="1"/>
    <w:next w:val="1"/>
    <w:qFormat/>
    <w:uiPriority w:val="99"/>
    <w:pPr>
      <w:widowControl/>
      <w:wordWrap w:val="0"/>
      <w:spacing w:before="200" w:after="160"/>
      <w:ind w:left="864" w:right="864"/>
      <w:jc w:val="center"/>
    </w:pPr>
    <w:rPr>
      <w:rFonts w:ascii="宋体"/>
      <w:i/>
      <w:color w:val="404040"/>
    </w:rPr>
  </w:style>
  <w:style w:type="paragraph" w:styleId="8">
    <w:name w:val="Body Text First Indent"/>
    <w:basedOn w:val="2"/>
    <w:next w:val="9"/>
    <w:qFormat/>
    <w:uiPriority w:val="99"/>
    <w:pPr>
      <w:ind w:firstLine="420" w:firstLineChars="100"/>
    </w:pPr>
  </w:style>
  <w:style w:type="paragraph" w:styleId="9">
    <w:name w:val="Body Text First Indent 2"/>
    <w:basedOn w:val="5"/>
    <w:qFormat/>
    <w:uiPriority w:val="0"/>
    <w:pPr>
      <w:ind w:firstLine="420" w:firstLineChars="200"/>
    </w:pPr>
  </w:style>
  <w:style w:type="paragraph" w:customStyle="1" w:styleId="12">
    <w:name w:val="Body Text 21"/>
    <w:basedOn w:val="1"/>
    <w:qFormat/>
    <w:uiPriority w:val="0"/>
    <w:pPr>
      <w:spacing w:line="480" w:lineRule="auto"/>
    </w:pPr>
    <w:rPr>
      <w:rFonts w:ascii="Calibri" w:hAnsi="Calibri"/>
      <w:sz w:val="20"/>
    </w:rPr>
  </w:style>
  <w:style w:type="paragraph" w:styleId="13">
    <w:name w:val="List Paragraph"/>
    <w:basedOn w:val="1"/>
    <w:qFormat/>
    <w:uiPriority w:val="1"/>
    <w:pPr>
      <w:spacing w:line="228" w:lineRule="exact"/>
      <w:ind w:left="1091" w:hanging="505"/>
    </w:pPr>
    <w:rPr>
      <w:rFonts w:ascii="宋体" w:hAnsi="宋体" w:eastAsia="宋体" w:cs="宋体"/>
    </w:rPr>
  </w:style>
  <w:style w:type="paragraph" w:customStyle="1" w:styleId="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2022-10-17T08:45:00Z</dcterms:created>
  <dc:creator>NTKO</dc:creator>
  <cp:lastModifiedBy>NTKO</cp:lastModifiedBy>
  <dcterms:modified xsi:type="dcterms:W3CDTF">2022-10-17T08:46:27Z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59130CD05F844AA08EF2331B896BAC8B</vt:lpwstr>
  </property>
</Properties>
</file>