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754"/>
        <w:gridCol w:w="502"/>
        <w:gridCol w:w="504"/>
        <w:gridCol w:w="7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2"/>
                <w:szCs w:val="22"/>
              </w:rPr>
            </w:pPr>
            <w:r>
              <w:rPr>
                <w:rFonts w:hint="eastAsia" w:ascii="宋体" w:hAnsi="宋体" w:eastAsia="宋体" w:cs="宋体"/>
                <w:b/>
                <w:bCs/>
                <w:sz w:val="22"/>
                <w:szCs w:val="22"/>
                <w:lang w:val="en-US" w:eastAsia="zh-CN"/>
              </w:rPr>
              <w:t>序号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2"/>
                <w:szCs w:val="22"/>
              </w:rPr>
            </w:pPr>
            <w:r>
              <w:rPr>
                <w:rFonts w:hint="eastAsia" w:ascii="宋体" w:hAnsi="宋体" w:eastAsia="宋体" w:cs="宋体"/>
                <w:b/>
                <w:bCs/>
                <w:sz w:val="22"/>
                <w:szCs w:val="22"/>
                <w:lang w:val="en-US" w:eastAsia="zh-CN"/>
              </w:rPr>
              <w:t>名称</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2"/>
                <w:szCs w:val="22"/>
              </w:rPr>
            </w:pPr>
            <w:r>
              <w:rPr>
                <w:rFonts w:hint="eastAsia" w:ascii="宋体" w:hAnsi="宋体" w:eastAsia="宋体" w:cs="宋体"/>
                <w:b/>
                <w:bCs/>
                <w:sz w:val="22"/>
                <w:szCs w:val="22"/>
                <w:lang w:val="en-US" w:eastAsia="zh-CN"/>
              </w:rPr>
              <w:t>数量</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2"/>
                <w:szCs w:val="22"/>
              </w:rPr>
            </w:pPr>
            <w:r>
              <w:rPr>
                <w:rFonts w:hint="eastAsia" w:ascii="宋体" w:hAnsi="宋体" w:eastAsia="宋体" w:cs="宋体"/>
                <w:b/>
                <w:bCs/>
                <w:sz w:val="22"/>
                <w:szCs w:val="22"/>
                <w:lang w:val="en-US" w:eastAsia="zh-CN"/>
              </w:rPr>
              <w:t>单位</w:t>
            </w:r>
          </w:p>
        </w:tc>
        <w:tc>
          <w:tcPr>
            <w:tcW w:w="3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2"/>
                <w:szCs w:val="22"/>
              </w:rPr>
            </w:pPr>
            <w:r>
              <w:rPr>
                <w:rFonts w:hint="eastAsia" w:ascii="宋体" w:hAnsi="宋体" w:eastAsia="宋体" w:cs="宋体"/>
                <w:b/>
                <w:bCs/>
                <w:sz w:val="22"/>
                <w:szCs w:val="22"/>
                <w:lang w:val="en-US" w:eastAsia="zh-CN"/>
              </w:rPr>
              <w:t>具体技术(参数)要求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病虫害物联网数据传输分析系统（县级）</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套</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病虫害物联网数据传输分析系统（县级）</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1、功能性要求</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1.1监测数据采集：提供规范的数据接口，可接入田间物联网病虫监测设备采集的数据。</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1.2数据填报功能：根据病虫监测调查需要，提供数据在线填报、数据导入等功能。</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1.3数据查询功能：可根据监测站点、监测调查时间、监测区域等不同维度对物联网监测设备采集数据、调查填报数据等进行查询。查询结果以表格等形式体现，并提供导出、打印等功能。</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1.4数据分析功能：可根据监测站点、监测调查时间、监测区域等不同维度对物联网监测设备采集数据、调查填报数据等进行比较分析，以数据表、点线柱状图等形式体现分析结果。分析结果可以导出、打印。</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1.5数据汇总功能：可根据监测站点、监测调查时间、监测区域等不同维度对物联网监测设备采集数据、调查填报数据等进行汇总，并根据汇总需要提供不同汇总指标求和、平均值、加权平均值等。汇总结果可以导出、打印。</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1.6 GIS监测预警：可实现病虫数据在GIS地图上以点图、面图、插值图等形式展示；可在地图上以点图、面图或插值图等动态推演展示病虫发生发展过程；可在地图上实现不同时间段病虫发生情况的卷帘对比分析；可允许用户通过数据导入在地图上自主绘制专题图。</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1.7预报预警功能：可将病虫数据库、气象等环境因子数据库形成重大病虫害预测模型，或可将成熟的预测模型、区域气候数据等移植入省级农作物有害生物监控信息系统，实现重大病虫模型预报预警。</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1.8任务管理：可对各级植保机构的数据填报任务进行设置，支持作物、年份、表格等不同方式的批量设置，以及修改、删除等任务管理功能。可实现对各监测站点的任务完成情况进行考核，查询统计各个监测站点应报次数、实报次数、完成率、迟报次数、迟报率、漏报次数、漏报率、仍需上报次数等，查询统计结果支持导出、打印等操作。可对监测设备、系统用户、功能配置、权限、可操作表等进行系统管理。</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1.9物联网监测站点及设备管理：可将田间监测点及其各种监测设备进行统一分类管理，形成国家级、省级病虫害监测网络；可在GIS地图上实时展示不同类型的监测设备分布、运行状态；可对不同类型的监测设备情况进行查询、统计等；可实现不同站点、不同设备间的数据多指标、多维度比较分析。</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2、系统性要求</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2.1数据对接：可与国家级或省级农作物有害生物监控信息系统对接，实现相关数据填报同步填报；具备标准化数据接口，可与指定的病虫测报物联网系统或其他相关系统进行进行数据对接。</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2.2性能要求：支持省域物联网设备同时数据传输和各级用户集中使用系统；系统数据填报、查询、汇总分析、地图分析等功能响应时间≤10s。</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2.3兼容性要求：支持不同技术架构服务器跨平台部署；支持不同技术架构计算机终端使用。</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2.4系统运维及安全保障要求：符合国家有关信息系统等级保护要求；满足系统每天连续24h不间断运行，保障5年系统正常运行，采用存储方式应满足未来5年省级系统所有功能涵盖的数据存储需求。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农作物有害生物监控信息系统</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套</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用于管理和展示物联网所有的数据和视频。并在平台上根据所采集到的数据进行远程设备控制，包括测报系统及视频系统及病虫数据孢子数据；也对本基地下用户的权限进行管理。灾害预警系统、数据统计分析系统、用户信息管理系统，能够实时采集传感器的数据、视频数据、苗情图像等信息，实现信息采集、生产监控、安全可视、在线监管，全面提升农业信息化和四情监管水平。远程视频监控系统由摄像、传输、控制、显示、存储五大部分组成。</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中心平台包含五个功能性系统：病虫害监控预警系统，墒情气象监控预警系统，视频监控（包括了苗情灾情监控）系统、数据监控分析预警系统。</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1.1虫情监测：虫情测报灯内虫体远程采集图像数据，对每个时间段所统计到的虫子数量，本功能为查看仪器当前系统的状态（工作模式、地理位置、天气、仓位和虫子数量）。</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1.2病虫害预警系统：可对迁移性虫害进行时实分析，对未发生区域进行提前预防；对即将发生和已发生灾害区域做出及时正确的对策。图表展示：可查看具体地区和各种病虫害的统计、预警、K线、对比分析图形（地图），跟据图形可提前预防各种灾害。</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综合统计：各种病虫害手动统计用的表格，点每种表格还可编辑和查询历史数据。</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本省特色：本省农作物的各种特色病虫害统计表格。</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1.3孢子自动捕捉系统：显微镜系统自动拍照选取并上传照片，自动融合成最清晰的照片通过网络上传至服务器,可通过APP及web端查看云平台数据,图片放大缩小及评论，可添加孢子类型时段控制：根据孢子数量大小，设定适宜工作时间段；展示所有设备自动采集或手动拍照上传的数据，统计曲线。</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1.4气象墒情监测：可选择空气传感器和时间段，以图形的方式展示供专业人员分析，可选择时间段，以列表的方式展示所有传感器数据供专业人员分析，可选择具体土壤传感器和时间段，以图形的方式展示供专业人员分析，可选择时间段，以列表的方式展示所有传感器数据供专业人员分析。</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气象数据分析：该模块提供气象墒情系统的空气温/湿度、光照度、二氧化碳、土壤温/湿度、病虫害监测数据的历史数据查询功能。</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1.5视频监控系统：在制定区域安装远红外摄像球机，管理者通过视频系统可清晰直观的实时查看种植区作物的生长及病虫害情况，并对突发性异常事件的过程进行及时监视和记录，用以提供及时高效的指挥和调度。远程视频在平台上可以自动控制云台动作，变换摄像头方位等功能。</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用户管理：可查看所有系统登录账户的情况及登录记录以及新增不同权限用户。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虫情信息自动采集系统（自动识别）</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套</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1.能自动拍照、上传害虫图片，可自动清理死虫体，可接入中国农作物有害生物监控信息系统、自动分析相关数据，历史数据可实时在线免费存储、查阅、下载；支持电脑客户端、网页版、移动端版数据共享；</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2.整体结构：须采用304不锈钢材质或不锈钢喷塑，撞击屏互成120度夹角；</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 xml:space="preserve">3.虫体处理：须远红外虫体处理，仓温度85±5℃，虫体处理致死率≥98%，虫体完整率≥95%；虫体分散可实现虫体≥98%分散平铺； </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4.保护要求：设备带有防雨棚和防雨百叶，下雨天可以正常工作，正常捕虫；具防雷击功能；</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5.虫情图像拍照要求：内置≥2000W高清工业摄像机，显示屏≥7寸触摸屏；</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6.远程查询监控：可在电脑端和手机端远程监控平台对虫情自动采集系统的控制，包括但不限于指令发布执行、系统参数设置、采集信息的查询分析、远程手动控制换位、诱虫灯开启、加热管通断、杀虫仓和烘干仓清空、震动电机开关、传送带开关等功能；</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7.自动识别功能：对农作物种植常见虫害做自动识别计数，包含：金龟子、草地螟、玉米螟、大螟、粘虫、地老虎、棉铃虫、蝼蛄、草地贪夜蛾等常见大田害虫识别准确率≥85%。</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8.虫子收集储存功能：对拍完照的虫子，需要保留标本的留在储存仓内，人工定期去收集：对于不需要标本的，虫子直接排出机器外部，避免人工去现场维护；不需要收集标本的情况下，可以不用人工去现场，只要定期去检修即可；</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9.网络支持：支持网关/5G/4G/网线/网桥/WIFI等选择；</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10.防盗要求：内置GPS定位功能，在PC云端地图中查看设备站点等数据，被盗可追踪；</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11.中控系统：采用四核安卓微型电脑中控，灯管开关、转仓、工作模式、拍照间隔、联网信息、远程启动/重启、设备位置报警、电量提醒、流量提醒等设备的运行状态可以通过中控远程监控；</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12.自动调节拍照时间：可通过照片自动识别虫子数量自动调节拍照间隔时间。</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13.工作环境：温度-20℃~70℃、湿度≤98℃。</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14.其他：交流电220V电源或太阳能供电，诱虫光源≤20W诱虫灯管，主波长360±5nm，灯管启动时间≤5秒，绝缘电阻≥2.5MΩ，Android4.0以上操作系统；</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15.须提供省级以上两年四地试验报告。</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16.正常使用≥5年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△物联网虫情测报灯（自动识别）</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台</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1.能自动拍照、上传害虫图片，可自动清理死虫体，可接入中国农作物有害生物监控信息系统、自动分析相关数据，历史数据可实时在线免费存储、查阅、下载；支持电脑客户端、网页版、移动端版数据共享；</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2.整体结构：须采用304不锈钢材质或不锈钢喷塑，撞击屏互成120度夹角；</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 xml:space="preserve">3.虫体处理：须远红外虫体处理，仓温度85±5℃，虫体处理致死率≥98%，虫体完整率≥95%；虫体分散可实现虫体≥98%分散平铺； </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4.保护要求：设备带有防雨棚和防雨百叶，下雨天可以正常工作，正常捕虫；具防雷击功能；</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5.虫情图像拍照要求：内置≥2000W高清工业摄像机，显示屏≥7寸触摸屏；</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6.远程查询监控：可在电脑端和手机端远程监控平台对虫情自动采集系统的控制，包括但不限于指令发布执行、系统参数设置、采集信息的查询分析、远程手动控制换位、诱虫灯开启、加热管通断、杀虫仓和烘干仓清空、震动电机开关、传送带开关等功能；</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7.自动识别功能：对农作物种植常见虫害做自动识别计数，包含：金龟子、草地螟、玉米螟、大螟、粘虫、地老虎、棉铃虫、蝼蛄、草地贪夜蛾等常见大田害虫识别准确率≥85%。</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8.虫子收集储存功能：对拍完照的虫子，需要保留标本的留在储存仓内，人工定期去收集：对于不需要标本的，虫子直接排出机器外部，避免人工去现场维护；不需要收集标本的情况下，可以不用人工去现场，只要定期去检修即可；</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9.网络支持：支持网关/5G/4G/网线/网桥/WIFI等选择；</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10.防盗要求：内置GPS定位功能，在PC云端地图中查看设备站点等数据，被盗可追踪；</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11.中控系统：采用四核安卓微型电脑中控，灯管开关、转仓、工作模式、拍照间隔、联网信息、远程启动/重启、设备位置报警、电量提醒、流量提醒等设备的运行状态可以通过中控远程监控；</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12.自动调节拍照时间：可通过照片自动识别虫子数量自动调节拍照间隔时间。</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13.工作环境：温度-20℃~70℃、湿度≤98℃。</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14.其他：交流电220V电源或太阳能供电，诱虫光源≤20W诱虫灯管，主波长360±5nm，灯管启动时间≤5秒，绝缘电阻≥2.5MΩ，Android4.0以上操作系统；</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15.须提供省级以上两年四地试验报告。</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16.正常使用≥5年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物联网虫情测报灯（常规）</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台</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1.能自动拍照、上传害虫图片，可自动清理死虫体，可接入中国农作物有害生物监控信息系统、自动分析相关数据，历史数据可实时在线免费存储、查阅、下载；支持电脑客户端、网页版、移动端版数据共享；</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2.整体结构：须采用304不锈钢材质或不锈钢喷塑，撞击屏互成120度夹角；</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3.虫体处理：须远红外虫体处理，仓温度85±5℃，虫体处理致死率≥98%，虫体完整率≥95%；虫体分散可实现虫体≥98%分散平铺；</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4.保护要求：设备带有防雨棚和防雨百叶，下雨天可以正常工作，正常捕虫；具防雷击功能；</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 xml:space="preserve">5.虫情图像拍照要求：内置≥1200W高清工业摄像机，显示屏≥7寸触摸屏； </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6.远程查询监控：可在电脑端和手机端远程监控平台对虫情自动采集系统的控制，包括但不限于指令发布执行、系统参数设置、采集信息的查询分析、远程手动控制换位、诱虫灯开启、加热管通断、杀虫仓和烘干仓清空、震动电机开关、传送带开关等功能；</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7.虫子收集储存功能：对拍完照的虫子，需要保留标本的留在储存仓内，人工定期去收集：对于不需要标本的，虫子直接排出机器外部，只要定期去检修即可；</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8.网络支持：支持网关/5G/4G/网线/网桥/WIFI等选择；</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9.防盗要求：内置GPS定位功能，在PC云端地图中查看设备站点等数据，被盗可追踪；</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10.中控系统：采用四核安卓微型电脑中控，灯管开关、转仓、工作模式、拍照间隔、联网信息、远程启动/重启、设备位置报警、电量提醒、流量提醒等设备的运行状态可以通过中控远程监控；</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11.自动调节拍照时间：可通过照片自动识别虫子数量自动调节拍照间隔时间。</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12.工作环境：温度-20℃～70℃、湿度≤98℃。</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13.其他：交流电220V或太阳能，诱虫光源≤20W诱虫灯管，主波长360±5nm，灯管启动时间≤5秒，绝缘电阻≥2.5MΩ，Android4.0以上操作系统；</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14.正常使用≥5年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病虫观测场远程实时监测设备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5</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套</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1.像素指标：≥500万；</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2.变倍要求：≥20倍；</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3.镜头要求：≥7寸；</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4.基本功能：设备必须具备电子防抖、电子雾透、视频存储、视频回放等功能；</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5.储存功能：本地储存容量≥2T，以满足历史视频数据存储使用；</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6.供电方式：市电供电；</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7.传输方式：数据传输可以通过光纤、4G等途径进行传输；</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8.配备要求:需配备摄像头立杆及支架各1套，硬盘录相机1套；</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9.分辨能力：20m 距离 10×10mm 清晰辨别，8m 距离 1 × 1mm 清晰辨别，夜间 10m 距离 10×10mm 清晰辨别，采集系统水平转角≧ 350 度，采集系统垂直转角≥45/45(上/下）；</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10.作物判别：通过摄像头图像采集自动识别所在监控范围内作物类型。</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11.远程功能：可实现设备的远程控制、图像处理；可通过手机APP端、网页端实现对系统的实时操控，可对采集图像数据信息进行查看、管理、分析、展示；手机APP端、网页端数据实现共享互通。</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12.正常使用≥5年。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田间气象观测设备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5</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套</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1.供电方式：提供太阳能或交流供电两种供电方式；低功耗设计加太阳能互补方式，内置大容量锂电池，可放置在野外，太阳能供电模式，连续阴雨条件下正常工作≥30天。</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2.主机功能：支持配置TF卡 (16G/32G/64G/128G) ，容量可根据实际需要进行配置，可以存储传感器数据，确保长期存储数据不丢失。</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数据采集与展示：产品具有数据采集及上传功能，采集数据要求：可采集土壤墒情(4层)、土壤温度(4层)、空气温度、空气湿度、光照强度、风向、风速、降水量、大气压、土壤氧气、苗情图片、等并通过无线网络通讯方式上传至服务器，最终在云平台上进行数据呈现及分析；可通过云管理系统远程设置数据采集、存储和上传时间间隔，5分钟到24小时采集时间间隔自由设定。</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4.土壤墒情采集模块：土壤温度，水分，盐分一体非金属式传感器，通过PVC导管进行测量，与土壤无需直接接触。</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5.海拔及防盗定位功能：可测海拔高度，自动获取海拔参数和GPS坐标信息，可获取设备及数据采集点具体的地理位置，防盗防位移。</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6.手机APP远程监控：Web和APP端都有电池电量检测、太阳能电压检测、数据采集间隔、故障报警等功能；具有手机APP软件(适用安卓及苹果系统)、云数据平台。手机上随时查看数据和曲线图；和物联网云平台上的其他设备(所有具有云平台功能的设备)的数据进行相互关联分析。历史数据永不丢失，数据可上传到物联网云平台并可接入国家级、省级、市级、县级等相关信息监测平台(中国农作物有害生物监控信息系统、全国土壤墒情监测系统等)。</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7.传输模式：系统支持电信、移动、联通等运营商GPRS\CDMA\NBIOT\GSM\4G\5G\WIFI\光纤\网络等方式。</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8.摄像头：摄像头≥250W像素，2.7英寸图像传感器，可在线查看实时情况，360°查看并且通过摄像头图像采集自动识别所在监控范围内作物种类 。</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9.正常使用≥5年。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性诱自动化监测设备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套</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一、监测数据自动采集系统 (云终端)</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 诱捕器 (反向三漏斗飞蛾类诱捕器) ：诱捕系统为倒置漏斗式飞蛾诱捕器，内有防逃逸结构，基于飞蛾类昆虫多感觉通道的行为特点设计诱捕器颜色、反光度、形状和结构，具有高效诱虫功能。诱捕器材质为聚碳酸酯 (PC) 。执行NY/T 2732-2015 农作物害虫性诱监测技术规范 (螟蛾类) 。</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双计数系统：采用电子自动计数。上下集虫器各带一个三层4对红外计数装置，通过多路传感算法匹配靶标昆虫体表面积、移动速度和轨迹等参数，自动计数进入集虫器的昆虫，间隔＜1S，计算总数后发送至服务器数据库，避免重复计数、漏计，自动计数准确 率≥95%。双计数通道结构可分别记录运动能力强和弱的所有诱捕到的昆虫，整体反映田间害虫种群大小及其动态变化。</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3.太阳能板：单晶硅、铝合金边框；功率：55W；工作温度：-40℃-85℃；锂电池12V，40ah，连续阴雨天≥20天稳定运行。</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4.结构件：支架：太阳能主杆喷塑铝管材质；防电箱:表面喷塑304不锈钢材质，内含双层，可调节高度位置，外盖标防电标识；底座：8边型喷塑铸铁材质；金属结构件具有足够的机械强度，整机外壳机械强度试验后不出现破、裂等破损现象。在IP56 (防尘、防 水)测试环境下，不影响正常工作。在10级台风环境下，不影响正常工作。</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5.终端储存器：实时记录和存储诱捕器监测数据，本地储存时间≥12月。定时向网关发送监测数据，并具有定时自检及自动重启纠错功能，默认白天为省电模式，提高电池利用率，亦可人工配置省电时间段。终端参数：工作温度：0℃-60℃ ；工作湿度: 0-99%；工作电压：DC12V；正常平均功率：&lt;1W。害虫性诱智能测报系统集害虫诱捕、数据统计、数据传输为一体，实现了害虫的定向诱集、分类统计、实时报传、远程监测、虫害预警的自动化、智能化。</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6.系统参数：</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工作温度：0℃-60℃。</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工作湿度:0-99%。</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工作电压：DC12V。</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平均功率:&lt;2W。</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数据通信网参数：4G网络，支持FDD-LTE/TDD-LTE，向下兼容GSM/GPRS/EDGE，最大上传速率5Mbps，下载速率10Mbps；局域网参数：ISM 433MHz。</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终端配置：可远程灵活配置云终端设备，最多可配置8个。</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远程控制：可远程下发指令，实现即时上传数据，重启等控制。</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7.监测玉米害虫: 亚洲玉米螟、欧洲玉米螟、大螟、棉铃虫、条螟、粘虫、二点萎夜蛾、草地螟、向日葵螟、黄地老虎、小地老虎等；</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8.正常使用≥5年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病虫害调查电动 车</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5</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辆</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款式：双轮。</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时速：30km/h以下。</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续航里程：30km及以上。</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最高功率：1500W-2000W锂电池。</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电压:45V。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田间病虫害发生信息移动采集设备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5</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套</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系统：安卓系统5.0及以上或HarmonyOS 5.0及以上，屏幕尺寸</w:t>
            </w:r>
            <w:r>
              <w:rPr>
                <w:rFonts w:hint="default" w:ascii="Arial" w:hAnsi="Arial" w:eastAsia="宋体" w:cs="Arial"/>
                <w:sz w:val="22"/>
                <w:szCs w:val="22"/>
                <w:highlight w:val="none"/>
                <w:lang w:val="en-US" w:eastAsia="zh-CN"/>
              </w:rPr>
              <w:t>≥</w:t>
            </w:r>
            <w:r>
              <w:rPr>
                <w:rFonts w:hint="eastAsia" w:ascii="宋体" w:hAnsi="宋体" w:eastAsia="宋体" w:cs="宋体"/>
                <w:sz w:val="22"/>
                <w:szCs w:val="22"/>
                <w:highlight w:val="none"/>
                <w:lang w:val="en-US" w:eastAsia="zh-CN"/>
              </w:rPr>
              <w:t>6.67英寸，屏幕刷新率</w:t>
            </w:r>
            <w:r>
              <w:rPr>
                <w:rFonts w:hint="default" w:ascii="Arial" w:hAnsi="Arial" w:eastAsia="宋体" w:cs="Arial"/>
                <w:sz w:val="22"/>
                <w:szCs w:val="22"/>
                <w:highlight w:val="none"/>
                <w:lang w:val="en-US" w:eastAsia="zh-CN"/>
              </w:rPr>
              <w:t>≥</w:t>
            </w:r>
            <w:r>
              <w:rPr>
                <w:rFonts w:hint="eastAsia" w:ascii="宋体" w:hAnsi="宋体" w:eastAsia="宋体" w:cs="宋体"/>
                <w:sz w:val="22"/>
                <w:szCs w:val="22"/>
                <w:highlight w:val="none"/>
                <w:lang w:val="en-US" w:eastAsia="zh-CN"/>
              </w:rPr>
              <w:t>120HZ，</w:t>
            </w:r>
            <w:r>
              <w:rPr>
                <w:rFonts w:hint="eastAsia" w:ascii="宋体" w:hAnsi="宋体" w:eastAsia="宋体" w:cs="宋体"/>
                <w:sz w:val="22"/>
                <w:szCs w:val="22"/>
                <w:highlight w:val="none"/>
                <w:lang w:val="en-US" w:eastAsia="zh-CN"/>
              </w:rPr>
              <w:br w:type="textWrapping"/>
            </w:r>
            <w:r>
              <w:rPr>
                <w:rFonts w:hint="eastAsia" w:ascii="宋体" w:hAnsi="宋体" w:eastAsia="宋体" w:cs="宋体"/>
                <w:sz w:val="22"/>
                <w:szCs w:val="22"/>
                <w:highlight w:val="none"/>
                <w:lang w:val="en-US" w:eastAsia="zh-CN"/>
              </w:rPr>
              <w:t>运行内存</w:t>
            </w:r>
            <w:r>
              <w:rPr>
                <w:rFonts w:hint="default" w:ascii="Arial" w:hAnsi="Arial" w:eastAsia="宋体" w:cs="Arial"/>
                <w:sz w:val="22"/>
                <w:szCs w:val="22"/>
                <w:highlight w:val="none"/>
                <w:lang w:val="en-US" w:eastAsia="zh-CN"/>
              </w:rPr>
              <w:t>≥</w:t>
            </w:r>
            <w:r>
              <w:rPr>
                <w:rFonts w:hint="eastAsia" w:ascii="宋体" w:hAnsi="宋体" w:eastAsia="宋体" w:cs="宋体"/>
                <w:sz w:val="22"/>
                <w:szCs w:val="22"/>
                <w:highlight w:val="none"/>
                <w:lang w:val="en-US" w:eastAsia="zh-CN"/>
              </w:rPr>
              <w:t>12GB,安卓系统5.0以上，后置三摄，后置摄像头：</w:t>
            </w:r>
            <w:r>
              <w:rPr>
                <w:rFonts w:hint="default" w:ascii="Arial" w:hAnsi="Arial" w:eastAsia="宋体" w:cs="Arial"/>
                <w:sz w:val="22"/>
                <w:szCs w:val="22"/>
                <w:highlight w:val="none"/>
                <w:lang w:val="en-US" w:eastAsia="zh-CN"/>
              </w:rPr>
              <w:t>≥</w:t>
            </w:r>
            <w:r>
              <w:rPr>
                <w:rFonts w:hint="eastAsia" w:ascii="宋体" w:hAnsi="宋体" w:eastAsia="宋体" w:cs="宋体"/>
                <w:sz w:val="22"/>
                <w:szCs w:val="22"/>
                <w:highlight w:val="none"/>
                <w:lang w:val="en-US" w:eastAsia="zh-CN"/>
              </w:rPr>
              <w:t>5000万像素超聚光主摄，</w:t>
            </w:r>
            <w:r>
              <w:rPr>
                <w:rFonts w:hint="default" w:ascii="Arial" w:hAnsi="Arial" w:eastAsia="宋体" w:cs="Arial"/>
                <w:sz w:val="22"/>
                <w:szCs w:val="22"/>
                <w:highlight w:val="none"/>
                <w:lang w:val="en-US" w:eastAsia="zh-CN"/>
              </w:rPr>
              <w:t>≥</w:t>
            </w:r>
            <w:r>
              <w:rPr>
                <w:rFonts w:hint="eastAsia" w:ascii="宋体" w:hAnsi="宋体" w:eastAsia="宋体" w:cs="宋体"/>
                <w:sz w:val="22"/>
                <w:szCs w:val="22"/>
                <w:highlight w:val="none"/>
                <w:lang w:val="en-US" w:eastAsia="zh-CN"/>
              </w:rPr>
              <w:t>5000万像素超广角；</w:t>
            </w:r>
            <w:r>
              <w:rPr>
                <w:rFonts w:hint="default" w:ascii="Arial" w:hAnsi="Arial" w:eastAsia="宋体" w:cs="Arial"/>
                <w:sz w:val="22"/>
                <w:szCs w:val="22"/>
                <w:highlight w:val="none"/>
                <w:lang w:val="en-US" w:eastAsia="zh-CN"/>
              </w:rPr>
              <w:t>≥</w:t>
            </w:r>
            <w:r>
              <w:rPr>
                <w:rFonts w:hint="eastAsia" w:ascii="宋体" w:hAnsi="宋体" w:eastAsia="宋体" w:cs="宋体"/>
                <w:sz w:val="22"/>
                <w:szCs w:val="22"/>
                <w:highlight w:val="none"/>
                <w:lang w:val="en-US" w:eastAsia="zh-CN"/>
              </w:rPr>
              <w:t>1200万像素长焦；</w:t>
            </w:r>
            <w:r>
              <w:rPr>
                <w:rFonts w:hint="default" w:ascii="Arial" w:hAnsi="Arial" w:eastAsia="宋体" w:cs="Arial"/>
                <w:sz w:val="22"/>
                <w:szCs w:val="22"/>
                <w:highlight w:val="none"/>
                <w:lang w:val="en-US" w:eastAsia="zh-CN"/>
              </w:rPr>
              <w:t>≥</w:t>
            </w:r>
            <w:r>
              <w:rPr>
                <w:rFonts w:hint="eastAsia" w:ascii="宋体" w:hAnsi="宋体" w:eastAsia="宋体" w:cs="宋体"/>
                <w:sz w:val="22"/>
                <w:szCs w:val="22"/>
                <w:highlight w:val="none"/>
                <w:lang w:val="en-US" w:eastAsia="zh-CN"/>
              </w:rPr>
              <w:t>4800万像素潜望式长焦摄像头。</w:t>
            </w:r>
            <w:r>
              <w:rPr>
                <w:rFonts w:hint="eastAsia" w:ascii="宋体" w:hAnsi="宋体" w:eastAsia="宋体" w:cs="宋体"/>
                <w:sz w:val="22"/>
                <w:szCs w:val="22"/>
                <w:highlight w:val="none"/>
                <w:lang w:val="en-US" w:eastAsia="zh-CN"/>
              </w:rPr>
              <w:br w:type="textWrapping"/>
            </w:r>
            <w:r>
              <w:rPr>
                <w:rFonts w:hint="eastAsia" w:ascii="宋体" w:hAnsi="宋体" w:eastAsia="宋体" w:cs="宋体"/>
                <w:sz w:val="22"/>
                <w:szCs w:val="22"/>
                <w:highlight w:val="none"/>
                <w:lang w:val="en-US" w:eastAsia="zh-CN"/>
              </w:rPr>
              <w:t>前置摄像头：</w:t>
            </w:r>
            <w:r>
              <w:rPr>
                <w:rFonts w:hint="default" w:ascii="Arial" w:hAnsi="Arial" w:eastAsia="宋体" w:cs="Arial"/>
                <w:sz w:val="22"/>
                <w:szCs w:val="22"/>
                <w:highlight w:val="none"/>
                <w:lang w:val="en-US" w:eastAsia="zh-CN"/>
              </w:rPr>
              <w:t>≥</w:t>
            </w:r>
            <w:r>
              <w:rPr>
                <w:rFonts w:hint="eastAsia" w:ascii="宋体" w:hAnsi="宋体" w:eastAsia="宋体" w:cs="宋体"/>
                <w:sz w:val="22"/>
                <w:szCs w:val="22"/>
                <w:highlight w:val="none"/>
                <w:lang w:val="en-US" w:eastAsia="zh-CN"/>
              </w:rPr>
              <w:t>1300万像素超广角摄像头；3D深感摄像头。</w:t>
            </w:r>
            <w:r>
              <w:rPr>
                <w:rFonts w:hint="eastAsia" w:ascii="宋体" w:hAnsi="宋体" w:eastAsia="宋体" w:cs="宋体"/>
                <w:sz w:val="22"/>
                <w:szCs w:val="22"/>
                <w:highlight w:val="none"/>
                <w:lang w:val="en-US" w:eastAsia="zh-CN"/>
              </w:rPr>
              <w:br w:type="textWrapping"/>
            </w:r>
            <w:r>
              <w:rPr>
                <w:rFonts w:hint="eastAsia" w:ascii="宋体" w:hAnsi="宋体" w:eastAsia="宋体" w:cs="宋体"/>
                <w:sz w:val="22"/>
                <w:szCs w:val="22"/>
                <w:highlight w:val="none"/>
                <w:lang w:val="en-US" w:eastAsia="zh-CN"/>
              </w:rPr>
              <w:t>机身内存</w:t>
            </w:r>
            <w:r>
              <w:rPr>
                <w:rFonts w:hint="default" w:ascii="Arial" w:hAnsi="Arial" w:eastAsia="宋体" w:cs="Arial"/>
                <w:sz w:val="22"/>
                <w:szCs w:val="22"/>
                <w:highlight w:val="none"/>
                <w:lang w:val="en-US" w:eastAsia="zh-CN"/>
              </w:rPr>
              <w:t>≥</w:t>
            </w:r>
            <w:r>
              <w:rPr>
                <w:rFonts w:hint="eastAsia" w:ascii="宋体" w:hAnsi="宋体" w:eastAsia="宋体" w:cs="宋体"/>
                <w:sz w:val="22"/>
                <w:szCs w:val="22"/>
                <w:highlight w:val="none"/>
                <w:lang w:val="en-US" w:eastAsia="zh-CN"/>
              </w:rPr>
              <w:t>512GB，5G网络，有与内蒙古自治区、盟市、旗县数字化平台无缝连接的相关软件。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11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病虫害调查工具 箱</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5</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套</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病虫调查装置，进行病虫的检查。配备便携式水桶、指南针、签字笔、检疫手套、检疫口罩、不锈钢水杯、多用小刀、油性记号笔、解剖刀、昆虫针钳、医用剪刀、解剖刀、昆虫钳、拉拔式袖珍捕虫网、扫网网袋、照明电光放大镜、毒瓶（带药剂）、折叠锯、折叠板凳、活虫采集养虫管、昆虫采集记录本、小型叶笼、昆虫针、尖嘴钳子、枝条养虫笼、充电式手电、吸虫管、试管、注射器、标本瓶、卷尺、三角纸袋、弯解剖针、直解剖针、直医用镊子、弯医用镊子、样品采集器、手动计数器、养虫盒、望远镜、微型显微镜、水果刀、小铲、多用斧头、10米围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数据传输与报送设备</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5</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套</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1.系统：Windows 10以上；CPU型号：intel  i9-13620H以上；核心数：十核以上。</w:t>
            </w:r>
            <w:r>
              <w:rPr>
                <w:rFonts w:hint="eastAsia" w:ascii="宋体" w:hAnsi="宋体" w:eastAsia="宋体" w:cs="宋体"/>
                <w:sz w:val="22"/>
                <w:szCs w:val="22"/>
                <w:highlight w:val="none"/>
                <w:lang w:val="en-US" w:eastAsia="zh-CN"/>
              </w:rPr>
              <w:br w:type="textWrapping"/>
            </w:r>
            <w:r>
              <w:rPr>
                <w:rFonts w:hint="eastAsia" w:ascii="宋体" w:hAnsi="宋体" w:eastAsia="宋体" w:cs="宋体"/>
                <w:sz w:val="22"/>
                <w:szCs w:val="22"/>
                <w:highlight w:val="none"/>
                <w:lang w:val="en-US" w:eastAsia="zh-CN"/>
              </w:rPr>
              <w:t>2.显卡：集成独立5GB专业图形卡。</w:t>
            </w:r>
            <w:r>
              <w:rPr>
                <w:rFonts w:hint="eastAsia" w:ascii="宋体" w:hAnsi="宋体" w:eastAsia="宋体" w:cs="宋体"/>
                <w:sz w:val="22"/>
                <w:szCs w:val="22"/>
                <w:highlight w:val="none"/>
                <w:lang w:val="en-US" w:eastAsia="zh-CN"/>
              </w:rPr>
              <w:br w:type="textWrapping"/>
            </w:r>
            <w:r>
              <w:rPr>
                <w:rFonts w:hint="eastAsia" w:ascii="宋体" w:hAnsi="宋体" w:eastAsia="宋体" w:cs="宋体"/>
                <w:sz w:val="22"/>
                <w:szCs w:val="22"/>
                <w:highlight w:val="none"/>
                <w:lang w:val="en-US" w:eastAsia="zh-CN"/>
              </w:rPr>
              <w:t>3.内存容量：</w:t>
            </w:r>
            <w:r>
              <w:rPr>
                <w:rFonts w:hint="default" w:ascii="Arial" w:hAnsi="Arial" w:eastAsia="宋体" w:cs="Arial"/>
                <w:sz w:val="22"/>
                <w:szCs w:val="22"/>
                <w:highlight w:val="none"/>
                <w:lang w:val="en-US" w:eastAsia="zh-CN"/>
              </w:rPr>
              <w:t>≥</w:t>
            </w:r>
            <w:r>
              <w:rPr>
                <w:rFonts w:hint="eastAsia" w:ascii="宋体" w:hAnsi="宋体" w:eastAsia="宋体" w:cs="宋体"/>
                <w:sz w:val="22"/>
                <w:szCs w:val="22"/>
                <w:highlight w:val="none"/>
                <w:lang w:val="en-US" w:eastAsia="zh-CN"/>
              </w:rPr>
              <w:t>32GB。</w:t>
            </w:r>
            <w:r>
              <w:rPr>
                <w:rFonts w:hint="eastAsia" w:ascii="宋体" w:hAnsi="宋体" w:eastAsia="宋体" w:cs="宋体"/>
                <w:sz w:val="22"/>
                <w:szCs w:val="22"/>
                <w:highlight w:val="none"/>
                <w:lang w:val="en-US" w:eastAsia="zh-CN"/>
              </w:rPr>
              <w:br w:type="textWrapping"/>
            </w:r>
            <w:r>
              <w:rPr>
                <w:rFonts w:hint="eastAsia" w:ascii="宋体" w:hAnsi="宋体" w:eastAsia="宋体" w:cs="宋体"/>
                <w:sz w:val="22"/>
                <w:szCs w:val="22"/>
                <w:highlight w:val="none"/>
                <w:lang w:val="en-US" w:eastAsia="zh-CN"/>
              </w:rPr>
              <w:t>4.硬盘容量：固态硬盘，</w:t>
            </w:r>
            <w:r>
              <w:rPr>
                <w:rFonts w:hint="default" w:ascii="Arial" w:hAnsi="Arial" w:eastAsia="宋体" w:cs="Arial"/>
                <w:sz w:val="22"/>
                <w:szCs w:val="22"/>
                <w:highlight w:val="none"/>
                <w:lang w:val="en-US" w:eastAsia="zh-CN"/>
              </w:rPr>
              <w:t>≥</w:t>
            </w:r>
            <w:r>
              <w:rPr>
                <w:rFonts w:hint="eastAsia" w:ascii="宋体" w:hAnsi="宋体" w:eastAsia="宋体" w:cs="宋体"/>
                <w:sz w:val="22"/>
                <w:szCs w:val="22"/>
                <w:highlight w:val="none"/>
                <w:lang w:val="en-US" w:eastAsia="zh-CN"/>
              </w:rPr>
              <w:t>1TB BSSD；类型；SATA 串行；转速：7200转/分钟。</w:t>
            </w:r>
            <w:r>
              <w:rPr>
                <w:rFonts w:hint="eastAsia" w:ascii="宋体" w:hAnsi="宋体" w:eastAsia="宋体" w:cs="宋体"/>
                <w:sz w:val="22"/>
                <w:szCs w:val="22"/>
                <w:highlight w:val="none"/>
                <w:lang w:val="en-US" w:eastAsia="zh-CN"/>
              </w:rPr>
              <w:br w:type="textWrapping"/>
            </w:r>
            <w:r>
              <w:rPr>
                <w:rFonts w:hint="eastAsia" w:ascii="宋体" w:hAnsi="宋体" w:eastAsia="宋体" w:cs="宋体"/>
                <w:sz w:val="22"/>
                <w:szCs w:val="22"/>
                <w:highlight w:val="none"/>
                <w:lang w:val="en-US" w:eastAsia="zh-CN"/>
              </w:rPr>
              <w:t>5.光驱类型DVD刻录；</w:t>
            </w:r>
            <w:r>
              <w:rPr>
                <w:rFonts w:hint="eastAsia" w:ascii="宋体" w:hAnsi="宋体" w:eastAsia="宋体" w:cs="宋体"/>
                <w:sz w:val="22"/>
                <w:szCs w:val="22"/>
                <w:highlight w:val="none"/>
                <w:lang w:val="en-US" w:eastAsia="zh-CN"/>
              </w:rPr>
              <w:br w:type="textWrapping"/>
            </w:r>
            <w:r>
              <w:rPr>
                <w:rFonts w:hint="eastAsia" w:ascii="宋体" w:hAnsi="宋体" w:eastAsia="宋体" w:cs="宋体"/>
                <w:sz w:val="22"/>
                <w:szCs w:val="22"/>
                <w:highlight w:val="none"/>
                <w:lang w:val="en-US" w:eastAsia="zh-CN"/>
              </w:rPr>
              <w:t>6．摄像头</w:t>
            </w:r>
            <w:r>
              <w:rPr>
                <w:rFonts w:hint="default" w:ascii="Arial" w:hAnsi="Arial" w:eastAsia="宋体" w:cs="Arial"/>
                <w:sz w:val="22"/>
                <w:szCs w:val="22"/>
                <w:highlight w:val="none"/>
                <w:lang w:val="en-US" w:eastAsia="zh-CN"/>
              </w:rPr>
              <w:t>≥</w:t>
            </w:r>
            <w:r>
              <w:rPr>
                <w:rFonts w:hint="eastAsia" w:ascii="宋体" w:hAnsi="宋体" w:eastAsia="宋体" w:cs="宋体"/>
                <w:sz w:val="22"/>
                <w:szCs w:val="22"/>
                <w:highlight w:val="none"/>
                <w:lang w:val="en-US" w:eastAsia="zh-CN"/>
              </w:rPr>
              <w:t>100万像素，</w:t>
            </w:r>
            <w:r>
              <w:rPr>
                <w:rFonts w:hint="eastAsia" w:ascii="宋体" w:hAnsi="宋体" w:eastAsia="宋体" w:cs="宋体"/>
                <w:sz w:val="22"/>
                <w:szCs w:val="22"/>
                <w:highlight w:val="none"/>
                <w:lang w:val="en-US" w:eastAsia="zh-CN"/>
              </w:rPr>
              <w:br w:type="textWrapping"/>
            </w:r>
            <w:r>
              <w:rPr>
                <w:rFonts w:hint="eastAsia" w:ascii="宋体" w:hAnsi="宋体" w:eastAsia="宋体" w:cs="宋体"/>
                <w:sz w:val="22"/>
                <w:szCs w:val="22"/>
                <w:highlight w:val="none"/>
                <w:lang w:val="en-US" w:eastAsia="zh-CN"/>
              </w:rPr>
              <w:t>7．屏幕尺寸：</w:t>
            </w:r>
            <w:r>
              <w:rPr>
                <w:rFonts w:hint="default" w:ascii="Arial" w:hAnsi="Arial" w:eastAsia="宋体" w:cs="Arial"/>
                <w:sz w:val="22"/>
                <w:szCs w:val="22"/>
                <w:highlight w:val="none"/>
                <w:lang w:val="en-US" w:eastAsia="zh-CN"/>
              </w:rPr>
              <w:t>≥</w:t>
            </w:r>
            <w:r>
              <w:rPr>
                <w:rFonts w:hint="eastAsia" w:ascii="宋体" w:hAnsi="宋体" w:eastAsia="宋体" w:cs="宋体"/>
                <w:sz w:val="22"/>
                <w:szCs w:val="22"/>
                <w:highlight w:val="none"/>
                <w:lang w:val="en-US" w:eastAsia="zh-CN"/>
              </w:rPr>
              <w:t>27英寸；</w:t>
            </w:r>
            <w:r>
              <w:rPr>
                <w:rFonts w:hint="eastAsia" w:ascii="宋体" w:hAnsi="宋体" w:eastAsia="宋体" w:cs="宋体"/>
                <w:sz w:val="22"/>
                <w:szCs w:val="22"/>
                <w:highlight w:val="none"/>
                <w:lang w:val="en-US" w:eastAsia="zh-CN"/>
              </w:rPr>
              <w:br w:type="textWrapping"/>
            </w:r>
            <w:r>
              <w:rPr>
                <w:rFonts w:hint="eastAsia" w:ascii="宋体" w:hAnsi="宋体" w:eastAsia="宋体" w:cs="宋体"/>
                <w:sz w:val="22"/>
                <w:szCs w:val="22"/>
                <w:highlight w:val="none"/>
                <w:lang w:val="en-US" w:eastAsia="zh-CN"/>
              </w:rPr>
              <w:t>8.</w:t>
            </w:r>
            <w:r>
              <w:rPr>
                <w:rFonts w:hint="default" w:ascii="Arial" w:hAnsi="Arial" w:eastAsia="宋体" w:cs="Arial"/>
                <w:sz w:val="22"/>
                <w:szCs w:val="22"/>
                <w:highlight w:val="none"/>
                <w:lang w:val="en-US" w:eastAsia="zh-CN"/>
              </w:rPr>
              <w:t>≥</w:t>
            </w:r>
            <w:r>
              <w:rPr>
                <w:rFonts w:hint="eastAsia" w:ascii="Arial" w:hAnsi="Arial" w:eastAsia="宋体" w:cs="Arial"/>
                <w:sz w:val="22"/>
                <w:szCs w:val="22"/>
                <w:highlight w:val="none"/>
                <w:lang w:val="en-US" w:eastAsia="zh-CN"/>
              </w:rPr>
              <w:t>5</w:t>
            </w:r>
            <w:r>
              <w:rPr>
                <w:rFonts w:hint="eastAsia" w:ascii="宋体" w:hAnsi="宋体" w:eastAsia="宋体" w:cs="宋体"/>
                <w:sz w:val="22"/>
                <w:szCs w:val="22"/>
                <w:highlight w:val="none"/>
                <w:lang w:val="en-US" w:eastAsia="zh-CN"/>
              </w:rPr>
              <w:t>年质保。</w:t>
            </w:r>
            <w:r>
              <w:rPr>
                <w:rFonts w:hint="eastAsia" w:ascii="宋体" w:hAnsi="宋体" w:eastAsia="宋体" w:cs="宋体"/>
                <w:sz w:val="22"/>
                <w:szCs w:val="22"/>
                <w:highlight w:val="none"/>
                <w:lang w:val="en-US" w:eastAsia="zh-CN"/>
              </w:rPr>
              <w:br w:type="textWrapping"/>
            </w:r>
            <w:r>
              <w:rPr>
                <w:rFonts w:hint="eastAsia" w:ascii="宋体" w:hAnsi="宋体" w:eastAsia="宋体" w:cs="宋体"/>
                <w:sz w:val="22"/>
                <w:szCs w:val="22"/>
                <w:highlight w:val="none"/>
                <w:lang w:val="en-US" w:eastAsia="zh-CN"/>
              </w:rPr>
              <w:t>9．前(侧)面接口：USB：</w:t>
            </w:r>
            <w:r>
              <w:rPr>
                <w:rFonts w:hint="default" w:ascii="Arial" w:hAnsi="Arial" w:eastAsia="宋体" w:cs="Arial"/>
                <w:sz w:val="22"/>
                <w:szCs w:val="22"/>
                <w:highlight w:val="none"/>
                <w:lang w:val="en-US" w:eastAsia="zh-CN"/>
              </w:rPr>
              <w:t>≥</w:t>
            </w:r>
            <w:r>
              <w:rPr>
                <w:rFonts w:hint="eastAsia" w:ascii="宋体" w:hAnsi="宋体" w:eastAsia="宋体" w:cs="宋体"/>
                <w:sz w:val="22"/>
                <w:szCs w:val="22"/>
                <w:highlight w:val="none"/>
                <w:lang w:val="en-US" w:eastAsia="zh-CN"/>
              </w:rPr>
              <w:t>4；后面接口USB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13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病虫调查田间统计器(Ⅲ)型</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3</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套</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1.具备纸张书写采集笔迹的功能，利用电磁感应技术实时采集在纸张上书写的笔迹数据，每秒钟采集笔迹数据不低于150次；</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2.具备自定义表格的能力，在管理后台可根据需要任意定义病虫害调查、农事作业等各类农业田间调查表格，报表可在管理后台直接打印；</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手写笔迹能够提交到服务器进行保存，可根据书写信息的内容、聚集度、位置等信息智能识别判断出表格在系统中的编码，也可以任务模式指定表格编码下发给调查人员，确保每一张手写笔迹能够与正确的表格编码对应；</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4.笔迹识别：笔迹识别算法可根据笔迹坐标、压力信息、笔顺、文字结构、前后语义等正确识别书写的文字，识别准确率达到99%；</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5.识别能力：识别算法可根据表格单元格要求识别数字、汉字、字母、序号等；</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6.填写笔迹时会将时间、经纬度、填写人、所属单位等信息自动上报，降低填写人员的工作量；</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7.自动计算：自定义表格时可对表单内数据进行求和、求平均、最大值、最小值等计算，并将计算结果和识别结果一起入库；</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8.数据接口：表格内容识别结果、原始笔迹数据提供数据接口服务，可根据需要将数据集成到其他系统中使用；</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9.最大可书写普通A4纸，具备固定纸张的夹子和限位槽，超过50张纸仍可正常采集笔迹，笔芯可更换，提供备用笔芯；</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10.具备连接指示灯、左右翻页按键，调查板和智能笔均支持USB充电，充满电可连续使用60小时，待机时间达180天；</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11.通过APP系统可灵活定制调查任务，定制调查表格，支持调查板通过APP将调查数据自动上传至云平台；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14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生物显微镜</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套</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lang w:val="en-US" w:eastAsia="zh-CN"/>
              </w:rPr>
              <w:t>1.PHCS消色差校正光学系统：</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2.光学总放大倍数：40X-1000X，可扩展到1600倍；</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3.整机结构件：结构件大部分采用金属制作，镜架上配有初微调同轴低旋钮，调整工作台面到物镜间的焦距低重心底座。</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4.目镜：带有指针定位的WF10X目镜并锁定于目镜筒，防止学生把目镜拔出使目镜遭到损坏，防止灰尘进入，准确度不超过±1.38%。</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5.目镜视场角大于50°时，放大率差不大于0.99%。</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6.物镜：标准消色差物镜，4X/0.10成像清晰圆直径≥16.7mm；10X/0.25成像清晰圆直径≥16.6mm，景深范围内像面的偏摆≤0.03mm；40X/0.65 (弹簧) ，成像清晰圆直径≥16.5mm；100X/1.25≥15.8mm。所有物镜均保证齐焦，10倍－4倍不超过±0.053mm；10倍－40倍不超过±0.034mm；10倍－100倍不超过±0.023mm；带有限位装置，可防止物镜压坏切片致使物镜损坏，物镜放大率准确度不超过±1.38%。</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7.镜筒：双目斜筒，30°倾斜，可360°旋转便于同步观察，360°旋转时目镜焦平面上像中心的位移≤0.2mm。</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8.双目两系统光谱明暗差不大于7.47%，像面图形方位差不大于15'。</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9.转换器：四孔同心球轴转换器，定位准确，并带有限位装置，转换器稳定性≤0.012mm。</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10.粗微调:同轴调焦轴－初微调同轴，调节载物台，有限位打滑装置，并有内置防滑动离合器，延长因机械损耗的整机使用寿命，微调机构空回≤0.006mm。</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11.调焦范围：粗调范围6.5mm，微调范围2mm。</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12.视场光栏：制作精密的可变视场光栏。</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13.照明光源：电源调节旋钮和电压开关分开，亮度可调的LED冷光源，可以充电，充电后不接电源可连续使用50小时。灯泡使用寿命 在10000小时以上，不产生温度，灯光色泽为无色，且不会产生热度。</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14.聚光镜：NA1.25带可变光栏螺旋式升降聚光镜，聚光镜上升到最高位，顶端低于载物台表面的距离在0.03－0.25(mm)之间。</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15.双层机械载物台：120mmX120mm载物台受5N水平方向作用力最大位移≤0.020mm；不重复性≤0.003mm,沿X-Y轴平稳移动，行程为 60mmX40mm。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配套设施</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项</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numPr>
                <w:ilvl w:val="0"/>
                <w:numId w:val="1"/>
              </w:numPr>
              <w:suppressLineNumbers w:val="0"/>
              <w:spacing w:before="0" w:beforeAutospacing="0" w:after="0" w:afterAutospacing="0"/>
              <w:ind w:left="0" w:right="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围栏400延长米（材质：不锈钢或铝合金或铁艺；高度：1.5米；1个门；其他五金件等）</w:t>
            </w:r>
          </w:p>
          <w:p>
            <w:pPr>
              <w:keepNext w:val="0"/>
              <w:keepLines w:val="0"/>
              <w:numPr>
                <w:ilvl w:val="0"/>
                <w:numId w:val="1"/>
              </w:numPr>
              <w:suppressLineNumbers w:val="0"/>
              <w:spacing w:before="0" w:beforeAutospacing="0" w:after="0" w:afterAutospacing="0"/>
              <w:ind w:left="0" w:right="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基础安装、预埋件5套（设备基础：混凝土基座；尺寸：必须满足设备需求；其他：包含设备预埋件、土方开挖及回填、五金件等）</w:t>
            </w:r>
          </w:p>
          <w:p>
            <w:pPr>
              <w:keepNext w:val="0"/>
              <w:keepLines w:val="0"/>
              <w:numPr>
                <w:ilvl w:val="0"/>
                <w:numId w:val="1"/>
              </w:numPr>
              <w:suppressLineNumbers w:val="0"/>
              <w:spacing w:before="0" w:beforeAutospacing="0" w:after="0" w:afterAutospacing="0"/>
              <w:ind w:left="0" w:right="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供电工程5套：（市电或太阳能光伏。市电:220V  50HZ、国标电线电缆、架空或地埋、供电计量设备及用电等费用、其他五金件；太阳能光伏：太阳能板≥2000W 、蓄电池≥2000A、专用光伏电缆等五金电料）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注：标“△”表示此采购标的为核心产品。</w:t>
            </w:r>
          </w:p>
        </w:tc>
      </w:tr>
    </w:tbl>
    <w:p>
      <w:bookmarkStart w:id="0" w:name="_GoBack"/>
      <w:bookmarkEnd w:id="0"/>
    </w:p>
    <w:sectPr>
      <w:footerReference r:id="rId3" w:type="default"/>
      <w:pgSz w:w="11906" w:h="16838"/>
      <w:pgMar w:top="1134" w:right="1134" w:bottom="1134"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6B360"/>
    <w:multiLevelType w:val="singleLevel"/>
    <w:tmpl w:val="E946B3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MWMwOTE4OTBlOGNkNTdlYWU5ZGMyYjRjMTliMmYifQ=="/>
  </w:docVars>
  <w:rsids>
    <w:rsidRoot w:val="00000000"/>
    <w:rsid w:val="04A154E5"/>
    <w:rsid w:val="08350C7E"/>
    <w:rsid w:val="08AE6343"/>
    <w:rsid w:val="0A1D195E"/>
    <w:rsid w:val="0AC260D6"/>
    <w:rsid w:val="0BC7698A"/>
    <w:rsid w:val="0F7554C5"/>
    <w:rsid w:val="15E82AFC"/>
    <w:rsid w:val="1666025D"/>
    <w:rsid w:val="1735378C"/>
    <w:rsid w:val="18085974"/>
    <w:rsid w:val="192361AD"/>
    <w:rsid w:val="22205764"/>
    <w:rsid w:val="22671BD6"/>
    <w:rsid w:val="25143F11"/>
    <w:rsid w:val="27EB1CAE"/>
    <w:rsid w:val="2D4542D1"/>
    <w:rsid w:val="303125B3"/>
    <w:rsid w:val="330F08DF"/>
    <w:rsid w:val="372B2789"/>
    <w:rsid w:val="3B0278A9"/>
    <w:rsid w:val="496F62BB"/>
    <w:rsid w:val="57B974E6"/>
    <w:rsid w:val="5B730211"/>
    <w:rsid w:val="61EC26F3"/>
    <w:rsid w:val="6C2E60C0"/>
    <w:rsid w:val="6F043566"/>
    <w:rsid w:val="710B00FA"/>
    <w:rsid w:val="734C3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8772</Words>
  <Characters>9701</Characters>
  <Lines>0</Lines>
  <Paragraphs>0</Paragraphs>
  <TotalTime>2</TotalTime>
  <ScaleCrop>false</ScaleCrop>
  <LinksUpToDate>false</LinksUpToDate>
  <CharactersWithSpaces>9754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2024-05-30T09:25:00Z</dcterms:created>
  <dc:creator>Administrator</dc:creator>
  <cp:lastModifiedBy>哆啦A梦</cp:lastModifiedBy>
  <dcterms:modified xsi:type="dcterms:W3CDTF">2024-06-04T02:41:56Z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198AF31AC26D4259943121EF3F70BFB3_13</vt:lpwstr>
  </property>
</Properties>
</file>