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Times New Roman" w:hAnsi="Times New Roman" w:eastAsia="宋体" w:cs="Times New Roman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巴林左旗市场监督管理局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  <w:t>202</w:t>
      </w:r>
      <w:r>
        <w:rPr>
          <w:rFonts w:hint="eastAsia" w:ascii="宋体" w:hAnsi="宋体" w:cs="宋体"/>
          <w:b/>
          <w:bCs/>
          <w:sz w:val="28"/>
          <w:szCs w:val="28"/>
          <w:vertAlign w:val="baseli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  <w:t>年产品质量抽检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项目分项报价表</w:t>
      </w:r>
    </w:p>
    <w:tbl>
      <w:tblPr>
        <w:tblW w:w="1407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1243"/>
        <w:gridCol w:w="1976"/>
        <w:gridCol w:w="1674"/>
        <w:gridCol w:w="4757"/>
        <w:gridCol w:w="1267"/>
        <w:gridCol w:w="1267"/>
        <w:gridCol w:w="12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产品大类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执行标准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检验项目（按照实际样品执行标准检测）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抽检批次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单价（元）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车用汽油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车用汽油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GB 17930-2016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研究法辛烷值(RON)、胶质含量、硫含量、铜片腐蚀、苯合量、芳烃含量、烯烃含量、氧合量、甲醇含量、密度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车用柴油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车用柴油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GB 19147-2016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硫含量、铜片腐蚀、水含量、总污染物含量、运动黏度、凝点、冷滤点、闪点(闭口)、十六烷指数、密度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煤炭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民用散煤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GB 34169-2017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挥发分、全硫、灰分、磷含量、氯含量、砷含量、汞含量、氟含量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燃气具及相关产品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家用燃气灶具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GB 16410-2020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气密性、热负荷、火焰传递、离焰、熄火、回火、干烟气中CO浓度、温升、熄火保护装置</w:t>
            </w:r>
          </w:p>
        </w:tc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瓶装液化石油气调压器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GB 35844-2018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结构（一般要求、调压器的承压组件、调压器的接头组件）、外观、气密性、关闭压力、出口压力</w:t>
            </w:r>
          </w:p>
        </w:tc>
        <w:tc>
          <w:tcPr>
            <w:tcW w:w="1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燃气用具连接用不锈钢波纹软管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CJ/T 197-2010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外观、结构与尺寸、耐压性、气密性、抗拉性、耐热性、被覆层阻燃性</w:t>
            </w:r>
          </w:p>
        </w:tc>
        <w:tc>
          <w:tcPr>
            <w:tcW w:w="1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家用可燃气体探测器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GB 15322.2-2019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外观要求、报警动作值、方位、报警重复性、高温（运行）试验、低温（运行）试验</w:t>
            </w:r>
          </w:p>
        </w:tc>
        <w:tc>
          <w:tcPr>
            <w:tcW w:w="1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液化石油气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液化石油气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GB 11174-2011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密度（15℃）、组分、残留物、铜片腐蚀（40℃，1h）、总硫含量、游离水、二甲醚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车用压缩天然气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车用压缩天然气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GB 18047-2017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高位发热量、总硫、二氧化碳、氧气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地膜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聚乙烯吹塑农用地面覆盖薄膜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GB 13735-2017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厚度和厚度偏差、宽度极限偏差、直角撕裂负荷、拉伸负荷、断裂标称应变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滴灌带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单翼迷宫式滴灌带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GB/T 19812.1-2017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外观、规格尺寸、不透光性、耐拉拔性能、流量均匀性、碳黑含量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农资化肥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复合肥料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GB/T 15063-2020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总养分、总氮含量、有效磷含量、水溶性磷占有效磷的百分率、钾含量、水分、粒度、氯离子含量</w:t>
            </w:r>
          </w:p>
        </w:tc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掺混肥料(BB肥)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GB/T 21633-2008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总养分(N+P2O5+K2O)质量分数、水分的质量分数、粒度（2.00mm～4.00mm）、氯离子的质量分数、有效磷含量、水溶性磷占有效磷的质量分数</w:t>
            </w:r>
          </w:p>
        </w:tc>
        <w:tc>
          <w:tcPr>
            <w:tcW w:w="1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消防产品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手提式灭火器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GB 4351.1-2005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灭火剂充装重量误差、20℃喷射性能、水压试验、爆破试验、密封性能、干粉灭火剂主要成分含量</w:t>
            </w:r>
          </w:p>
        </w:tc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消防应急灯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GB 17945-2010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充、放电试验、重复转换试验、绝缘电阻试验、接地电阻试验、耐压试验、结构、爬电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距离和电气间隙</w:t>
            </w:r>
          </w:p>
        </w:tc>
        <w:tc>
          <w:tcPr>
            <w:tcW w:w="12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家用和小型餐饮厨房用燃气报警器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GB/T 34004-2017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状态指示、功能检查键、报警音量、绝缘电阻、电气强度、报警浓度、响应时间</w:t>
            </w:r>
          </w:p>
        </w:tc>
        <w:tc>
          <w:tcPr>
            <w:tcW w:w="12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儿童玩具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玩具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GB 6675.1-2014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GB 6675.2-2014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GB 6675.3-2014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GB 6675.4-2014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正常使用（材料、小零件、可触及的金属或玻璃边缘、模塑玩具边缘、可触及的锐利尖端 、突出物、活动部件间的间隙）、可预见的合理滥用（小零件、模塑玩具边缘、可触及的锐利尖端、突出物、活动部件间的间隙）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校服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校服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GB/T 31888-2015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纤维含量、pH值、耐皂洗色牢度、耐摩擦色牢度、耐水色牢度、耐酸汗渍色牢度、耐碱汗渍色牢度、甲醛含量、异味、可分解芳香胺染料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作业本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课业簿册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QB/T 1437-2014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装钉质量、纸张定量、破页、脏迹、白页、印划线、张数、危险锐利尖端、亮度（白度）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瓷砖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陶瓷砖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GB/T 4100-2015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标记和说明、吸水率、破坏强度、断裂模数、放射性核素限量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彩钢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建筑装饰用彩钢板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JG/T 516-2017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屈服强度、抗拉强度、断后伸长率、外观质量、涂层厚度、附着力、铅笔硬度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塑钢窗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门、窗用未增塑聚氯乙烯（PVC-U型材）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GB/T 8814-2017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外观、主型材的壁厚、维卡软化温度、密度、拉伸屈服应力及拉伸断裂应变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2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小家电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液体加热器（电饭煲、电饭锅、电水壶等）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GB 4706.19-2008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GB 4706.1-2005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对触及带电部件的防护、输入功率和电流、发热、工作温度下的泄漏电流和电气强度、泄漏电流和电气强度、稳定性和机械危险、机械强度、电源连接和外部软线、结构</w:t>
            </w:r>
          </w:p>
        </w:tc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储热式电热暖手器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GB 4706.1-2005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GB 4706.99-2009</w:t>
            </w:r>
          </w:p>
        </w:tc>
        <w:tc>
          <w:tcPr>
            <w:tcW w:w="4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对触及带电部件的防护、输入功率和电流、发热、工作温度下的泄漏电流和电气强度、稳定性和机械危险、机械强度、内部布线、电源连接和外部软线、接地措施、螺钉和连接、电气间隙、爬电距离和固体绝缘</w:t>
            </w:r>
          </w:p>
        </w:tc>
        <w:tc>
          <w:tcPr>
            <w:tcW w:w="1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6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Times New Roman" w:hAnsi="Times New Roman" w:eastAsia="宋体" w:cs="Times New Roman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4NGQzYzk3Y2QxMmNjNTVkNWFmMDcxNmQ0ZGIwMjUifQ=="/>
  </w:docVars>
  <w:rsids>
    <w:rsidRoot w:val="00000000"/>
    <w:rsid w:val="01DF295B"/>
    <w:rsid w:val="1B723200"/>
    <w:rsid w:val="1C7B15F1"/>
    <w:rsid w:val="32B032F0"/>
    <w:rsid w:val="44C1791C"/>
    <w:rsid w:val="46DD47FE"/>
    <w:rsid w:val="54F830C3"/>
    <w:rsid w:val="58424E37"/>
    <w:rsid w:val="5CD60F07"/>
    <w:rsid w:val="60CC5601"/>
    <w:rsid w:val="6E0F7BA4"/>
    <w:rsid w:val="6FF805A3"/>
    <w:rsid w:val="72456B07"/>
    <w:rsid w:val="7968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2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71"/>
    <w:basedOn w:val="4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7">
    <w:name w:val="font41"/>
    <w:basedOn w:val="4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81"/>
    <w:basedOn w:val="4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  <w:vertAlign w:val="subscript"/>
    </w:rPr>
  </w:style>
  <w:style w:type="character" w:customStyle="1" w:styleId="9">
    <w:name w:val="font31"/>
    <w:basedOn w:val="4"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">
    <w:name w:val="font91"/>
    <w:basedOn w:val="4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  <w:vertAlign w:val="superscript"/>
    </w:rPr>
  </w:style>
  <w:style w:type="character" w:customStyle="1" w:styleId="11">
    <w:name w:val="font101"/>
    <w:basedOn w:val="4"/>
    <w:autoRedefine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2">
    <w:name w:val="font111"/>
    <w:basedOn w:val="4"/>
    <w:autoRedefine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3">
    <w:name w:val="font01"/>
    <w:basedOn w:val="4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51"/>
    <w:basedOn w:val="4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195</Words>
  <Characters>210</Characters>
  <Lines>0</Lines>
  <Paragraphs>0</Paragraphs>
  <TotalTime>7</TotalTime>
  <ScaleCrop>false</ScaleCrop>
  <LinksUpToDate>false</LinksUpToDate>
  <CharactersWithSpaces>210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2021-11-16T03:57:00Z</dcterms:created>
  <dc:creator>Administrator</dc:creator>
  <cp:lastModifiedBy>YAOYUAN</cp:lastModifiedBy>
  <dcterms:modified xsi:type="dcterms:W3CDTF">2024-01-24T01:44:59Z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1A7838A7DC954E3E9A850383E5EE5541</vt:lpwstr>
  </property>
</Properties>
</file>