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lang w:val="en-US" w:eastAsia="zh-CN"/>
        </w:rPr>
      </w:pPr>
      <w:r>
        <w:rPr>
          <w:rFonts w:hint="eastAsia"/>
          <w:lang w:val="en-US" w:eastAsia="zh-CN"/>
        </w:rPr>
        <w:t>附件：</w:t>
      </w:r>
    </w:p>
    <w:tbl>
      <w:tblPr>
        <w:tblStyle w:val="6"/>
        <w:tblW w:w="9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806"/>
        <w:gridCol w:w="1701"/>
        <w:gridCol w:w="5153"/>
        <w:gridCol w:w="670"/>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jc w:val="center"/>
        </w:trPr>
        <w:tc>
          <w:tcPr>
            <w:tcW w:w="321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i w:val="0"/>
                <w:iCs w:val="0"/>
                <w:color w:val="000000"/>
                <w:sz w:val="28"/>
                <w:szCs w:val="28"/>
                <w:u w:val="none"/>
              </w:rPr>
            </w:pPr>
            <w:bookmarkStart w:id="5" w:name="_GoBack"/>
            <w:r>
              <w:rPr>
                <w:rFonts w:hint="eastAsia" w:ascii="黑体" w:hAnsi="宋体" w:eastAsia="黑体" w:cs="黑体"/>
                <w:i w:val="0"/>
                <w:iCs w:val="0"/>
                <w:color w:val="000000"/>
                <w:kern w:val="0"/>
                <w:sz w:val="28"/>
                <w:szCs w:val="28"/>
                <w:u w:val="none"/>
                <w:lang w:val="en-US" w:eastAsia="zh-CN" w:bidi="ar"/>
              </w:rPr>
              <w:t>项目名称</w:t>
            </w:r>
          </w:p>
        </w:tc>
        <w:tc>
          <w:tcPr>
            <w:tcW w:w="654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克旗</w:t>
            </w:r>
            <w:r>
              <w:rPr>
                <w:rStyle w:val="8"/>
                <w:rFonts w:eastAsia="仿宋"/>
                <w:lang w:val="en-US" w:eastAsia="zh-CN" w:bidi="ar"/>
              </w:rPr>
              <w:t>2024</w:t>
            </w:r>
            <w:r>
              <w:rPr>
                <w:rStyle w:val="9"/>
                <w:lang w:val="en-US" w:eastAsia="zh-CN" w:bidi="ar"/>
              </w:rPr>
              <w:t>年规模以上非农取用水户在线监测计量设施建设项目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3217"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项目建设地点</w:t>
            </w:r>
          </w:p>
        </w:tc>
        <w:tc>
          <w:tcPr>
            <w:tcW w:w="6542"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内蒙古自治区赤峰市克什克腾旗境内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9759"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第一部分</w:t>
            </w:r>
            <w:r>
              <w:rPr>
                <w:rStyle w:val="10"/>
                <w:rFonts w:eastAsia="黑体"/>
                <w:lang w:val="en-US" w:eastAsia="zh-CN" w:bidi="ar"/>
              </w:rPr>
              <w:t xml:space="preserve"> </w:t>
            </w:r>
            <w:r>
              <w:rPr>
                <w:rStyle w:val="11"/>
                <w:lang w:val="en-US" w:eastAsia="zh-CN" w:bidi="ar"/>
              </w:rPr>
              <w:t>项目主要建设内容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1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06"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6854"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规格、主要参数及说明</w:t>
            </w:r>
          </w:p>
        </w:tc>
        <w:tc>
          <w:tcPr>
            <w:tcW w:w="6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2" w:hRule="atLeast"/>
          <w:jc w:val="center"/>
        </w:trPr>
        <w:tc>
          <w:tcPr>
            <w:tcW w:w="710"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0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双声道超声波</w:t>
            </w:r>
            <w:r>
              <w:rPr>
                <w:rFonts w:hint="eastAsia" w:ascii="仿宋" w:hAnsi="仿宋" w:cs="仿宋"/>
                <w:i w:val="0"/>
                <w:iCs w:val="0"/>
                <w:color w:val="000000"/>
                <w:kern w:val="0"/>
                <w:sz w:val="21"/>
                <w:szCs w:val="21"/>
                <w:u w:val="none"/>
                <w:lang w:val="en-US" w:eastAsia="zh-CN" w:bidi="ar"/>
              </w:rPr>
              <w:t>水表</w:t>
            </w:r>
          </w:p>
        </w:tc>
        <w:tc>
          <w:tcPr>
            <w:tcW w:w="6854" w:type="dxa"/>
            <w:gridSpan w:val="2"/>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12"/>
                <w:sz w:val="21"/>
                <w:szCs w:val="21"/>
                <w:lang w:val="en-US" w:eastAsia="zh-CN" w:bidi="ar"/>
              </w:rPr>
              <w:t>产品功能：测量精度：</w:t>
            </w:r>
            <w:r>
              <w:rPr>
                <w:rStyle w:val="13"/>
                <w:rFonts w:eastAsia="宋体"/>
                <w:sz w:val="21"/>
                <w:szCs w:val="21"/>
                <w:lang w:val="en-US" w:eastAsia="zh-CN" w:bidi="ar"/>
              </w:rPr>
              <w:t>2</w:t>
            </w:r>
            <w:r>
              <w:rPr>
                <w:rStyle w:val="12"/>
                <w:sz w:val="21"/>
                <w:szCs w:val="21"/>
                <w:lang w:val="en-US" w:eastAsia="zh-CN" w:bidi="ar"/>
              </w:rPr>
              <w:t xml:space="preserve">级 </w:t>
            </w:r>
            <w:r>
              <w:rPr>
                <w:rStyle w:val="13"/>
                <w:rFonts w:eastAsia="宋体"/>
                <w:sz w:val="21"/>
                <w:szCs w:val="21"/>
                <w:lang w:val="en-US" w:eastAsia="zh-CN" w:bidi="ar"/>
              </w:rPr>
              <w:t>(</w:t>
            </w:r>
            <w:r>
              <w:rPr>
                <w:rStyle w:val="12"/>
                <w:sz w:val="21"/>
                <w:szCs w:val="21"/>
                <w:lang w:val="en-US" w:eastAsia="zh-CN" w:bidi="ar"/>
              </w:rPr>
              <w:t>提供计量器具型式批准证书</w:t>
            </w:r>
            <w:r>
              <w:rPr>
                <w:rStyle w:val="13"/>
                <w:rFonts w:eastAsia="宋体"/>
                <w:sz w:val="21"/>
                <w:szCs w:val="21"/>
                <w:lang w:val="en-US" w:eastAsia="zh-CN" w:bidi="ar"/>
              </w:rPr>
              <w:t>)</w:t>
            </w:r>
            <w:r>
              <w:rPr>
                <w:rStyle w:val="12"/>
                <w:sz w:val="21"/>
                <w:szCs w:val="21"/>
                <w:lang w:val="en-US" w:eastAsia="zh-CN" w:bidi="ar"/>
              </w:rPr>
              <w:t>；</w:t>
            </w:r>
            <w:r>
              <w:rPr>
                <w:rStyle w:val="13"/>
                <w:rFonts w:eastAsia="宋体"/>
                <w:sz w:val="21"/>
                <w:szCs w:val="21"/>
                <w:lang w:val="en-US" w:eastAsia="zh-CN" w:bidi="ar"/>
              </w:rPr>
              <w:t>2</w:t>
            </w:r>
            <w:r>
              <w:rPr>
                <w:rStyle w:val="12"/>
                <w:sz w:val="21"/>
                <w:szCs w:val="21"/>
                <w:lang w:val="en-US" w:eastAsia="zh-CN" w:bidi="ar"/>
              </w:rPr>
              <w:t>直径：</w:t>
            </w:r>
            <w:r>
              <w:rPr>
                <w:rStyle w:val="13"/>
                <w:rFonts w:eastAsia="宋体"/>
                <w:sz w:val="21"/>
                <w:szCs w:val="21"/>
                <w:lang w:val="en-US" w:eastAsia="zh-CN" w:bidi="ar"/>
              </w:rPr>
              <w:t>DN50-180</w:t>
            </w:r>
            <w:r>
              <w:rPr>
                <w:rStyle w:val="12"/>
                <w:sz w:val="21"/>
                <w:szCs w:val="21"/>
                <w:lang w:val="en-US" w:eastAsia="zh-CN" w:bidi="ar"/>
              </w:rPr>
              <w:t>；</w:t>
            </w:r>
            <w:r>
              <w:rPr>
                <w:rStyle w:val="13"/>
                <w:rFonts w:eastAsia="宋体"/>
                <w:sz w:val="21"/>
                <w:szCs w:val="21"/>
                <w:lang w:val="en-US" w:eastAsia="zh-CN" w:bidi="ar"/>
              </w:rPr>
              <w:t>3.</w:t>
            </w:r>
            <w:r>
              <w:rPr>
                <w:rStyle w:val="12"/>
                <w:sz w:val="21"/>
                <w:szCs w:val="21"/>
                <w:lang w:val="en-US" w:eastAsia="zh-CN" w:bidi="ar"/>
              </w:rPr>
              <w:t>技术要求：采用全数字化电路：具有数字分析、纠错能力和抗干扰能力。</w:t>
            </w:r>
            <w:r>
              <w:rPr>
                <w:rStyle w:val="13"/>
                <w:rFonts w:eastAsia="宋体"/>
                <w:sz w:val="21"/>
                <w:szCs w:val="21"/>
                <w:lang w:val="en-US" w:eastAsia="zh-CN" w:bidi="ar"/>
              </w:rPr>
              <w:t>4.</w:t>
            </w:r>
            <w:r>
              <w:rPr>
                <w:rStyle w:val="12"/>
                <w:sz w:val="21"/>
                <w:szCs w:val="21"/>
                <w:lang w:val="en-US" w:eastAsia="zh-CN" w:bidi="ar"/>
              </w:rPr>
              <w:t>流速范围：</w:t>
            </w:r>
            <w:r>
              <w:rPr>
                <w:rStyle w:val="13"/>
                <w:rFonts w:eastAsia="宋体"/>
                <w:sz w:val="21"/>
                <w:szCs w:val="21"/>
                <w:lang w:val="en-US" w:eastAsia="zh-CN" w:bidi="ar"/>
              </w:rPr>
              <w:t>±0.02m/s</w:t>
            </w:r>
            <w:r>
              <w:rPr>
                <w:rStyle w:val="12"/>
                <w:sz w:val="21"/>
                <w:szCs w:val="21"/>
                <w:lang w:val="en-US" w:eastAsia="zh-CN" w:bidi="ar"/>
              </w:rPr>
              <w:t>～</w:t>
            </w:r>
            <w:r>
              <w:rPr>
                <w:rStyle w:val="13"/>
                <w:rFonts w:eastAsia="宋体"/>
                <w:sz w:val="21"/>
                <w:szCs w:val="21"/>
                <w:lang w:val="en-US" w:eastAsia="zh-CN" w:bidi="ar"/>
              </w:rPr>
              <w:t>±8.0m/s</w:t>
            </w:r>
            <w:r>
              <w:rPr>
                <w:rStyle w:val="12"/>
                <w:sz w:val="21"/>
                <w:szCs w:val="21"/>
                <w:lang w:val="en-US" w:eastAsia="zh-CN" w:bidi="ar"/>
              </w:rPr>
              <w:t>；</w:t>
            </w:r>
            <w:r>
              <w:rPr>
                <w:rStyle w:val="13"/>
                <w:rFonts w:eastAsia="宋体"/>
                <w:sz w:val="21"/>
                <w:szCs w:val="21"/>
                <w:lang w:val="en-US" w:eastAsia="zh-CN" w:bidi="ar"/>
              </w:rPr>
              <w:t>5.</w:t>
            </w:r>
            <w:r>
              <w:rPr>
                <w:rStyle w:val="12"/>
                <w:sz w:val="21"/>
                <w:szCs w:val="21"/>
                <w:lang w:val="en-US" w:eastAsia="zh-CN" w:bidi="ar"/>
              </w:rPr>
              <w:t>管段最高承受压力：管内部分压力不低于</w:t>
            </w:r>
            <w:r>
              <w:rPr>
                <w:rStyle w:val="13"/>
                <w:rFonts w:eastAsia="宋体"/>
                <w:sz w:val="21"/>
                <w:szCs w:val="21"/>
                <w:lang w:val="en-US" w:eastAsia="zh-CN" w:bidi="ar"/>
              </w:rPr>
              <w:t>1.0MPa</w:t>
            </w:r>
            <w:r>
              <w:rPr>
                <w:rStyle w:val="12"/>
                <w:sz w:val="21"/>
                <w:szCs w:val="21"/>
                <w:lang w:val="en-US" w:eastAsia="zh-CN" w:bidi="ar"/>
              </w:rPr>
              <w:t>，传感器浸水深度不超过</w:t>
            </w:r>
            <w:r>
              <w:rPr>
                <w:rStyle w:val="13"/>
                <w:rFonts w:eastAsia="宋体"/>
                <w:sz w:val="21"/>
                <w:szCs w:val="21"/>
                <w:lang w:val="en-US" w:eastAsia="zh-CN" w:bidi="ar"/>
              </w:rPr>
              <w:t>1m</w:t>
            </w:r>
            <w:r>
              <w:rPr>
                <w:rStyle w:val="12"/>
                <w:sz w:val="21"/>
                <w:szCs w:val="21"/>
                <w:lang w:val="en-US" w:eastAsia="zh-CN" w:bidi="ar"/>
              </w:rPr>
              <w:t>；</w:t>
            </w:r>
            <w:r>
              <w:rPr>
                <w:rStyle w:val="13"/>
                <w:rFonts w:eastAsia="宋体"/>
                <w:sz w:val="21"/>
                <w:szCs w:val="21"/>
                <w:lang w:val="en-US" w:eastAsia="zh-CN" w:bidi="ar"/>
              </w:rPr>
              <w:t>6.</w:t>
            </w:r>
            <w:r>
              <w:rPr>
                <w:rStyle w:val="12"/>
                <w:sz w:val="21"/>
                <w:szCs w:val="21"/>
                <w:lang w:val="en-US" w:eastAsia="zh-CN" w:bidi="ar"/>
              </w:rPr>
              <w:t>工作电源：锂电池供电（电池供电可连续工作</w:t>
            </w:r>
            <w:r>
              <w:rPr>
                <w:rStyle w:val="13"/>
                <w:rFonts w:eastAsia="宋体"/>
                <w:sz w:val="21"/>
                <w:szCs w:val="21"/>
                <w:lang w:val="en-US" w:eastAsia="zh-CN" w:bidi="ar"/>
              </w:rPr>
              <w:t>6</w:t>
            </w:r>
            <w:r>
              <w:rPr>
                <w:rStyle w:val="12"/>
                <w:sz w:val="21"/>
                <w:szCs w:val="21"/>
                <w:lang w:val="en-US" w:eastAsia="zh-CN" w:bidi="ar"/>
              </w:rPr>
              <w:t>年以上），可现场更换电池，不影响防水性；</w:t>
            </w:r>
            <w:r>
              <w:rPr>
                <w:rStyle w:val="13"/>
                <w:rFonts w:eastAsia="宋体"/>
                <w:sz w:val="21"/>
                <w:szCs w:val="21"/>
                <w:lang w:val="en-US" w:eastAsia="zh-CN" w:bidi="ar"/>
              </w:rPr>
              <w:t>7.</w:t>
            </w:r>
            <w:r>
              <w:rPr>
                <w:rStyle w:val="12"/>
                <w:sz w:val="21"/>
                <w:szCs w:val="21"/>
                <w:lang w:val="en-US" w:eastAsia="zh-CN" w:bidi="ar"/>
              </w:rPr>
              <w:t>工作环境：温度：</w:t>
            </w:r>
            <w:r>
              <w:rPr>
                <w:rStyle w:val="13"/>
                <w:rFonts w:eastAsia="宋体"/>
                <w:sz w:val="21"/>
                <w:szCs w:val="21"/>
                <w:lang w:val="en-US" w:eastAsia="zh-CN" w:bidi="ar"/>
              </w:rPr>
              <w:t>-30℃</w:t>
            </w:r>
            <w:r>
              <w:rPr>
                <w:rStyle w:val="12"/>
                <w:sz w:val="21"/>
                <w:szCs w:val="21"/>
                <w:lang w:val="en-US" w:eastAsia="zh-CN" w:bidi="ar"/>
              </w:rPr>
              <w:t>～</w:t>
            </w:r>
            <w:r>
              <w:rPr>
                <w:rStyle w:val="13"/>
                <w:rFonts w:eastAsia="宋体"/>
                <w:sz w:val="21"/>
                <w:szCs w:val="21"/>
                <w:lang w:val="en-US" w:eastAsia="zh-CN" w:bidi="ar"/>
              </w:rPr>
              <w:t>+55℃</w:t>
            </w:r>
            <w:r>
              <w:rPr>
                <w:rStyle w:val="12"/>
                <w:sz w:val="21"/>
                <w:szCs w:val="21"/>
                <w:lang w:val="en-US" w:eastAsia="zh-CN" w:bidi="ar"/>
              </w:rPr>
              <w:t>；湿度</w:t>
            </w:r>
            <w:r>
              <w:rPr>
                <w:rStyle w:val="13"/>
                <w:rFonts w:eastAsia="宋体"/>
                <w:sz w:val="21"/>
                <w:szCs w:val="21"/>
                <w:lang w:val="en-US" w:eastAsia="zh-CN" w:bidi="ar"/>
              </w:rPr>
              <w:t>≤85%</w:t>
            </w:r>
            <w:r>
              <w:rPr>
                <w:rStyle w:val="12"/>
                <w:sz w:val="21"/>
                <w:szCs w:val="21"/>
                <w:lang w:val="en-US" w:eastAsia="zh-CN" w:bidi="ar"/>
              </w:rPr>
              <w:t>（</w:t>
            </w:r>
            <w:r>
              <w:rPr>
                <w:rStyle w:val="13"/>
                <w:rFonts w:eastAsia="宋体"/>
                <w:sz w:val="21"/>
                <w:szCs w:val="21"/>
                <w:lang w:val="en-US" w:eastAsia="zh-CN" w:bidi="ar"/>
              </w:rPr>
              <w:t>RH</w:t>
            </w:r>
            <w:r>
              <w:rPr>
                <w:rStyle w:val="12"/>
                <w:sz w:val="21"/>
                <w:szCs w:val="21"/>
                <w:lang w:val="en-US" w:eastAsia="zh-CN" w:bidi="ar"/>
              </w:rPr>
              <w:t>）；</w:t>
            </w:r>
            <w:r>
              <w:rPr>
                <w:rStyle w:val="13"/>
                <w:rFonts w:eastAsia="宋体"/>
                <w:sz w:val="21"/>
                <w:szCs w:val="21"/>
                <w:lang w:val="en-US" w:eastAsia="zh-CN" w:bidi="ar"/>
              </w:rPr>
              <w:t>8.</w:t>
            </w:r>
            <w:r>
              <w:rPr>
                <w:rStyle w:val="12"/>
                <w:sz w:val="21"/>
                <w:szCs w:val="21"/>
                <w:lang w:val="en-US" w:eastAsia="zh-CN" w:bidi="ar"/>
              </w:rPr>
              <w:t>数据通讯：有线传输，使用</w:t>
            </w:r>
            <w:r>
              <w:rPr>
                <w:rStyle w:val="13"/>
                <w:rFonts w:eastAsia="宋体"/>
                <w:sz w:val="21"/>
                <w:szCs w:val="21"/>
                <w:lang w:val="en-US" w:eastAsia="zh-CN" w:bidi="ar"/>
              </w:rPr>
              <w:t>RS-485</w:t>
            </w:r>
            <w:r>
              <w:rPr>
                <w:rStyle w:val="12"/>
                <w:sz w:val="21"/>
                <w:szCs w:val="21"/>
                <w:lang w:val="en-US" w:eastAsia="zh-CN" w:bidi="ar"/>
              </w:rPr>
              <w:t>通讯（波特率</w:t>
            </w:r>
            <w:r>
              <w:rPr>
                <w:rStyle w:val="13"/>
                <w:rFonts w:eastAsia="宋体"/>
                <w:sz w:val="21"/>
                <w:szCs w:val="21"/>
                <w:lang w:val="en-US" w:eastAsia="zh-CN" w:bidi="ar"/>
              </w:rPr>
              <w:t>2400bps</w:t>
            </w:r>
            <w:r>
              <w:rPr>
                <w:rStyle w:val="12"/>
                <w:sz w:val="21"/>
                <w:szCs w:val="21"/>
                <w:lang w:val="en-US" w:eastAsia="zh-CN" w:bidi="ar"/>
              </w:rPr>
              <w:t>、</w:t>
            </w:r>
            <w:r>
              <w:rPr>
                <w:rStyle w:val="13"/>
                <w:rFonts w:eastAsia="宋体"/>
                <w:sz w:val="21"/>
                <w:szCs w:val="21"/>
                <w:lang w:val="en-US" w:eastAsia="zh-CN" w:bidi="ar"/>
              </w:rPr>
              <w:t>4800bps</w:t>
            </w:r>
            <w:r>
              <w:rPr>
                <w:rStyle w:val="12"/>
                <w:sz w:val="21"/>
                <w:szCs w:val="21"/>
                <w:lang w:val="en-US" w:eastAsia="zh-CN" w:bidi="ar"/>
              </w:rPr>
              <w:t>、</w:t>
            </w:r>
            <w:r>
              <w:rPr>
                <w:rStyle w:val="13"/>
                <w:rFonts w:eastAsia="宋体"/>
                <w:sz w:val="21"/>
                <w:szCs w:val="21"/>
                <w:lang w:val="en-US" w:eastAsia="zh-CN" w:bidi="ar"/>
              </w:rPr>
              <w:t>9600bps</w:t>
            </w:r>
            <w:r>
              <w:rPr>
                <w:rStyle w:val="12"/>
                <w:sz w:val="21"/>
                <w:szCs w:val="21"/>
                <w:lang w:val="en-US" w:eastAsia="zh-CN" w:bidi="ar"/>
              </w:rPr>
              <w:t>可选，</w:t>
            </w:r>
            <w:r>
              <w:rPr>
                <w:rStyle w:val="13"/>
                <w:rFonts w:eastAsia="宋体"/>
                <w:sz w:val="21"/>
                <w:szCs w:val="21"/>
                <w:lang w:val="en-US" w:eastAsia="zh-CN" w:bidi="ar"/>
              </w:rPr>
              <w:t>MODBUS</w:t>
            </w:r>
            <w:r>
              <w:rPr>
                <w:rStyle w:val="12"/>
                <w:sz w:val="21"/>
                <w:szCs w:val="21"/>
                <w:lang w:val="en-US" w:eastAsia="zh-CN" w:bidi="ar"/>
              </w:rPr>
              <w:t>协议、</w:t>
            </w:r>
            <w:r>
              <w:rPr>
                <w:rStyle w:val="13"/>
                <w:rFonts w:eastAsia="宋体"/>
                <w:sz w:val="21"/>
                <w:szCs w:val="21"/>
                <w:lang w:val="en-US" w:eastAsia="zh-CN" w:bidi="ar"/>
              </w:rPr>
              <w:t>M-BUS</w:t>
            </w:r>
            <w:r>
              <w:rPr>
                <w:rStyle w:val="12"/>
                <w:sz w:val="21"/>
                <w:szCs w:val="21"/>
                <w:lang w:val="en-US" w:eastAsia="zh-CN" w:bidi="ar"/>
              </w:rPr>
              <w:t>协议等可选）；</w:t>
            </w:r>
            <w:r>
              <w:rPr>
                <w:rStyle w:val="13"/>
                <w:rFonts w:eastAsia="宋体"/>
                <w:sz w:val="21"/>
                <w:szCs w:val="21"/>
                <w:lang w:val="en-US" w:eastAsia="zh-CN" w:bidi="ar"/>
              </w:rPr>
              <w:t>9.</w:t>
            </w:r>
            <w:r>
              <w:rPr>
                <w:rStyle w:val="12"/>
                <w:sz w:val="21"/>
                <w:szCs w:val="21"/>
                <w:lang w:val="en-US" w:eastAsia="zh-CN" w:bidi="ar"/>
              </w:rPr>
              <w:t>数据存储：存储累积流量、累积有效运行时间，失电后数据可保存</w:t>
            </w:r>
            <w:r>
              <w:rPr>
                <w:rStyle w:val="13"/>
                <w:rFonts w:eastAsia="宋体"/>
                <w:sz w:val="21"/>
                <w:szCs w:val="21"/>
                <w:lang w:val="en-US" w:eastAsia="zh-CN" w:bidi="ar"/>
              </w:rPr>
              <w:t>5</w:t>
            </w:r>
            <w:r>
              <w:rPr>
                <w:rStyle w:val="12"/>
                <w:sz w:val="21"/>
                <w:szCs w:val="21"/>
                <w:lang w:val="en-US" w:eastAsia="zh-CN" w:bidi="ar"/>
              </w:rPr>
              <w:t>年，存储容量</w:t>
            </w:r>
            <w:r>
              <w:rPr>
                <w:rStyle w:val="13"/>
                <w:rFonts w:eastAsia="宋体"/>
                <w:sz w:val="21"/>
                <w:szCs w:val="21"/>
                <w:lang w:val="en-US" w:eastAsia="zh-CN" w:bidi="ar"/>
              </w:rPr>
              <w:t>10000</w:t>
            </w:r>
            <w:r>
              <w:rPr>
                <w:rStyle w:val="12"/>
                <w:sz w:val="21"/>
                <w:szCs w:val="21"/>
                <w:lang w:val="en-US" w:eastAsia="zh-CN" w:bidi="ar"/>
              </w:rPr>
              <w:t>条记录，设备存储数据时长超一年；</w:t>
            </w:r>
            <w:r>
              <w:rPr>
                <w:rStyle w:val="13"/>
                <w:rFonts w:eastAsia="宋体"/>
                <w:sz w:val="21"/>
                <w:szCs w:val="21"/>
                <w:lang w:val="en-US" w:eastAsia="zh-CN" w:bidi="ar"/>
              </w:rPr>
              <w:t>10.</w:t>
            </w:r>
            <w:r>
              <w:rPr>
                <w:rStyle w:val="12"/>
                <w:sz w:val="21"/>
                <w:szCs w:val="21"/>
                <w:lang w:val="en-US" w:eastAsia="zh-CN" w:bidi="ar"/>
              </w:rPr>
              <w:t>显示内容：瞬时流量（</w:t>
            </w:r>
            <w:r>
              <w:rPr>
                <w:rStyle w:val="13"/>
                <w:rFonts w:eastAsia="宋体"/>
                <w:sz w:val="21"/>
                <w:szCs w:val="21"/>
                <w:lang w:val="en-US" w:eastAsia="zh-CN" w:bidi="ar"/>
              </w:rPr>
              <w:t>m</w:t>
            </w:r>
            <w:r>
              <w:rPr>
                <w:rStyle w:val="14"/>
                <w:rFonts w:eastAsia="宋体"/>
                <w:sz w:val="21"/>
                <w:szCs w:val="21"/>
                <w:lang w:val="en-US" w:eastAsia="zh-CN" w:bidi="ar"/>
              </w:rPr>
              <w:t>3</w:t>
            </w:r>
            <w:r>
              <w:rPr>
                <w:rStyle w:val="13"/>
                <w:rFonts w:eastAsia="宋体"/>
                <w:sz w:val="21"/>
                <w:szCs w:val="21"/>
                <w:lang w:val="en-US" w:eastAsia="zh-CN" w:bidi="ar"/>
              </w:rPr>
              <w:t>/h</w:t>
            </w:r>
            <w:r>
              <w:rPr>
                <w:rStyle w:val="12"/>
                <w:sz w:val="21"/>
                <w:szCs w:val="21"/>
                <w:lang w:val="en-US" w:eastAsia="zh-CN" w:bidi="ar"/>
              </w:rPr>
              <w:t>）累积流量（</w:t>
            </w:r>
            <w:r>
              <w:rPr>
                <w:rStyle w:val="13"/>
                <w:rFonts w:eastAsia="宋体"/>
                <w:sz w:val="21"/>
                <w:szCs w:val="21"/>
                <w:lang w:val="en-US" w:eastAsia="zh-CN" w:bidi="ar"/>
              </w:rPr>
              <w:t>m</w:t>
            </w:r>
            <w:r>
              <w:rPr>
                <w:rStyle w:val="14"/>
                <w:rFonts w:eastAsia="宋体"/>
                <w:sz w:val="21"/>
                <w:szCs w:val="21"/>
                <w:lang w:val="en-US" w:eastAsia="zh-CN" w:bidi="ar"/>
              </w:rPr>
              <w:t>3</w:t>
            </w:r>
            <w:r>
              <w:rPr>
                <w:rStyle w:val="12"/>
                <w:sz w:val="21"/>
                <w:szCs w:val="21"/>
                <w:lang w:val="en-US" w:eastAsia="zh-CN" w:bidi="ar"/>
              </w:rPr>
              <w:t>）累积有效运行时间（</w:t>
            </w:r>
            <w:r>
              <w:rPr>
                <w:rStyle w:val="13"/>
                <w:rFonts w:eastAsia="宋体"/>
                <w:sz w:val="21"/>
                <w:szCs w:val="21"/>
                <w:lang w:val="en-US" w:eastAsia="zh-CN" w:bidi="ar"/>
              </w:rPr>
              <w:t>h</w:t>
            </w:r>
            <w:r>
              <w:rPr>
                <w:rStyle w:val="12"/>
                <w:sz w:val="21"/>
                <w:szCs w:val="21"/>
                <w:lang w:val="en-US" w:eastAsia="zh-CN" w:bidi="ar"/>
              </w:rPr>
              <w:t>）日期：（年</w:t>
            </w:r>
            <w:r>
              <w:rPr>
                <w:rStyle w:val="13"/>
                <w:rFonts w:eastAsia="宋体"/>
                <w:sz w:val="21"/>
                <w:szCs w:val="21"/>
                <w:lang w:val="en-US" w:eastAsia="zh-CN" w:bidi="ar"/>
              </w:rPr>
              <w:t>/</w:t>
            </w:r>
            <w:r>
              <w:rPr>
                <w:rStyle w:val="12"/>
                <w:sz w:val="21"/>
                <w:szCs w:val="21"/>
                <w:lang w:val="en-US" w:eastAsia="zh-CN" w:bidi="ar"/>
              </w:rPr>
              <w:t>月</w:t>
            </w:r>
            <w:r>
              <w:rPr>
                <w:rStyle w:val="13"/>
                <w:rFonts w:eastAsia="宋体"/>
                <w:sz w:val="21"/>
                <w:szCs w:val="21"/>
                <w:lang w:val="en-US" w:eastAsia="zh-CN" w:bidi="ar"/>
              </w:rPr>
              <w:t>/</w:t>
            </w:r>
            <w:r>
              <w:rPr>
                <w:rStyle w:val="12"/>
                <w:sz w:val="21"/>
                <w:szCs w:val="21"/>
                <w:lang w:val="en-US" w:eastAsia="zh-CN" w:bidi="ar"/>
              </w:rPr>
              <w:t>日）时钟：（时</w:t>
            </w:r>
            <w:r>
              <w:rPr>
                <w:rStyle w:val="13"/>
                <w:rFonts w:eastAsia="宋体"/>
                <w:sz w:val="21"/>
                <w:szCs w:val="21"/>
                <w:lang w:val="en-US" w:eastAsia="zh-CN" w:bidi="ar"/>
              </w:rPr>
              <w:t>/</w:t>
            </w:r>
            <w:r>
              <w:rPr>
                <w:rStyle w:val="12"/>
                <w:sz w:val="21"/>
                <w:szCs w:val="21"/>
                <w:lang w:val="en-US" w:eastAsia="zh-CN" w:bidi="ar"/>
              </w:rPr>
              <w:t>分</w:t>
            </w:r>
            <w:r>
              <w:rPr>
                <w:rStyle w:val="13"/>
                <w:rFonts w:eastAsia="宋体"/>
                <w:sz w:val="21"/>
                <w:szCs w:val="21"/>
                <w:lang w:val="en-US" w:eastAsia="zh-CN" w:bidi="ar"/>
              </w:rPr>
              <w:t>/</w:t>
            </w:r>
            <w:r>
              <w:rPr>
                <w:rStyle w:val="12"/>
                <w:sz w:val="21"/>
                <w:szCs w:val="21"/>
                <w:lang w:val="en-US" w:eastAsia="zh-CN" w:bidi="ar"/>
              </w:rPr>
              <w:t>秒）；</w:t>
            </w:r>
            <w:r>
              <w:rPr>
                <w:rStyle w:val="13"/>
                <w:rFonts w:eastAsia="宋体"/>
                <w:sz w:val="21"/>
                <w:szCs w:val="21"/>
                <w:lang w:val="en-US" w:eastAsia="zh-CN" w:bidi="ar"/>
              </w:rPr>
              <w:t>11.</w:t>
            </w:r>
            <w:r>
              <w:rPr>
                <w:rStyle w:val="12"/>
                <w:sz w:val="21"/>
                <w:szCs w:val="21"/>
                <w:lang w:val="en-US" w:eastAsia="zh-CN" w:bidi="ar"/>
              </w:rPr>
              <w:t>显示范围：累积流量</w:t>
            </w:r>
            <w:r>
              <w:rPr>
                <w:rStyle w:val="13"/>
                <w:rFonts w:eastAsia="宋体"/>
                <w:sz w:val="21"/>
                <w:szCs w:val="21"/>
                <w:lang w:val="en-US" w:eastAsia="zh-CN" w:bidi="ar"/>
              </w:rPr>
              <w:t>-9999999.9m</w:t>
            </w:r>
            <w:r>
              <w:rPr>
                <w:rStyle w:val="14"/>
                <w:rFonts w:eastAsia="宋体"/>
                <w:sz w:val="21"/>
                <w:szCs w:val="21"/>
                <w:lang w:val="en-US" w:eastAsia="zh-CN" w:bidi="ar"/>
              </w:rPr>
              <w:t>3</w:t>
            </w:r>
            <w:r>
              <w:rPr>
                <w:rStyle w:val="12"/>
                <w:sz w:val="21"/>
                <w:szCs w:val="21"/>
                <w:lang w:val="en-US" w:eastAsia="zh-CN" w:bidi="ar"/>
              </w:rPr>
              <w:t>～</w:t>
            </w:r>
            <w:r>
              <w:rPr>
                <w:rStyle w:val="13"/>
                <w:rFonts w:eastAsia="宋体"/>
                <w:sz w:val="21"/>
                <w:szCs w:val="21"/>
                <w:lang w:val="en-US" w:eastAsia="zh-CN" w:bidi="ar"/>
              </w:rPr>
              <w:t>+9999999.9m</w:t>
            </w:r>
            <w:r>
              <w:rPr>
                <w:rStyle w:val="14"/>
                <w:rFonts w:eastAsia="宋体"/>
                <w:sz w:val="21"/>
                <w:szCs w:val="21"/>
                <w:lang w:val="en-US" w:eastAsia="zh-CN" w:bidi="ar"/>
              </w:rPr>
              <w:t>3</w:t>
            </w:r>
            <w:r>
              <w:rPr>
                <w:rStyle w:val="12"/>
                <w:sz w:val="21"/>
                <w:szCs w:val="21"/>
                <w:lang w:val="en-US" w:eastAsia="zh-CN" w:bidi="ar"/>
              </w:rPr>
              <w:t>；瞬时流量</w:t>
            </w:r>
            <w:r>
              <w:rPr>
                <w:rStyle w:val="13"/>
                <w:rFonts w:eastAsia="宋体"/>
                <w:sz w:val="21"/>
                <w:szCs w:val="21"/>
                <w:lang w:val="en-US" w:eastAsia="zh-CN" w:bidi="ar"/>
              </w:rPr>
              <w:t>-999999.99m</w:t>
            </w:r>
            <w:r>
              <w:rPr>
                <w:rStyle w:val="14"/>
                <w:rFonts w:eastAsia="宋体"/>
                <w:sz w:val="21"/>
                <w:szCs w:val="21"/>
                <w:lang w:val="en-US" w:eastAsia="zh-CN" w:bidi="ar"/>
              </w:rPr>
              <w:t>3</w:t>
            </w:r>
            <w:r>
              <w:rPr>
                <w:rStyle w:val="13"/>
                <w:rFonts w:eastAsia="宋体"/>
                <w:sz w:val="21"/>
                <w:szCs w:val="21"/>
                <w:lang w:val="en-US" w:eastAsia="zh-CN" w:bidi="ar"/>
              </w:rPr>
              <w:t>/h</w:t>
            </w:r>
            <w:r>
              <w:rPr>
                <w:rStyle w:val="12"/>
                <w:sz w:val="21"/>
                <w:szCs w:val="21"/>
                <w:lang w:val="en-US" w:eastAsia="zh-CN" w:bidi="ar"/>
              </w:rPr>
              <w:t>～</w:t>
            </w:r>
            <w:r>
              <w:rPr>
                <w:rStyle w:val="13"/>
                <w:rFonts w:eastAsia="宋体"/>
                <w:sz w:val="21"/>
                <w:szCs w:val="21"/>
                <w:lang w:val="en-US" w:eastAsia="zh-CN" w:bidi="ar"/>
              </w:rPr>
              <w:t>+999999.99m</w:t>
            </w:r>
            <w:r>
              <w:rPr>
                <w:rStyle w:val="14"/>
                <w:rFonts w:eastAsia="宋体"/>
                <w:sz w:val="21"/>
                <w:szCs w:val="21"/>
                <w:lang w:val="en-US" w:eastAsia="zh-CN" w:bidi="ar"/>
              </w:rPr>
              <w:t>3</w:t>
            </w:r>
            <w:r>
              <w:rPr>
                <w:rStyle w:val="13"/>
                <w:rFonts w:eastAsia="宋体"/>
                <w:sz w:val="21"/>
                <w:szCs w:val="21"/>
                <w:lang w:val="en-US" w:eastAsia="zh-CN" w:bidi="ar"/>
              </w:rPr>
              <w:t>/h</w:t>
            </w:r>
            <w:r>
              <w:rPr>
                <w:rStyle w:val="12"/>
                <w:sz w:val="21"/>
                <w:szCs w:val="21"/>
                <w:lang w:val="en-US" w:eastAsia="zh-CN" w:bidi="ar"/>
              </w:rPr>
              <w:t>；</w:t>
            </w:r>
            <w:r>
              <w:rPr>
                <w:rStyle w:val="13"/>
                <w:rFonts w:eastAsia="宋体"/>
                <w:sz w:val="21"/>
                <w:szCs w:val="21"/>
                <w:lang w:val="en-US" w:eastAsia="zh-CN" w:bidi="ar"/>
              </w:rPr>
              <w:t>12.</w:t>
            </w:r>
            <w:r>
              <w:rPr>
                <w:rStyle w:val="12"/>
                <w:sz w:val="21"/>
                <w:szCs w:val="21"/>
                <w:lang w:val="en-US" w:eastAsia="zh-CN" w:bidi="ar"/>
              </w:rPr>
              <w:t>防护等级：</w:t>
            </w:r>
            <w:r>
              <w:rPr>
                <w:rStyle w:val="13"/>
                <w:rFonts w:eastAsia="宋体"/>
                <w:sz w:val="21"/>
                <w:szCs w:val="21"/>
                <w:lang w:val="en-US" w:eastAsia="zh-CN" w:bidi="ar"/>
              </w:rPr>
              <w:t>IP68</w:t>
            </w:r>
            <w:r>
              <w:rPr>
                <w:rStyle w:val="12"/>
                <w:sz w:val="21"/>
                <w:szCs w:val="21"/>
                <w:lang w:val="en-US" w:eastAsia="zh-CN" w:bidi="ar"/>
              </w:rPr>
              <w:t>；</w:t>
            </w:r>
            <w:r>
              <w:rPr>
                <w:rStyle w:val="13"/>
                <w:rFonts w:eastAsia="宋体"/>
                <w:sz w:val="21"/>
                <w:szCs w:val="21"/>
                <w:lang w:val="en-US" w:eastAsia="zh-CN" w:bidi="ar"/>
              </w:rPr>
              <w:t>13.</w:t>
            </w:r>
            <w:r>
              <w:rPr>
                <w:rStyle w:val="12"/>
                <w:sz w:val="21"/>
                <w:szCs w:val="21"/>
                <w:lang w:val="en-US" w:eastAsia="zh-CN" w:bidi="ar"/>
              </w:rPr>
              <w:t>连接方式：法兰连接，尺寸符合国标；</w:t>
            </w:r>
            <w:r>
              <w:rPr>
                <w:rStyle w:val="13"/>
                <w:rFonts w:eastAsia="宋体"/>
                <w:sz w:val="21"/>
                <w:szCs w:val="21"/>
                <w:lang w:val="en-US" w:eastAsia="zh-CN" w:bidi="ar"/>
              </w:rPr>
              <w:t>14.</w:t>
            </w:r>
            <w:r>
              <w:rPr>
                <w:rStyle w:val="12"/>
                <w:sz w:val="21"/>
                <w:szCs w:val="21"/>
                <w:lang w:val="en-US" w:eastAsia="zh-CN" w:bidi="ar"/>
              </w:rPr>
              <w:t>断电保护：断电</w:t>
            </w:r>
            <w:r>
              <w:rPr>
                <w:rStyle w:val="13"/>
                <w:rFonts w:eastAsia="宋体"/>
                <w:sz w:val="21"/>
                <w:szCs w:val="21"/>
                <w:lang w:val="en-US" w:eastAsia="zh-CN" w:bidi="ar"/>
              </w:rPr>
              <w:t>5</w:t>
            </w:r>
            <w:r>
              <w:rPr>
                <w:rStyle w:val="12"/>
                <w:sz w:val="21"/>
                <w:szCs w:val="21"/>
                <w:lang w:val="en-US" w:eastAsia="zh-CN" w:bidi="ar"/>
              </w:rPr>
              <w:t>年数据不丢失；</w:t>
            </w:r>
            <w:r>
              <w:rPr>
                <w:rStyle w:val="13"/>
                <w:rFonts w:eastAsia="宋体"/>
                <w:sz w:val="21"/>
                <w:szCs w:val="21"/>
                <w:lang w:val="en-US" w:eastAsia="zh-CN" w:bidi="ar"/>
              </w:rPr>
              <w:t>15.</w:t>
            </w:r>
            <w:r>
              <w:rPr>
                <w:rStyle w:val="12"/>
                <w:sz w:val="21"/>
                <w:szCs w:val="21"/>
                <w:lang w:val="en-US" w:eastAsia="zh-CN" w:bidi="ar"/>
              </w:rPr>
              <w:t>管体要求：超声传感器紧贴管段内壁，不允许凸出，不允许缩颈；为直通式管段结构；</w:t>
            </w:r>
            <w:r>
              <w:rPr>
                <w:rStyle w:val="13"/>
                <w:rFonts w:eastAsia="宋体"/>
                <w:sz w:val="21"/>
                <w:szCs w:val="21"/>
                <w:lang w:val="en-US" w:eastAsia="zh-CN" w:bidi="ar"/>
              </w:rPr>
              <w:t>16.</w:t>
            </w:r>
            <w:r>
              <w:rPr>
                <w:rStyle w:val="12"/>
                <w:sz w:val="21"/>
                <w:szCs w:val="21"/>
                <w:lang w:val="en-US" w:eastAsia="zh-CN" w:bidi="ar"/>
              </w:rPr>
              <w:t>工作状态指示：一直循环显示；</w:t>
            </w:r>
            <w:r>
              <w:rPr>
                <w:rStyle w:val="13"/>
                <w:rFonts w:eastAsia="宋体"/>
                <w:sz w:val="21"/>
                <w:szCs w:val="21"/>
                <w:lang w:val="en-US" w:eastAsia="zh-CN" w:bidi="ar"/>
              </w:rPr>
              <w:t>17.</w:t>
            </w:r>
            <w:r>
              <w:rPr>
                <w:rStyle w:val="12"/>
                <w:sz w:val="21"/>
                <w:szCs w:val="21"/>
                <w:lang w:val="en-US" w:eastAsia="zh-CN" w:bidi="ar"/>
              </w:rPr>
              <w:t>液晶显示屏位数：</w:t>
            </w:r>
            <w:r>
              <w:rPr>
                <w:rStyle w:val="13"/>
                <w:rFonts w:eastAsia="宋体"/>
                <w:sz w:val="21"/>
                <w:szCs w:val="21"/>
                <w:lang w:val="en-US" w:eastAsia="zh-CN" w:bidi="ar"/>
              </w:rPr>
              <w:t>8</w:t>
            </w:r>
            <w:r>
              <w:rPr>
                <w:rStyle w:val="12"/>
                <w:sz w:val="21"/>
                <w:szCs w:val="21"/>
                <w:lang w:val="en-US" w:eastAsia="zh-CN" w:bidi="ar"/>
              </w:rPr>
              <w:t>位；</w:t>
            </w:r>
            <w:r>
              <w:rPr>
                <w:rStyle w:val="13"/>
                <w:rFonts w:eastAsia="宋体"/>
                <w:sz w:val="21"/>
                <w:szCs w:val="21"/>
                <w:lang w:val="en-US" w:eastAsia="zh-CN" w:bidi="ar"/>
              </w:rPr>
              <w:t>18.</w:t>
            </w:r>
            <w:r>
              <w:rPr>
                <w:rStyle w:val="12"/>
                <w:sz w:val="21"/>
                <w:szCs w:val="21"/>
                <w:lang w:val="en-US" w:eastAsia="zh-CN" w:bidi="ar"/>
              </w:rPr>
              <w:t>安装方式：水平或垂直；</w:t>
            </w:r>
            <w:r>
              <w:rPr>
                <w:rStyle w:val="13"/>
                <w:rFonts w:eastAsia="宋体"/>
                <w:sz w:val="21"/>
                <w:szCs w:val="21"/>
                <w:lang w:val="en-US" w:eastAsia="zh-CN" w:bidi="ar"/>
              </w:rPr>
              <w:t>19.</w:t>
            </w:r>
            <w:r>
              <w:rPr>
                <w:rStyle w:val="12"/>
                <w:sz w:val="21"/>
                <w:szCs w:val="21"/>
                <w:lang w:val="en-US" w:eastAsia="zh-CN" w:bidi="ar"/>
              </w:rPr>
              <w:t>电磁兼容性等级：</w:t>
            </w:r>
            <w:r>
              <w:rPr>
                <w:rStyle w:val="13"/>
                <w:rFonts w:eastAsia="宋体"/>
                <w:sz w:val="21"/>
                <w:szCs w:val="21"/>
                <w:lang w:val="en-US" w:eastAsia="zh-CN" w:bidi="ar"/>
              </w:rPr>
              <w:t>E2</w:t>
            </w:r>
            <w:r>
              <w:rPr>
                <w:rStyle w:val="12"/>
                <w:sz w:val="21"/>
                <w:szCs w:val="21"/>
                <w:lang w:val="en-US" w:eastAsia="zh-CN" w:bidi="ar"/>
              </w:rPr>
              <w:t>（含）以上。</w:t>
            </w:r>
          </w:p>
        </w:tc>
        <w:tc>
          <w:tcPr>
            <w:tcW w:w="670"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1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6" w:hRule="atLeast"/>
          <w:jc w:val="center"/>
        </w:trPr>
        <w:tc>
          <w:tcPr>
            <w:tcW w:w="71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06"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RTU</w:t>
            </w:r>
            <w:r>
              <w:rPr>
                <w:rStyle w:val="9"/>
                <w:sz w:val="21"/>
                <w:szCs w:val="21"/>
                <w:lang w:val="en-US" w:eastAsia="zh-CN" w:bidi="ar"/>
              </w:rPr>
              <w:t>数据采集终端机</w:t>
            </w:r>
          </w:p>
        </w:tc>
        <w:tc>
          <w:tcPr>
            <w:tcW w:w="6854"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412" w:firstLineChars="200"/>
              <w:jc w:val="left"/>
              <w:textAlignment w:val="center"/>
              <w:rPr>
                <w:rFonts w:hint="default" w:ascii="Times New Roman" w:hAnsi="Times New Roman" w:eastAsia="宋体"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一、遥测终端</w:t>
            </w:r>
            <w:r>
              <w:rPr>
                <w:rStyle w:val="13"/>
                <w:rFonts w:eastAsia="仿宋"/>
                <w:sz w:val="21"/>
                <w:szCs w:val="21"/>
                <w:lang w:val="en-US" w:eastAsia="zh-CN" w:bidi="ar"/>
              </w:rPr>
              <w:t>RTU</w:t>
            </w:r>
            <w:r>
              <w:rPr>
                <w:rStyle w:val="12"/>
                <w:sz w:val="21"/>
                <w:szCs w:val="21"/>
                <w:lang w:val="en-US" w:eastAsia="zh-CN" w:bidi="ar"/>
              </w:rPr>
              <w:t>取得</w:t>
            </w:r>
            <w:r>
              <w:rPr>
                <w:rStyle w:val="12"/>
                <w:rFonts w:hint="default"/>
                <w:sz w:val="21"/>
                <w:szCs w:val="21"/>
                <w:lang w:val="en-US" w:eastAsia="zh-CN" w:bidi="ar"/>
              </w:rPr>
              <w:t>《水资源监测数据传输规约（SL/T 427-2021）》《水资源监控设备基本技术条件（SL426-2008）》《水资源监测数据传输规约（SZY206-2016）》《水文监测数据通信规约（SL651-2014）》《水资源监控设备技术条件（SZY 203-2016）》《特殊区域水文、水资源数据安全采集系统RTU追加测试大纲》</w:t>
            </w:r>
            <w:r>
              <w:rPr>
                <w:rStyle w:val="12"/>
                <w:rFonts w:hint="eastAsia"/>
                <w:sz w:val="21"/>
                <w:szCs w:val="21"/>
                <w:lang w:val="en-US" w:eastAsia="zh-CN" w:bidi="ar"/>
              </w:rPr>
              <w:t>证书</w:t>
            </w:r>
            <w:r>
              <w:rPr>
                <w:rStyle w:val="12"/>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ind w:firstLine="412" w:firstLineChars="200"/>
              <w:jc w:val="left"/>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二、</w:t>
            </w:r>
            <w:r>
              <w:rPr>
                <w:rFonts w:hint="eastAsia" w:ascii="仿宋" w:hAnsi="仿宋" w:eastAsia="仿宋" w:cs="仿宋"/>
                <w:i w:val="0"/>
                <w:iCs w:val="0"/>
                <w:color w:val="000000"/>
                <w:kern w:val="0"/>
                <w:sz w:val="21"/>
                <w:szCs w:val="21"/>
                <w:u w:val="none"/>
                <w:lang w:val="en-US" w:eastAsia="zh-CN" w:bidi="ar"/>
              </w:rPr>
              <w:t>技术参数</w:t>
            </w:r>
            <w:r>
              <w:rPr>
                <w:rFonts w:hint="eastAsia" w:ascii="仿宋" w:hAnsi="仿宋" w:cs="仿宋"/>
                <w:i w:val="0"/>
                <w:iCs w:val="0"/>
                <w:color w:val="000000"/>
                <w:kern w:val="0"/>
                <w:sz w:val="21"/>
                <w:szCs w:val="21"/>
                <w:u w:val="none"/>
                <w:lang w:val="en-US" w:eastAsia="zh-CN" w:bidi="ar"/>
              </w:rPr>
              <w:t>达到以下标准</w:t>
            </w:r>
            <w:r>
              <w:rPr>
                <w:rFonts w:hint="eastAsia" w:ascii="仿宋" w:hAnsi="仿宋" w:eastAsia="仿宋" w:cs="仿宋"/>
                <w:i w:val="0"/>
                <w:iCs w:val="0"/>
                <w:color w:val="000000"/>
                <w:kern w:val="0"/>
                <w:sz w:val="21"/>
                <w:szCs w:val="21"/>
                <w:u w:val="none"/>
                <w:lang w:val="en-US" w:eastAsia="zh-CN" w:bidi="ar"/>
              </w:rPr>
              <w:t>：</w:t>
            </w:r>
          </w:p>
          <w:p>
            <w:pPr>
              <w:keepNext w:val="0"/>
              <w:keepLines w:val="0"/>
              <w:pageBreakBefore w:val="0"/>
              <w:widowControl w:val="0"/>
              <w:suppressLineNumbers w:val="0"/>
              <w:kinsoku w:val="0"/>
              <w:wordWrap/>
              <w:overflowPunct w:val="0"/>
              <w:topLinePunct w:val="0"/>
              <w:autoSpaceDE w:val="0"/>
              <w:autoSpaceDN w:val="0"/>
              <w:bidi w:val="0"/>
              <w:adjustRightInd/>
              <w:snapToGrid w:val="0"/>
              <w:ind w:firstLine="412" w:firstLineChars="2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数据采集、控制、存储、传输一体化设计，可采集各种标准的变送器、传感器、串口仪表。采集接口类型和数量多，且可灵活配置</w:t>
            </w:r>
            <w:r>
              <w:rPr>
                <w:rFonts w:hint="eastAsia" w:ascii="仿宋" w:hAnsi="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可选配水资源监测数据传输规约、水文监测数据通信规约等</w:t>
            </w:r>
            <w:r>
              <w:rPr>
                <w:rFonts w:hint="eastAsia" w:ascii="仿宋" w:hAnsi="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支持各家组态软件和用户自行开发软件系统</w:t>
            </w:r>
            <w:r>
              <w:rPr>
                <w:rFonts w:hint="eastAsia" w:ascii="仿宋" w:hAnsi="仿宋" w:cs="仿宋"/>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u w:val="none"/>
                <w:lang w:val="en-US" w:eastAsia="zh-CN" w:bidi="ar"/>
              </w:rPr>
              <w:t>通信功能：可通过</w:t>
            </w:r>
            <w:r>
              <w:rPr>
                <w:rStyle w:val="13"/>
                <w:rFonts w:eastAsia="仿宋"/>
                <w:sz w:val="21"/>
                <w:szCs w:val="21"/>
                <w:lang w:val="en-US" w:eastAsia="zh-CN" w:bidi="ar"/>
              </w:rPr>
              <w:t>4GLTE/GPRS/CDMA/NB-IoT</w:t>
            </w:r>
            <w:r>
              <w:rPr>
                <w:rStyle w:val="12"/>
                <w:sz w:val="21"/>
                <w:szCs w:val="21"/>
                <w:lang w:val="en-US" w:eastAsia="zh-CN" w:bidi="ar"/>
              </w:rPr>
              <w:t>、短消息、卫星等无线通信方式实现设备联网；</w:t>
            </w:r>
            <w:r>
              <w:rPr>
                <w:rStyle w:val="12"/>
                <w:rFonts w:hint="eastAsia"/>
                <w:sz w:val="21"/>
                <w:szCs w:val="21"/>
                <w:lang w:val="en-US" w:eastAsia="zh-CN" w:bidi="ar"/>
              </w:rPr>
              <w:t>4.</w:t>
            </w:r>
            <w:r>
              <w:rPr>
                <w:rStyle w:val="12"/>
                <w:sz w:val="21"/>
                <w:szCs w:val="21"/>
                <w:lang w:val="en-US" w:eastAsia="zh-CN" w:bidi="ar"/>
              </w:rPr>
              <w:t>支持与</w:t>
            </w:r>
            <w:r>
              <w:rPr>
                <w:rStyle w:val="13"/>
                <w:rFonts w:eastAsia="仿宋"/>
                <w:sz w:val="21"/>
                <w:szCs w:val="21"/>
                <w:lang w:val="en-US" w:eastAsia="zh-CN" w:bidi="ar"/>
              </w:rPr>
              <w:t>1-4</w:t>
            </w:r>
            <w:r>
              <w:rPr>
                <w:rStyle w:val="12"/>
                <w:sz w:val="21"/>
                <w:szCs w:val="21"/>
                <w:lang w:val="en-US" w:eastAsia="zh-CN" w:bidi="ar"/>
              </w:rPr>
              <w:t>个监控中心进行数据通信；支持实时在线、定时唤醒两种工作模式。</w:t>
            </w:r>
            <w:r>
              <w:rPr>
                <w:rFonts w:hint="eastAsia" w:ascii="仿宋" w:hAnsi="仿宋" w:eastAsia="仿宋" w:cs="仿宋"/>
                <w:i w:val="0"/>
                <w:iCs w:val="0"/>
                <w:color w:val="000000"/>
                <w:kern w:val="0"/>
                <w:sz w:val="21"/>
                <w:szCs w:val="21"/>
                <w:u w:val="none"/>
                <w:lang w:val="en-US" w:eastAsia="zh-CN" w:bidi="ar"/>
              </w:rPr>
              <w:t>采集功能：采集流量计的流量数据，采集水泵或阀门运行状态、设备供电状态和箱门开关状态</w:t>
            </w:r>
            <w:r>
              <w:rPr>
                <w:rFonts w:hint="eastAsia" w:ascii="仿宋" w:hAnsi="仿宋" w:cs="仿宋"/>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CN" w:bidi="ar"/>
              </w:rPr>
              <w:t>图片抓拍功能：可外接工业照相机，进行图片抓拍</w:t>
            </w:r>
            <w:r>
              <w:rPr>
                <w:rFonts w:hint="eastAsia" w:ascii="仿宋" w:hAnsi="仿宋" w:cs="仿宋"/>
                <w:i w:val="0"/>
                <w:iCs w:val="0"/>
                <w:color w:val="000000"/>
                <w:kern w:val="0"/>
                <w:sz w:val="21"/>
                <w:szCs w:val="21"/>
                <w:u w:val="none"/>
                <w:lang w:val="en-US" w:eastAsia="zh-CN" w:bidi="ar"/>
              </w:rPr>
              <w:t>；6.</w:t>
            </w:r>
            <w:r>
              <w:rPr>
                <w:rFonts w:hint="eastAsia" w:ascii="仿宋" w:hAnsi="仿宋" w:eastAsia="仿宋" w:cs="仿宋"/>
                <w:i w:val="0"/>
                <w:iCs w:val="0"/>
                <w:color w:val="000000"/>
                <w:kern w:val="0"/>
                <w:sz w:val="21"/>
                <w:szCs w:val="21"/>
                <w:u w:val="none"/>
                <w:lang w:val="en-US" w:eastAsia="zh-CN" w:bidi="ar"/>
              </w:rPr>
              <w:t>控制功能：支持自动控制、远程控制水泵、阀门等控制设备</w:t>
            </w:r>
            <w:r>
              <w:rPr>
                <w:rFonts w:hint="eastAsia" w:ascii="仿宋" w:hAnsi="仿宋" w:cs="仿宋"/>
                <w:i w:val="0"/>
                <w:iCs w:val="0"/>
                <w:color w:val="000000"/>
                <w:kern w:val="0"/>
                <w:sz w:val="21"/>
                <w:szCs w:val="21"/>
                <w:u w:val="none"/>
                <w:lang w:val="en-US" w:eastAsia="zh-CN" w:bidi="ar"/>
              </w:rPr>
              <w:t>；7.</w:t>
            </w:r>
            <w:r>
              <w:rPr>
                <w:rFonts w:hint="eastAsia" w:ascii="仿宋" w:hAnsi="仿宋" w:eastAsia="仿宋" w:cs="仿宋"/>
                <w:i w:val="0"/>
                <w:iCs w:val="0"/>
                <w:color w:val="000000"/>
                <w:kern w:val="0"/>
                <w:sz w:val="21"/>
                <w:szCs w:val="21"/>
                <w:u w:val="none"/>
                <w:lang w:val="en-US" w:eastAsia="zh-CN" w:bidi="ar"/>
              </w:rPr>
              <w:t>远程管理功能：支持远程参数设置、程序升级</w:t>
            </w:r>
            <w:r>
              <w:rPr>
                <w:rFonts w:hint="eastAsia" w:ascii="仿宋" w:hAnsi="仿宋" w:cs="仿宋"/>
                <w:i w:val="0"/>
                <w:iCs w:val="0"/>
                <w:color w:val="000000"/>
                <w:kern w:val="0"/>
                <w:sz w:val="21"/>
                <w:szCs w:val="21"/>
                <w:u w:val="none"/>
                <w:lang w:val="en-US" w:eastAsia="zh-CN" w:bidi="ar"/>
              </w:rPr>
              <w:t>；8.</w:t>
            </w:r>
            <w:r>
              <w:rPr>
                <w:rFonts w:hint="eastAsia" w:ascii="仿宋" w:hAnsi="仿宋" w:eastAsia="仿宋" w:cs="仿宋"/>
                <w:i w:val="0"/>
                <w:iCs w:val="0"/>
                <w:color w:val="000000"/>
                <w:kern w:val="0"/>
                <w:sz w:val="21"/>
                <w:szCs w:val="21"/>
                <w:u w:val="none"/>
                <w:lang w:val="en-US" w:eastAsia="zh-CN" w:bidi="ar"/>
              </w:rPr>
              <w:t>报警功能：监测数据越限，立即上报告警信息</w:t>
            </w:r>
            <w:r>
              <w:rPr>
                <w:rFonts w:hint="eastAsia" w:ascii="仿宋" w:hAnsi="仿宋" w:cs="仿宋"/>
                <w:i w:val="0"/>
                <w:iCs w:val="0"/>
                <w:color w:val="000000"/>
                <w:kern w:val="0"/>
                <w:sz w:val="21"/>
                <w:szCs w:val="21"/>
                <w:u w:val="none"/>
                <w:lang w:val="en-US" w:eastAsia="zh-CN" w:bidi="ar"/>
              </w:rPr>
              <w:t>；9.</w:t>
            </w:r>
            <w:r>
              <w:rPr>
                <w:rFonts w:hint="eastAsia" w:ascii="仿宋" w:hAnsi="仿宋" w:eastAsia="仿宋" w:cs="仿宋"/>
                <w:i w:val="0"/>
                <w:iCs w:val="0"/>
                <w:color w:val="000000"/>
                <w:kern w:val="0"/>
                <w:sz w:val="21"/>
                <w:szCs w:val="21"/>
                <w:u w:val="none"/>
                <w:lang w:val="en-US" w:eastAsia="zh-CN" w:bidi="ar"/>
              </w:rPr>
              <w:t>存储功能：本机循环存储监测数据，掉电不丢失</w:t>
            </w:r>
            <w:r>
              <w:rPr>
                <w:rFonts w:hint="eastAsia" w:ascii="仿宋" w:hAnsi="仿宋" w:cs="仿宋"/>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10</w:t>
            </w:r>
            <w:r>
              <w:rPr>
                <w:rStyle w:val="12"/>
                <w:sz w:val="21"/>
                <w:szCs w:val="21"/>
                <w:lang w:val="en-US" w:eastAsia="zh-CN" w:bidi="ar"/>
              </w:rPr>
              <w:t>路</w:t>
            </w:r>
            <w:r>
              <w:rPr>
                <w:rStyle w:val="13"/>
                <w:rFonts w:eastAsia="宋体"/>
                <w:sz w:val="21"/>
                <w:szCs w:val="21"/>
                <w:lang w:val="en-US" w:eastAsia="zh-CN" w:bidi="ar"/>
              </w:rPr>
              <w:t>IN</w:t>
            </w:r>
            <w:r>
              <w:rPr>
                <w:rStyle w:val="12"/>
                <w:sz w:val="21"/>
                <w:szCs w:val="21"/>
                <w:lang w:val="en-US" w:eastAsia="zh-CN" w:bidi="ar"/>
              </w:rPr>
              <w:t>：模拟量（</w:t>
            </w:r>
            <w:r>
              <w:rPr>
                <w:rStyle w:val="13"/>
                <w:rFonts w:eastAsia="宋体"/>
                <w:sz w:val="21"/>
                <w:szCs w:val="21"/>
                <w:lang w:val="en-US" w:eastAsia="zh-CN" w:bidi="ar"/>
              </w:rPr>
              <w:t>AI</w:t>
            </w:r>
            <w:r>
              <w:rPr>
                <w:rStyle w:val="12"/>
                <w:sz w:val="21"/>
                <w:szCs w:val="21"/>
                <w:lang w:val="en-US" w:eastAsia="zh-CN" w:bidi="ar"/>
              </w:rPr>
              <w:t>）</w:t>
            </w:r>
            <w:r>
              <w:rPr>
                <w:rStyle w:val="13"/>
                <w:rFonts w:eastAsia="宋体"/>
                <w:sz w:val="21"/>
                <w:szCs w:val="21"/>
                <w:lang w:val="en-US" w:eastAsia="zh-CN" w:bidi="ar"/>
              </w:rPr>
              <w:t>+</w:t>
            </w:r>
            <w:r>
              <w:rPr>
                <w:rStyle w:val="12"/>
                <w:sz w:val="21"/>
                <w:szCs w:val="21"/>
                <w:lang w:val="en-US" w:eastAsia="zh-CN" w:bidi="ar"/>
              </w:rPr>
              <w:t>开关量</w:t>
            </w:r>
            <w:r>
              <w:rPr>
                <w:rStyle w:val="13"/>
                <w:rFonts w:eastAsia="宋体"/>
                <w:sz w:val="21"/>
                <w:szCs w:val="21"/>
                <w:lang w:val="en-US" w:eastAsia="zh-CN" w:bidi="ar"/>
              </w:rPr>
              <w:t>(DI)=10</w:t>
            </w:r>
            <w:r>
              <w:rPr>
                <w:rStyle w:val="12"/>
                <w:sz w:val="21"/>
                <w:szCs w:val="21"/>
                <w:lang w:val="en-US" w:eastAsia="zh-CN" w:bidi="ar"/>
              </w:rPr>
              <w:t>路，各自的数量可自由组合；</w:t>
            </w:r>
            <w:r>
              <w:rPr>
                <w:rStyle w:val="12"/>
                <w:rFonts w:hint="eastAsia"/>
                <w:sz w:val="21"/>
                <w:szCs w:val="21"/>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5</w:t>
            </w:r>
            <w:r>
              <w:rPr>
                <w:rStyle w:val="12"/>
                <w:sz w:val="21"/>
                <w:szCs w:val="21"/>
                <w:lang w:val="en-US" w:eastAsia="zh-CN" w:bidi="ar"/>
              </w:rPr>
              <w:t>路串口（</w:t>
            </w:r>
            <w:r>
              <w:rPr>
                <w:rStyle w:val="13"/>
                <w:rFonts w:eastAsia="宋体"/>
                <w:sz w:val="21"/>
                <w:szCs w:val="21"/>
                <w:lang w:val="en-US" w:eastAsia="zh-CN" w:bidi="ar"/>
              </w:rPr>
              <w:t>RS232/RS485</w:t>
            </w:r>
            <w:r>
              <w:rPr>
                <w:rStyle w:val="12"/>
                <w:sz w:val="21"/>
                <w:szCs w:val="21"/>
                <w:lang w:val="en-US" w:eastAsia="zh-CN" w:bidi="ar"/>
              </w:rPr>
              <w:t>）：串口（</w:t>
            </w:r>
            <w:r>
              <w:rPr>
                <w:rStyle w:val="13"/>
                <w:rFonts w:eastAsia="宋体"/>
                <w:sz w:val="21"/>
                <w:szCs w:val="21"/>
                <w:lang w:val="en-US" w:eastAsia="zh-CN" w:bidi="ar"/>
              </w:rPr>
              <w:t>RS232</w:t>
            </w:r>
            <w:r>
              <w:rPr>
                <w:rStyle w:val="12"/>
                <w:sz w:val="21"/>
                <w:szCs w:val="21"/>
                <w:lang w:val="en-US" w:eastAsia="zh-CN" w:bidi="ar"/>
              </w:rPr>
              <w:t>）</w:t>
            </w:r>
            <w:r>
              <w:rPr>
                <w:rStyle w:val="13"/>
                <w:rFonts w:eastAsia="宋体"/>
                <w:sz w:val="21"/>
                <w:szCs w:val="21"/>
                <w:lang w:val="en-US" w:eastAsia="zh-CN" w:bidi="ar"/>
              </w:rPr>
              <w:t>+</w:t>
            </w:r>
            <w:r>
              <w:rPr>
                <w:rStyle w:val="12"/>
                <w:sz w:val="21"/>
                <w:szCs w:val="21"/>
                <w:lang w:val="en-US" w:eastAsia="zh-CN" w:bidi="ar"/>
              </w:rPr>
              <w:t>串口（</w:t>
            </w:r>
            <w:r>
              <w:rPr>
                <w:rStyle w:val="13"/>
                <w:rFonts w:eastAsia="宋体"/>
                <w:sz w:val="21"/>
                <w:szCs w:val="21"/>
                <w:lang w:val="en-US" w:eastAsia="zh-CN" w:bidi="ar"/>
              </w:rPr>
              <w:t>RS485</w:t>
            </w:r>
            <w:r>
              <w:rPr>
                <w:rStyle w:val="12"/>
                <w:sz w:val="21"/>
                <w:szCs w:val="21"/>
                <w:lang w:val="en-US" w:eastAsia="zh-CN" w:bidi="ar"/>
              </w:rPr>
              <w:t>）</w:t>
            </w:r>
            <w:r>
              <w:rPr>
                <w:rStyle w:val="13"/>
                <w:rFonts w:eastAsia="宋体"/>
                <w:sz w:val="21"/>
                <w:szCs w:val="21"/>
                <w:lang w:val="en-US" w:eastAsia="zh-CN" w:bidi="ar"/>
              </w:rPr>
              <w:t>=5</w:t>
            </w:r>
            <w:r>
              <w:rPr>
                <w:rStyle w:val="12"/>
                <w:sz w:val="21"/>
                <w:szCs w:val="21"/>
                <w:lang w:val="en-US" w:eastAsia="zh-CN" w:bidi="ar"/>
              </w:rPr>
              <w:t>路，各自的数量可自由组合；</w:t>
            </w:r>
            <w:r>
              <w:rPr>
                <w:rStyle w:val="12"/>
                <w:rFonts w:hint="eastAsia"/>
                <w:sz w:val="21"/>
                <w:szCs w:val="21"/>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2</w:t>
            </w:r>
            <w:r>
              <w:rPr>
                <w:rStyle w:val="12"/>
                <w:sz w:val="21"/>
                <w:szCs w:val="21"/>
                <w:lang w:val="en-US" w:eastAsia="zh-CN" w:bidi="ar"/>
              </w:rPr>
              <w:t>路</w:t>
            </w:r>
            <w:r>
              <w:rPr>
                <w:rStyle w:val="13"/>
                <w:rFonts w:eastAsia="宋体"/>
                <w:sz w:val="21"/>
                <w:szCs w:val="21"/>
                <w:lang w:val="en-US" w:eastAsia="zh-CN" w:bidi="ar"/>
              </w:rPr>
              <w:t>VEXT</w:t>
            </w:r>
            <w:r>
              <w:rPr>
                <w:rStyle w:val="12"/>
                <w:sz w:val="21"/>
                <w:szCs w:val="21"/>
                <w:lang w:val="en-US" w:eastAsia="zh-CN" w:bidi="ar"/>
              </w:rPr>
              <w:t>：为模拟</w:t>
            </w:r>
            <w:r>
              <w:rPr>
                <w:rFonts w:hint="eastAsia" w:ascii="仿宋" w:hAnsi="仿宋" w:eastAsia="仿宋" w:cs="仿宋"/>
                <w:i w:val="0"/>
                <w:iCs w:val="0"/>
                <w:color w:val="000000"/>
                <w:kern w:val="0"/>
                <w:sz w:val="21"/>
                <w:szCs w:val="21"/>
                <w:u w:val="none"/>
                <w:lang w:val="en-US" w:eastAsia="zh-CN" w:bidi="ar"/>
              </w:rPr>
              <w:t>量、开关量以及串口仪表变送器供电13.1路DB9调试串口。</w:t>
            </w:r>
          </w:p>
          <w:p>
            <w:pPr>
              <w:keepNext w:val="0"/>
              <w:keepLines w:val="0"/>
              <w:pageBreakBefore w:val="0"/>
              <w:widowControl w:val="0"/>
              <w:suppressLineNumbers w:val="0"/>
              <w:kinsoku w:val="0"/>
              <w:wordWrap/>
              <w:overflowPunct w:val="0"/>
              <w:topLinePunct w:val="0"/>
              <w:autoSpaceDE w:val="0"/>
              <w:autoSpaceDN w:val="0"/>
              <w:bidi w:val="0"/>
              <w:adjustRightInd/>
              <w:snapToGrid w:val="0"/>
              <w:ind w:firstLine="412" w:firstLineChars="200"/>
              <w:jc w:val="left"/>
              <w:textAlignment w:val="center"/>
              <w:rPr>
                <w:rStyle w:val="12"/>
                <w:rFonts w:hint="eastAsia"/>
                <w:sz w:val="21"/>
                <w:szCs w:val="21"/>
                <w:lang w:val="en-US" w:eastAsia="zh-CN" w:bidi="ar"/>
              </w:rPr>
            </w:pPr>
            <w:r>
              <w:rPr>
                <w:rStyle w:val="12"/>
                <w:rFonts w:hint="eastAsia"/>
                <w:sz w:val="21"/>
                <w:szCs w:val="21"/>
                <w:lang w:val="en-US" w:eastAsia="zh-CN" w:bidi="ar"/>
              </w:rPr>
              <w:t>三、数据上传要求</w:t>
            </w:r>
          </w:p>
          <w:p>
            <w:pPr>
              <w:keepNext w:val="0"/>
              <w:keepLines w:val="0"/>
              <w:pageBreakBefore w:val="0"/>
              <w:widowControl w:val="0"/>
              <w:suppressLineNumbers w:val="0"/>
              <w:kinsoku w:val="0"/>
              <w:wordWrap/>
              <w:overflowPunct w:val="0"/>
              <w:topLinePunct w:val="0"/>
              <w:autoSpaceDE w:val="0"/>
              <w:autoSpaceDN w:val="0"/>
              <w:bidi w:val="0"/>
              <w:adjustRightInd/>
              <w:snapToGrid w:val="0"/>
              <w:ind w:firstLine="412" w:firstLineChars="200"/>
              <w:jc w:val="left"/>
              <w:textAlignment w:val="center"/>
              <w:rPr>
                <w:rFonts w:hint="default"/>
                <w:lang w:val="en-US"/>
              </w:rPr>
            </w:pPr>
            <w:r>
              <w:rPr>
                <w:rStyle w:val="12"/>
                <w:rFonts w:hint="eastAsia"/>
                <w:sz w:val="21"/>
                <w:szCs w:val="21"/>
                <w:lang w:val="en-US" w:eastAsia="zh-CN" w:bidi="ar"/>
              </w:rPr>
              <w:t>数据需同时上传至自治区水资源管理平台、克什克腾旗水资源管理平台。</w:t>
            </w:r>
          </w:p>
        </w:tc>
        <w:tc>
          <w:tcPr>
            <w:tcW w:w="67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19"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jc w:val="center"/>
        </w:trPr>
        <w:tc>
          <w:tcPr>
            <w:tcW w:w="710"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0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防雷系统</w:t>
            </w:r>
          </w:p>
        </w:tc>
        <w:tc>
          <w:tcPr>
            <w:tcW w:w="6854" w:type="dxa"/>
            <w:gridSpan w:val="2"/>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412" w:firstLineChars="20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15"/>
                <w:sz w:val="21"/>
                <w:szCs w:val="21"/>
                <w:lang w:val="en-US" w:eastAsia="zh-CN" w:bidi="ar"/>
              </w:rPr>
              <w:t>防雷设备；</w:t>
            </w:r>
            <w:r>
              <w:rPr>
                <w:rStyle w:val="16"/>
                <w:rFonts w:eastAsia="宋体"/>
                <w:sz w:val="21"/>
                <w:szCs w:val="21"/>
                <w:lang w:val="en-US" w:eastAsia="zh-CN" w:bidi="ar"/>
              </w:rPr>
              <w:t>2.</w:t>
            </w:r>
            <w:r>
              <w:rPr>
                <w:rStyle w:val="15"/>
                <w:sz w:val="21"/>
                <w:szCs w:val="21"/>
                <w:lang w:val="en-US" w:eastAsia="zh-CN" w:bidi="ar"/>
              </w:rPr>
              <w:t>信号电源避雷器：（</w:t>
            </w:r>
            <w:r>
              <w:rPr>
                <w:rStyle w:val="16"/>
                <w:rFonts w:eastAsia="宋体"/>
                <w:sz w:val="21"/>
                <w:szCs w:val="21"/>
                <w:lang w:val="en-US" w:eastAsia="zh-CN" w:bidi="ar"/>
              </w:rPr>
              <w:t>1</w:t>
            </w:r>
            <w:r>
              <w:rPr>
                <w:rStyle w:val="15"/>
                <w:sz w:val="21"/>
                <w:szCs w:val="21"/>
                <w:lang w:val="en-US" w:eastAsia="zh-CN" w:bidi="ar"/>
              </w:rPr>
              <w:t>）标称电压：</w:t>
            </w:r>
            <w:r>
              <w:rPr>
                <w:rStyle w:val="16"/>
                <w:rFonts w:eastAsia="宋体"/>
                <w:sz w:val="21"/>
                <w:szCs w:val="21"/>
                <w:lang w:val="en-US" w:eastAsia="zh-CN" w:bidi="ar"/>
              </w:rPr>
              <w:t>12V</w:t>
            </w:r>
            <w:r>
              <w:rPr>
                <w:rStyle w:val="15"/>
                <w:sz w:val="21"/>
                <w:szCs w:val="21"/>
                <w:lang w:val="en-US" w:eastAsia="zh-CN" w:bidi="ar"/>
              </w:rPr>
              <w:t>；最大持续运行电压</w:t>
            </w:r>
            <w:r>
              <w:rPr>
                <w:rStyle w:val="16"/>
                <w:rFonts w:eastAsia="宋体"/>
                <w:sz w:val="21"/>
                <w:szCs w:val="21"/>
                <w:lang w:val="en-US" w:eastAsia="zh-CN" w:bidi="ar"/>
              </w:rPr>
              <w:t>≥15V</w:t>
            </w:r>
            <w:r>
              <w:rPr>
                <w:rStyle w:val="15"/>
                <w:sz w:val="21"/>
                <w:szCs w:val="21"/>
                <w:lang w:val="en-US" w:eastAsia="zh-CN" w:bidi="ar"/>
              </w:rPr>
              <w:t>；（</w:t>
            </w:r>
            <w:r>
              <w:rPr>
                <w:rStyle w:val="16"/>
                <w:rFonts w:eastAsia="宋体"/>
                <w:sz w:val="21"/>
                <w:szCs w:val="21"/>
                <w:lang w:val="en-US" w:eastAsia="zh-CN" w:bidi="ar"/>
              </w:rPr>
              <w:t>2</w:t>
            </w:r>
            <w:r>
              <w:rPr>
                <w:rStyle w:val="15"/>
                <w:sz w:val="21"/>
                <w:szCs w:val="21"/>
                <w:lang w:val="en-US" w:eastAsia="zh-CN" w:bidi="ar"/>
              </w:rPr>
              <w:t>）标称放电电流：</w:t>
            </w:r>
            <w:r>
              <w:rPr>
                <w:rStyle w:val="16"/>
                <w:rFonts w:eastAsia="宋体"/>
                <w:sz w:val="21"/>
                <w:szCs w:val="21"/>
                <w:lang w:val="en-US" w:eastAsia="zh-CN" w:bidi="ar"/>
              </w:rPr>
              <w:t>≥10KA</w:t>
            </w:r>
            <w:r>
              <w:rPr>
                <w:rStyle w:val="15"/>
                <w:sz w:val="21"/>
                <w:szCs w:val="21"/>
                <w:lang w:val="en-US" w:eastAsia="zh-CN" w:bidi="ar"/>
              </w:rPr>
              <w:t>（</w:t>
            </w:r>
            <w:r>
              <w:rPr>
                <w:rStyle w:val="16"/>
                <w:rFonts w:eastAsia="宋体"/>
                <w:sz w:val="21"/>
                <w:szCs w:val="21"/>
                <w:lang w:val="en-US" w:eastAsia="zh-CN" w:bidi="ar"/>
              </w:rPr>
              <w:t>8/20μs</w:t>
            </w:r>
            <w:r>
              <w:rPr>
                <w:rStyle w:val="15"/>
                <w:sz w:val="21"/>
                <w:szCs w:val="21"/>
                <w:lang w:val="en-US" w:eastAsia="zh-CN" w:bidi="ar"/>
              </w:rPr>
              <w:t>）；（</w:t>
            </w:r>
            <w:r>
              <w:rPr>
                <w:rStyle w:val="16"/>
                <w:rFonts w:eastAsia="宋体"/>
                <w:sz w:val="21"/>
                <w:szCs w:val="21"/>
                <w:lang w:val="en-US" w:eastAsia="zh-CN" w:bidi="ar"/>
              </w:rPr>
              <w:t>3</w:t>
            </w:r>
            <w:r>
              <w:rPr>
                <w:rStyle w:val="15"/>
                <w:sz w:val="21"/>
                <w:szCs w:val="21"/>
                <w:lang w:val="en-US" w:eastAsia="zh-CN" w:bidi="ar"/>
              </w:rPr>
              <w:t>）最大通流容量</w:t>
            </w:r>
            <w:r>
              <w:rPr>
                <w:rStyle w:val="16"/>
                <w:rFonts w:eastAsia="宋体"/>
                <w:sz w:val="21"/>
                <w:szCs w:val="21"/>
                <w:lang w:val="en-US" w:eastAsia="zh-CN" w:bidi="ar"/>
              </w:rPr>
              <w:t>≥20KA</w:t>
            </w:r>
            <w:r>
              <w:rPr>
                <w:rStyle w:val="15"/>
                <w:sz w:val="21"/>
                <w:szCs w:val="21"/>
                <w:lang w:val="en-US" w:eastAsia="zh-CN" w:bidi="ar"/>
              </w:rPr>
              <w:t>（</w:t>
            </w:r>
            <w:r>
              <w:rPr>
                <w:rStyle w:val="16"/>
                <w:rFonts w:eastAsia="宋体"/>
                <w:sz w:val="21"/>
                <w:szCs w:val="21"/>
                <w:lang w:val="en-US" w:eastAsia="zh-CN" w:bidi="ar"/>
              </w:rPr>
              <w:t>8/20μs</w:t>
            </w:r>
            <w:r>
              <w:rPr>
                <w:rStyle w:val="15"/>
                <w:sz w:val="21"/>
                <w:szCs w:val="21"/>
                <w:lang w:val="en-US" w:eastAsia="zh-CN" w:bidi="ar"/>
              </w:rPr>
              <w:t>）；（</w:t>
            </w:r>
            <w:r>
              <w:rPr>
                <w:rStyle w:val="16"/>
                <w:rFonts w:eastAsia="宋体"/>
                <w:sz w:val="21"/>
                <w:szCs w:val="21"/>
                <w:lang w:val="en-US" w:eastAsia="zh-CN" w:bidi="ar"/>
              </w:rPr>
              <w:t>4</w:t>
            </w:r>
            <w:r>
              <w:rPr>
                <w:rStyle w:val="15"/>
                <w:sz w:val="21"/>
                <w:szCs w:val="21"/>
                <w:lang w:val="en-US" w:eastAsia="zh-CN" w:bidi="ar"/>
              </w:rPr>
              <w:t>）响应时间：</w:t>
            </w:r>
            <w:r>
              <w:rPr>
                <w:rStyle w:val="16"/>
                <w:rFonts w:eastAsia="宋体"/>
                <w:sz w:val="21"/>
                <w:szCs w:val="21"/>
                <w:lang w:val="en-US" w:eastAsia="zh-CN" w:bidi="ar"/>
              </w:rPr>
              <w:t>1NS</w:t>
            </w:r>
            <w:r>
              <w:rPr>
                <w:rStyle w:val="15"/>
                <w:sz w:val="21"/>
                <w:szCs w:val="21"/>
                <w:lang w:val="en-US" w:eastAsia="zh-CN" w:bidi="ar"/>
              </w:rPr>
              <w:t>；（</w:t>
            </w:r>
            <w:r>
              <w:rPr>
                <w:rStyle w:val="16"/>
                <w:rFonts w:eastAsia="宋体"/>
                <w:sz w:val="21"/>
                <w:szCs w:val="21"/>
                <w:lang w:val="en-US" w:eastAsia="zh-CN" w:bidi="ar"/>
              </w:rPr>
              <w:t>5</w:t>
            </w:r>
            <w:r>
              <w:rPr>
                <w:rStyle w:val="15"/>
                <w:sz w:val="21"/>
                <w:szCs w:val="21"/>
                <w:lang w:val="en-US" w:eastAsia="zh-CN" w:bidi="ar"/>
              </w:rPr>
              <w:t>）工作环境温度：</w:t>
            </w:r>
            <w:r>
              <w:rPr>
                <w:rStyle w:val="16"/>
                <w:rFonts w:eastAsia="宋体"/>
                <w:sz w:val="21"/>
                <w:szCs w:val="21"/>
                <w:lang w:val="en-US" w:eastAsia="zh-CN" w:bidi="ar"/>
              </w:rPr>
              <w:t>-40℃</w:t>
            </w:r>
            <w:r>
              <w:rPr>
                <w:rStyle w:val="15"/>
                <w:sz w:val="21"/>
                <w:szCs w:val="21"/>
                <w:lang w:val="en-US" w:eastAsia="zh-CN" w:bidi="ar"/>
              </w:rPr>
              <w:t>～</w:t>
            </w:r>
            <w:r>
              <w:rPr>
                <w:rStyle w:val="16"/>
                <w:rFonts w:eastAsia="宋体"/>
                <w:sz w:val="21"/>
                <w:szCs w:val="21"/>
                <w:lang w:val="en-US" w:eastAsia="zh-CN" w:bidi="ar"/>
              </w:rPr>
              <w:t>+70℃</w:t>
            </w:r>
            <w:r>
              <w:rPr>
                <w:rStyle w:val="15"/>
                <w:sz w:val="21"/>
                <w:szCs w:val="21"/>
                <w:lang w:val="en-US" w:eastAsia="zh-CN" w:bidi="ar"/>
              </w:rPr>
              <w:t>；（</w:t>
            </w:r>
            <w:r>
              <w:rPr>
                <w:rStyle w:val="16"/>
                <w:rFonts w:eastAsia="宋体"/>
                <w:sz w:val="21"/>
                <w:szCs w:val="21"/>
                <w:lang w:val="en-US" w:eastAsia="zh-CN" w:bidi="ar"/>
              </w:rPr>
              <w:t>5</w:t>
            </w:r>
            <w:r>
              <w:rPr>
                <w:rStyle w:val="15"/>
                <w:sz w:val="21"/>
                <w:szCs w:val="21"/>
                <w:lang w:val="en-US" w:eastAsia="zh-CN" w:bidi="ar"/>
              </w:rPr>
              <w:t>）相对湿度：</w:t>
            </w:r>
            <w:r>
              <w:rPr>
                <w:rStyle w:val="16"/>
                <w:rFonts w:eastAsia="宋体"/>
                <w:sz w:val="21"/>
                <w:szCs w:val="21"/>
                <w:lang w:val="en-US" w:eastAsia="zh-CN" w:bidi="ar"/>
              </w:rPr>
              <w:t>≤85%</w:t>
            </w:r>
            <w:r>
              <w:rPr>
                <w:rStyle w:val="15"/>
                <w:sz w:val="21"/>
                <w:szCs w:val="21"/>
                <w:lang w:val="en-US" w:eastAsia="zh-CN" w:bidi="ar"/>
              </w:rPr>
              <w:t>；（</w:t>
            </w:r>
            <w:r>
              <w:rPr>
                <w:rStyle w:val="16"/>
                <w:rFonts w:eastAsia="宋体"/>
                <w:sz w:val="21"/>
                <w:szCs w:val="21"/>
                <w:lang w:val="en-US" w:eastAsia="zh-CN" w:bidi="ar"/>
              </w:rPr>
              <w:t>6</w:t>
            </w:r>
            <w:r>
              <w:rPr>
                <w:rStyle w:val="15"/>
                <w:sz w:val="21"/>
                <w:szCs w:val="21"/>
                <w:lang w:val="en-US" w:eastAsia="zh-CN" w:bidi="ar"/>
              </w:rPr>
              <w:t>）电源避雷器；（</w:t>
            </w:r>
            <w:r>
              <w:rPr>
                <w:rStyle w:val="16"/>
                <w:rFonts w:eastAsia="宋体"/>
                <w:sz w:val="21"/>
                <w:szCs w:val="21"/>
                <w:lang w:val="en-US" w:eastAsia="zh-CN" w:bidi="ar"/>
              </w:rPr>
              <w:t>7</w:t>
            </w:r>
            <w:r>
              <w:rPr>
                <w:rStyle w:val="15"/>
                <w:sz w:val="21"/>
                <w:szCs w:val="21"/>
                <w:lang w:val="en-US" w:eastAsia="zh-CN" w:bidi="ar"/>
              </w:rPr>
              <w:t>）额定电压</w:t>
            </w:r>
            <w:r>
              <w:rPr>
                <w:rStyle w:val="16"/>
                <w:rFonts w:eastAsia="宋体"/>
                <w:sz w:val="21"/>
                <w:szCs w:val="21"/>
                <w:lang w:val="en-US" w:eastAsia="zh-CN" w:bidi="ar"/>
              </w:rPr>
              <w:t>:Uc 385V</w:t>
            </w:r>
            <w:r>
              <w:rPr>
                <w:rStyle w:val="15"/>
                <w:sz w:val="21"/>
                <w:szCs w:val="21"/>
                <w:lang w:val="en-US" w:eastAsia="zh-CN" w:bidi="ar"/>
              </w:rPr>
              <w:t>；（</w:t>
            </w:r>
            <w:r>
              <w:rPr>
                <w:rStyle w:val="16"/>
                <w:rFonts w:eastAsia="宋体"/>
                <w:sz w:val="21"/>
                <w:szCs w:val="21"/>
                <w:lang w:val="en-US" w:eastAsia="zh-CN" w:bidi="ar"/>
              </w:rPr>
              <w:t>8</w:t>
            </w:r>
            <w:r>
              <w:rPr>
                <w:rStyle w:val="15"/>
                <w:sz w:val="21"/>
                <w:szCs w:val="21"/>
                <w:lang w:val="en-US" w:eastAsia="zh-CN" w:bidi="ar"/>
              </w:rPr>
              <w:t>）正常放电电流</w:t>
            </w:r>
            <w:r>
              <w:rPr>
                <w:rStyle w:val="16"/>
                <w:rFonts w:eastAsia="宋体"/>
                <w:sz w:val="21"/>
                <w:szCs w:val="21"/>
                <w:lang w:val="en-US" w:eastAsia="zh-CN" w:bidi="ar"/>
              </w:rPr>
              <w:t>:In(8/20) 20KA</w:t>
            </w:r>
            <w:r>
              <w:rPr>
                <w:rStyle w:val="15"/>
                <w:sz w:val="21"/>
                <w:szCs w:val="21"/>
                <w:lang w:val="en-US" w:eastAsia="zh-CN" w:bidi="ar"/>
              </w:rPr>
              <w:t>；（</w:t>
            </w:r>
            <w:r>
              <w:rPr>
                <w:rStyle w:val="16"/>
                <w:rFonts w:eastAsia="宋体"/>
                <w:sz w:val="21"/>
                <w:szCs w:val="21"/>
                <w:lang w:val="en-US" w:eastAsia="zh-CN" w:bidi="ar"/>
              </w:rPr>
              <w:t>9</w:t>
            </w:r>
            <w:r>
              <w:rPr>
                <w:rStyle w:val="15"/>
                <w:sz w:val="21"/>
                <w:szCs w:val="21"/>
                <w:lang w:val="en-US" w:eastAsia="zh-CN" w:bidi="ar"/>
              </w:rPr>
              <w:t>）最大放电电流</w:t>
            </w:r>
            <w:r>
              <w:rPr>
                <w:rStyle w:val="16"/>
                <w:rFonts w:eastAsia="宋体"/>
                <w:sz w:val="21"/>
                <w:szCs w:val="21"/>
                <w:lang w:val="en-US" w:eastAsia="zh-CN" w:bidi="ar"/>
              </w:rPr>
              <w:t>:Imax(8/20)40KA</w:t>
            </w:r>
            <w:r>
              <w:rPr>
                <w:rStyle w:val="15"/>
                <w:sz w:val="21"/>
                <w:szCs w:val="21"/>
                <w:lang w:val="en-US" w:eastAsia="zh-CN" w:bidi="ar"/>
              </w:rPr>
              <w:t>，当模块在</w:t>
            </w:r>
            <w:r>
              <w:rPr>
                <w:rStyle w:val="16"/>
                <w:rFonts w:eastAsia="宋体"/>
                <w:sz w:val="21"/>
                <w:szCs w:val="21"/>
                <w:lang w:val="en-US" w:eastAsia="zh-CN" w:bidi="ar"/>
              </w:rPr>
              <w:t>20KA</w:t>
            </w:r>
            <w:r>
              <w:rPr>
                <w:rStyle w:val="15"/>
                <w:sz w:val="21"/>
                <w:szCs w:val="21"/>
                <w:lang w:val="en-US" w:eastAsia="zh-CN" w:bidi="ar"/>
              </w:rPr>
              <w:t>时的残</w:t>
            </w:r>
            <w:r>
              <w:rPr>
                <w:rStyle w:val="16"/>
                <w:rFonts w:eastAsia="宋体"/>
                <w:sz w:val="21"/>
                <w:szCs w:val="21"/>
                <w:lang w:val="en-US" w:eastAsia="zh-CN" w:bidi="ar"/>
              </w:rPr>
              <w:t>&lt;1.8KV</w:t>
            </w:r>
            <w:r>
              <w:rPr>
                <w:rStyle w:val="15"/>
                <w:sz w:val="21"/>
                <w:szCs w:val="21"/>
                <w:lang w:val="en-US" w:eastAsia="zh-CN" w:bidi="ar"/>
              </w:rPr>
              <w:t>；（</w:t>
            </w:r>
            <w:r>
              <w:rPr>
                <w:rStyle w:val="16"/>
                <w:rFonts w:eastAsia="宋体"/>
                <w:sz w:val="21"/>
                <w:szCs w:val="21"/>
                <w:lang w:val="en-US" w:eastAsia="zh-CN" w:bidi="ar"/>
              </w:rPr>
              <w:t>10</w:t>
            </w:r>
            <w:r>
              <w:rPr>
                <w:rStyle w:val="15"/>
                <w:sz w:val="21"/>
                <w:szCs w:val="21"/>
                <w:lang w:val="en-US" w:eastAsia="zh-CN" w:bidi="ar"/>
              </w:rPr>
              <w:t>）响应时间</w:t>
            </w:r>
            <w:r>
              <w:rPr>
                <w:rStyle w:val="16"/>
                <w:rFonts w:eastAsia="宋体"/>
                <w:sz w:val="21"/>
                <w:szCs w:val="21"/>
                <w:lang w:val="en-US" w:eastAsia="zh-CN" w:bidi="ar"/>
              </w:rPr>
              <w:t>T &lt;25ns</w:t>
            </w:r>
            <w:r>
              <w:rPr>
                <w:rStyle w:val="15"/>
                <w:sz w:val="21"/>
                <w:szCs w:val="21"/>
                <w:lang w:val="en-US" w:eastAsia="zh-CN" w:bidi="ar"/>
              </w:rPr>
              <w:t>；（</w:t>
            </w:r>
            <w:r>
              <w:rPr>
                <w:rStyle w:val="16"/>
                <w:rFonts w:eastAsia="宋体"/>
                <w:sz w:val="21"/>
                <w:szCs w:val="21"/>
                <w:lang w:val="en-US" w:eastAsia="zh-CN" w:bidi="ar"/>
              </w:rPr>
              <w:t>11</w:t>
            </w:r>
            <w:r>
              <w:rPr>
                <w:rStyle w:val="15"/>
                <w:sz w:val="21"/>
                <w:szCs w:val="21"/>
                <w:lang w:val="en-US" w:eastAsia="zh-CN" w:bidi="ar"/>
              </w:rPr>
              <w:t>）材料</w:t>
            </w:r>
            <w:r>
              <w:rPr>
                <w:rStyle w:val="16"/>
                <w:rFonts w:eastAsia="宋体"/>
                <w:sz w:val="21"/>
                <w:szCs w:val="21"/>
                <w:lang w:val="en-US" w:eastAsia="zh-CN" w:bidi="ar"/>
              </w:rPr>
              <w:t>:</w:t>
            </w:r>
            <w:r>
              <w:rPr>
                <w:rStyle w:val="15"/>
                <w:sz w:val="21"/>
                <w:szCs w:val="21"/>
                <w:lang w:val="en-US" w:eastAsia="zh-CN" w:bidi="ar"/>
              </w:rPr>
              <w:t>阻燃热塑材料；（</w:t>
            </w:r>
            <w:r>
              <w:rPr>
                <w:rStyle w:val="16"/>
                <w:rFonts w:eastAsia="宋体"/>
                <w:sz w:val="21"/>
                <w:szCs w:val="21"/>
                <w:lang w:val="en-US" w:eastAsia="zh-CN" w:bidi="ar"/>
              </w:rPr>
              <w:t>12</w:t>
            </w:r>
            <w:r>
              <w:rPr>
                <w:rStyle w:val="15"/>
                <w:sz w:val="21"/>
                <w:szCs w:val="21"/>
                <w:lang w:val="en-US" w:eastAsia="zh-CN" w:bidi="ar"/>
              </w:rPr>
              <w:t>）安装</w:t>
            </w:r>
            <w:r>
              <w:rPr>
                <w:rStyle w:val="16"/>
                <w:rFonts w:eastAsia="宋体"/>
                <w:sz w:val="21"/>
                <w:szCs w:val="21"/>
                <w:lang w:val="en-US" w:eastAsia="zh-CN" w:bidi="ar"/>
              </w:rPr>
              <w:t>:35mm</w:t>
            </w:r>
            <w:r>
              <w:rPr>
                <w:rStyle w:val="15"/>
                <w:sz w:val="21"/>
                <w:szCs w:val="21"/>
                <w:lang w:val="en-US" w:eastAsia="zh-CN" w:bidi="ar"/>
              </w:rPr>
              <w:t>的标准导轨（</w:t>
            </w:r>
            <w:r>
              <w:rPr>
                <w:rStyle w:val="16"/>
                <w:rFonts w:eastAsia="宋体"/>
                <w:sz w:val="21"/>
                <w:szCs w:val="21"/>
                <w:lang w:val="en-US" w:eastAsia="zh-CN" w:bidi="ar"/>
              </w:rPr>
              <w:t>13</w:t>
            </w:r>
            <w:r>
              <w:rPr>
                <w:rStyle w:val="15"/>
                <w:sz w:val="21"/>
                <w:szCs w:val="21"/>
                <w:lang w:val="en-US" w:eastAsia="zh-CN" w:bidi="ar"/>
              </w:rPr>
              <w:t>）工作温度范围</w:t>
            </w:r>
            <w:r>
              <w:rPr>
                <w:rStyle w:val="16"/>
                <w:rFonts w:eastAsia="宋体"/>
                <w:sz w:val="21"/>
                <w:szCs w:val="21"/>
                <w:lang w:val="en-US" w:eastAsia="zh-CN" w:bidi="ar"/>
              </w:rPr>
              <w:t>:-40℃-+80℃</w:t>
            </w:r>
            <w:r>
              <w:rPr>
                <w:rStyle w:val="15"/>
                <w:sz w:val="21"/>
                <w:szCs w:val="21"/>
                <w:lang w:val="en-US" w:eastAsia="zh-CN" w:bidi="ar"/>
              </w:rPr>
              <w:t>（</w:t>
            </w:r>
            <w:r>
              <w:rPr>
                <w:rStyle w:val="16"/>
                <w:rFonts w:eastAsia="宋体"/>
                <w:sz w:val="21"/>
                <w:szCs w:val="21"/>
                <w:lang w:val="en-US" w:eastAsia="zh-CN" w:bidi="ar"/>
              </w:rPr>
              <w:t>14</w:t>
            </w:r>
            <w:r>
              <w:rPr>
                <w:rStyle w:val="15"/>
                <w:sz w:val="21"/>
                <w:szCs w:val="21"/>
                <w:lang w:val="en-US" w:eastAsia="zh-CN" w:bidi="ar"/>
              </w:rPr>
              <w:t>）接地</w:t>
            </w:r>
            <w:r>
              <w:rPr>
                <w:rStyle w:val="16"/>
                <w:rFonts w:eastAsia="宋体"/>
                <w:sz w:val="21"/>
                <w:szCs w:val="21"/>
                <w:lang w:val="en-US" w:eastAsia="zh-CN" w:bidi="ar"/>
              </w:rPr>
              <w:t>:</w:t>
            </w:r>
            <w:r>
              <w:rPr>
                <w:rStyle w:val="15"/>
                <w:sz w:val="21"/>
                <w:szCs w:val="21"/>
                <w:lang w:val="en-US" w:eastAsia="zh-CN" w:bidi="ar"/>
              </w:rPr>
              <w:t>配套接地设备。</w:t>
            </w:r>
          </w:p>
        </w:tc>
        <w:tc>
          <w:tcPr>
            <w:tcW w:w="67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19"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10"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物联网卡</w:t>
            </w:r>
          </w:p>
        </w:tc>
        <w:tc>
          <w:tcPr>
            <w:tcW w:w="6854"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4G/5G</w:t>
            </w:r>
            <w:r>
              <w:rPr>
                <w:rStyle w:val="15"/>
                <w:sz w:val="21"/>
                <w:szCs w:val="21"/>
                <w:lang w:val="en-US" w:eastAsia="zh-CN" w:bidi="ar"/>
              </w:rPr>
              <w:t>，含五年通信费</w:t>
            </w:r>
          </w:p>
        </w:tc>
        <w:tc>
          <w:tcPr>
            <w:tcW w:w="67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19" w:type="dxa"/>
            <w:tcBorders>
              <w:top w:val="single" w:color="auto" w:sz="4"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1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流量计防护罩</w:t>
            </w:r>
          </w:p>
        </w:tc>
        <w:tc>
          <w:tcPr>
            <w:tcW w:w="685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按照现场安装情况订制，不锈钢制，壁厚</w:t>
            </w:r>
            <w:r>
              <w:rPr>
                <w:rStyle w:val="16"/>
                <w:rFonts w:eastAsia="仿宋"/>
                <w:sz w:val="21"/>
                <w:szCs w:val="21"/>
                <w:lang w:val="en-US" w:eastAsia="zh-CN" w:bidi="ar"/>
              </w:rPr>
              <w:t>2mm</w:t>
            </w:r>
          </w:p>
        </w:tc>
        <w:tc>
          <w:tcPr>
            <w:tcW w:w="6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19"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10"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8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安装辅材</w:t>
            </w:r>
          </w:p>
        </w:tc>
        <w:tc>
          <w:tcPr>
            <w:tcW w:w="685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法兰，螺丝，穿线管，信号线等</w:t>
            </w:r>
          </w:p>
        </w:tc>
        <w:tc>
          <w:tcPr>
            <w:tcW w:w="6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19" w:type="dxa"/>
            <w:tcBorders>
              <w:top w:val="nil"/>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0"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8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安装调试</w:t>
            </w:r>
          </w:p>
        </w:tc>
        <w:tc>
          <w:tcPr>
            <w:tcW w:w="6854"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包含必要的现场措施费（包括设备管道环境改造、设备调试等）</w:t>
            </w:r>
          </w:p>
        </w:tc>
        <w:tc>
          <w:tcPr>
            <w:tcW w:w="67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19" w:type="dxa"/>
            <w:tcBorders>
              <w:top w:val="nil"/>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0"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80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计量设施校检</w:t>
            </w:r>
          </w:p>
        </w:tc>
        <w:tc>
          <w:tcPr>
            <w:tcW w:w="6854"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首次安装监测计量设施需检定校准，提供现场检定校准证书和照片</w:t>
            </w:r>
          </w:p>
        </w:tc>
        <w:tc>
          <w:tcPr>
            <w:tcW w:w="67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719" w:type="dxa"/>
            <w:tcBorders>
              <w:top w:val="single" w:color="auto" w:sz="4"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10"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80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运行维护</w:t>
            </w:r>
          </w:p>
        </w:tc>
        <w:tc>
          <w:tcPr>
            <w:tcW w:w="6854"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运行维护5年</w:t>
            </w:r>
            <w:r>
              <w:rPr>
                <w:rFonts w:hint="eastAsia" w:ascii="Times New Roman" w:hAnsi="Times New Roman" w:cs="Times New Roman"/>
                <w:i w:val="0"/>
                <w:iCs w:val="0"/>
                <w:color w:val="000000"/>
                <w:kern w:val="0"/>
                <w:sz w:val="21"/>
                <w:szCs w:val="21"/>
                <w:u w:val="none"/>
                <w:lang w:val="en-US" w:eastAsia="zh-CN" w:bidi="ar"/>
              </w:rPr>
              <w:t>（不含质保期1年）</w:t>
            </w:r>
          </w:p>
        </w:tc>
        <w:tc>
          <w:tcPr>
            <w:tcW w:w="67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719" w:type="dxa"/>
            <w:tcBorders>
              <w:top w:val="nil"/>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102</w:t>
            </w:r>
          </w:p>
        </w:tc>
      </w:tr>
      <w:bookmarkEnd w:id="5"/>
    </w:tbl>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eastAsia"/>
          <w:lang w:val="en-US" w:eastAsia="zh-CN"/>
        </w:rPr>
      </w:pPr>
      <w:r>
        <w:rPr>
          <w:rFonts w:hint="eastAsia" w:ascii="黑体" w:hAnsi="黑体" w:eastAsia="黑体" w:cs="黑体"/>
          <w:sz w:val="32"/>
          <w:lang w:val="en-US" w:eastAsia="zh-CN"/>
        </w:rPr>
        <w:t>设备要求：</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eastAsia" w:ascii="楷体" w:hAnsi="楷体" w:eastAsia="楷体" w:cs="楷体"/>
          <w:b w:val="0"/>
          <w:bCs w:val="0"/>
          <w:sz w:val="32"/>
          <w:szCs w:val="48"/>
          <w:lang w:val="en-US" w:eastAsia="zh-CN"/>
        </w:rPr>
      </w:pPr>
      <w:r>
        <w:rPr>
          <w:rFonts w:hint="eastAsia" w:ascii="楷体" w:hAnsi="楷体" w:eastAsia="楷体" w:cs="楷体"/>
          <w:b w:val="0"/>
          <w:bCs w:val="0"/>
          <w:sz w:val="32"/>
          <w:szCs w:val="48"/>
          <w:lang w:val="en-US" w:eastAsia="zh-CN"/>
        </w:rPr>
        <w:t>超声波水表要求</w:t>
      </w:r>
    </w:p>
    <w:p>
      <w:pPr>
        <w:pStyle w:val="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9"/>
        <w:rPr>
          <w:rFonts w:hint="default" w:ascii="Times New Roman" w:hAnsi="Times New Roman" w:eastAsia="仿宋" w:cs="Times New Roman"/>
          <w:sz w:val="32"/>
          <w:szCs w:val="48"/>
        </w:rPr>
      </w:pPr>
      <w:r>
        <w:rPr>
          <w:rFonts w:hint="default" w:ascii="Times New Roman" w:hAnsi="Times New Roman" w:eastAsia="仿宋" w:cs="Times New Roman"/>
          <w:b w:val="0"/>
          <w:bCs w:val="0"/>
          <w:sz w:val="32"/>
          <w:szCs w:val="48"/>
          <w:lang w:val="en-US" w:eastAsia="zh-CN"/>
        </w:rPr>
        <w:t>本项目非农取用水户在线监测计量设施建设项目选取的</w:t>
      </w:r>
      <w:r>
        <w:rPr>
          <w:rFonts w:hint="eastAsia" w:ascii="Times New Roman" w:hAnsi="Times New Roman" w:cs="Times New Roman"/>
          <w:b w:val="0"/>
          <w:bCs w:val="0"/>
          <w:sz w:val="32"/>
          <w:szCs w:val="48"/>
          <w:lang w:val="en-US" w:eastAsia="zh-CN"/>
        </w:rPr>
        <w:t>超声波水表</w:t>
      </w:r>
      <w:r>
        <w:rPr>
          <w:rFonts w:hint="default" w:ascii="Times New Roman" w:hAnsi="Times New Roman" w:eastAsia="仿宋" w:cs="Times New Roman"/>
          <w:b w:val="0"/>
          <w:bCs w:val="0"/>
          <w:sz w:val="32"/>
          <w:szCs w:val="48"/>
          <w:lang w:val="en-US" w:eastAsia="zh-CN"/>
        </w:rPr>
        <w:t>应满足以下技术参数要求。</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2"/>
        <w:rPr>
          <w:rFonts w:hint="default" w:ascii="Times New Roman" w:hAnsi="Times New Roman" w:eastAsia="仿宋" w:cs="Times New Roman"/>
          <w:sz w:val="32"/>
          <w:szCs w:val="48"/>
        </w:rPr>
      </w:pPr>
      <w:r>
        <w:rPr>
          <w:rFonts w:hint="default" w:ascii="Times New Roman" w:hAnsi="Times New Roman" w:eastAsia="仿宋" w:cs="Times New Roman"/>
          <w:sz w:val="32"/>
          <w:szCs w:val="48"/>
          <w:lang w:val="en-US" w:eastAsia="zh-CN"/>
        </w:rPr>
        <w:t>双声道超声波</w:t>
      </w:r>
      <w:r>
        <w:rPr>
          <w:rFonts w:hint="eastAsia" w:ascii="Times New Roman" w:hAnsi="Times New Roman" w:cs="Times New Roman"/>
          <w:sz w:val="32"/>
          <w:szCs w:val="48"/>
          <w:lang w:val="en-US" w:eastAsia="zh-CN"/>
        </w:rPr>
        <w:t>水表</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测量精度：</w:t>
      </w:r>
      <w:r>
        <w:rPr>
          <w:rFonts w:hint="default" w:ascii="Times New Roman" w:hAnsi="Times New Roman" w:eastAsia="仿宋" w:cs="Times New Roman"/>
          <w:sz w:val="32"/>
          <w:szCs w:val="48"/>
          <w:lang w:val="en-US" w:eastAsia="zh-CN"/>
        </w:rPr>
        <w:t>2</w:t>
      </w:r>
      <w:r>
        <w:rPr>
          <w:rFonts w:hint="default" w:ascii="Times New Roman" w:hAnsi="Times New Roman" w:eastAsia="仿宋" w:cs="Times New Roman"/>
          <w:sz w:val="32"/>
          <w:szCs w:val="48"/>
        </w:rPr>
        <w:t>级 (提供计量器具型式批准证书)；</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直径：DN50-180；</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技术要求：采用全数字化电路：具有数字分析、纠错能力和抗干扰能力。</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流速范围：±0.02m/s～±8.0m/s；</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管段最高承受压力：管内部分压力不低于1.0MPa，传感器浸水深度不超过1m；</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工作电源：锂电池供电（电池供电可连续工作6年以上），可现场更换电池，不影响防水性；</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工作环境：温度：-30℃～+55℃；湿度≤85%（RH）</w:t>
      </w:r>
      <w:r>
        <w:rPr>
          <w:rFonts w:hint="default" w:ascii="Times New Roman" w:hAnsi="Times New Roman" w:eastAsia="仿宋" w:cs="Times New Roman"/>
          <w:sz w:val="32"/>
          <w:szCs w:val="48"/>
          <w:lang w:eastAsia="zh-CN"/>
        </w:rPr>
        <w:t>；</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数据通讯：有线传输，使用RS-485通讯（波特率2400bps、4800bps、9600bps可选，MODBUS协议、M-BUS协议等可选）；</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数据存储：存储累积流量、累积有效运行时间，失电后数据可保存5年，存储容量10000条记录，设备存储数据时长超一年；</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显示内容：瞬时流量（m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/h）累积流量（m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）累积有效运行时间（h）日期：（年/月/日）时钟：（时/分/秒）；</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显示范围：累积流量-9999999.9m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；瞬时流量-999999.99m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/h～+999999.99m</w:t>
      </w:r>
      <w:r>
        <w:rPr>
          <w:rFonts w:hint="default" w:ascii="Times New Roman" w:hAnsi="Times New Roman" w:eastAsia="仿宋" w:cs="Times New Roman"/>
          <w:sz w:val="32"/>
          <w:szCs w:val="48"/>
          <w:vertAlign w:val="superscript"/>
        </w:rPr>
        <w:t>3</w:t>
      </w:r>
      <w:r>
        <w:rPr>
          <w:rFonts w:hint="default" w:ascii="Times New Roman" w:hAnsi="Times New Roman" w:eastAsia="仿宋" w:cs="Times New Roman"/>
          <w:sz w:val="32"/>
          <w:szCs w:val="48"/>
        </w:rPr>
        <w:t>/h；</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防护等级：IP68；</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连接方式：法兰连接，尺寸符合国标；</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断电保护：断电5年数据不丢失；</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管体要求：超声传感器紧贴管段内壁，不允许凸出，不允许缩颈；为直通式管段结构；</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工作状态指示：一直循环显示；</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液晶显示屏位数：8位；</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安装方式：水平或垂直；</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afterLines="0" w:line="240" w:lineRule="auto"/>
        <w:ind w:left="0" w:leftChars="0" w:firstLine="632" w:firstLineChars="200"/>
        <w:jc w:val="both"/>
        <w:textAlignment w:val="auto"/>
        <w:rPr>
          <w:rFonts w:hint="default" w:ascii="Times New Roman" w:hAnsi="Times New Roman" w:eastAsia="仿宋" w:cs="Times New Roman"/>
          <w:sz w:val="32"/>
          <w:szCs w:val="48"/>
        </w:rPr>
      </w:pPr>
      <w:r>
        <w:rPr>
          <w:rFonts w:hint="default" w:ascii="Times New Roman" w:hAnsi="Times New Roman" w:eastAsia="仿宋" w:cs="Times New Roman"/>
          <w:sz w:val="32"/>
          <w:szCs w:val="48"/>
        </w:rPr>
        <w:t>电磁兼容性等级：E2（含）以上。</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default" w:ascii="楷体" w:hAnsi="楷体" w:eastAsia="楷体" w:cs="楷体"/>
          <w:b w:val="0"/>
          <w:bCs w:val="0"/>
          <w:sz w:val="32"/>
          <w:szCs w:val="48"/>
          <w:lang w:val="en-US" w:eastAsia="zh-CN"/>
        </w:rPr>
      </w:pPr>
      <w:bookmarkStart w:id="0" w:name="_Toc20014"/>
      <w:bookmarkStart w:id="1" w:name="_Toc14061"/>
      <w:r>
        <w:rPr>
          <w:rFonts w:hint="default" w:ascii="楷体" w:hAnsi="楷体" w:eastAsia="楷体" w:cs="楷体"/>
          <w:b w:val="0"/>
          <w:bCs w:val="0"/>
          <w:sz w:val="32"/>
          <w:szCs w:val="48"/>
          <w:lang w:val="en-US" w:eastAsia="zh-CN"/>
        </w:rPr>
        <w:t>测控终端（RTU）设备</w:t>
      </w:r>
      <w:bookmarkEnd w:id="0"/>
      <w:bookmarkEnd w:id="1"/>
      <w:r>
        <w:rPr>
          <w:rFonts w:hint="eastAsia" w:ascii="楷体" w:hAnsi="楷体" w:eastAsia="楷体" w:cs="楷体"/>
          <w:b w:val="0"/>
          <w:bCs w:val="0"/>
          <w:sz w:val="32"/>
          <w:szCs w:val="48"/>
          <w:lang w:val="en-US" w:eastAsia="zh-CN"/>
        </w:rPr>
        <w:t>要求</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遥测终端RTU取得《水资源监测数据传输规约》（SL/T 427—2021）《特殊区域水文、水资源数据安全采集系统RTU追加测试大纲》</w:t>
      </w:r>
      <w:r>
        <w:rPr>
          <w:rFonts w:hint="default" w:ascii="Times New Roman" w:hAnsi="Times New Roman" w:eastAsia="仿宋" w:cs="Times New Roman"/>
          <w:b w:val="0"/>
          <w:bCs w:val="0"/>
          <w:sz w:val="32"/>
          <w:szCs w:val="30"/>
          <w:lang w:val="en-US" w:eastAsia="zh-CN"/>
        </w:rPr>
        <w:t>证书</w:t>
      </w:r>
      <w:r>
        <w:rPr>
          <w:rFonts w:hint="default" w:ascii="Times New Roman" w:hAnsi="Times New Roman" w:eastAsia="仿宋" w:cs="Times New Roman"/>
          <w:b w:val="0"/>
          <w:bCs w:val="0"/>
          <w:sz w:val="32"/>
          <w:szCs w:val="30"/>
        </w:rPr>
        <w:t>；</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数据采集、控制、存储、传输一体化设计，可采集各种标准的变送器、传感器、串口仪表。采集接口类型和数量多，且可灵活配置。可选配水资源监测数据传输规约、水文监测数据通信规约等。支持各家组态软件和用户自行开发软件系统。</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 xml:space="preserve">通信功能：可通过4G LTE/GPRS/CDMA/NB-IoT、短消息、卫星等无线通信方式实现设备联网。支持与1-4个监控中心进行数据通信；支持实时在线、定时唤醒两种工作模式。 </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采集功能：采集流量计的流量数据</w:t>
      </w:r>
      <w:r>
        <w:rPr>
          <w:rFonts w:hint="default" w:ascii="Times New Roman" w:hAnsi="Times New Roman" w:eastAsia="仿宋" w:cs="Times New Roman"/>
          <w:b w:val="0"/>
          <w:bCs w:val="0"/>
          <w:sz w:val="32"/>
          <w:szCs w:val="30"/>
          <w:lang w:eastAsia="zh-CN"/>
        </w:rPr>
        <w:t>、</w:t>
      </w:r>
      <w:r>
        <w:rPr>
          <w:rFonts w:hint="default" w:ascii="Times New Roman" w:hAnsi="Times New Roman" w:eastAsia="仿宋" w:cs="Times New Roman"/>
          <w:b w:val="0"/>
          <w:bCs w:val="0"/>
          <w:sz w:val="32"/>
          <w:szCs w:val="30"/>
        </w:rPr>
        <w:t xml:space="preserve">设备供电状态和箱门开关状态。 </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图片抓拍功能：可外接工业照相机，进行图片抓拍。</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控制功能：支持自动控制、远程控制水泵、阀门等控制设备。</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远程管理功能：支持远程参数设置、程序升级。</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报警功能：监测数据越限，立即上报告警信息。</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存储功能：本机循环存储监测数据，掉电不丢失。</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10路IN：模拟量（AI）+开关量(DI)=10路，各自的数量可自由组合。</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5路串口（RS232/RS485）：串口（RS232）+串口（RS485）=5路，各自的数量可自由组合。</w:t>
      </w: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2路VEXT：为模拟量、开关量以及串口仪表变送器供电。1路DB9调试串口。</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default" w:ascii="楷体" w:hAnsi="楷体" w:eastAsia="楷体" w:cs="楷体"/>
          <w:b w:val="0"/>
          <w:bCs w:val="0"/>
          <w:sz w:val="32"/>
          <w:szCs w:val="48"/>
          <w:lang w:val="en-US" w:eastAsia="zh-CN"/>
        </w:rPr>
      </w:pPr>
      <w:bookmarkStart w:id="2" w:name="_Toc6847"/>
      <w:bookmarkStart w:id="3" w:name="_Toc12530"/>
      <w:r>
        <w:rPr>
          <w:rFonts w:hint="default" w:ascii="楷体" w:hAnsi="楷体" w:eastAsia="楷体" w:cs="楷体"/>
          <w:b w:val="0"/>
          <w:bCs w:val="0"/>
          <w:sz w:val="32"/>
          <w:szCs w:val="48"/>
          <w:lang w:val="en-US" w:eastAsia="zh-CN"/>
        </w:rPr>
        <w:t>防雷设备</w:t>
      </w:r>
      <w:bookmarkEnd w:id="2"/>
      <w:bookmarkEnd w:id="3"/>
      <w:r>
        <w:rPr>
          <w:rFonts w:hint="eastAsia" w:ascii="楷体" w:hAnsi="楷体" w:eastAsia="楷体" w:cs="楷体"/>
          <w:b w:val="0"/>
          <w:bCs w:val="0"/>
          <w:sz w:val="32"/>
          <w:szCs w:val="48"/>
          <w:lang w:val="en-US" w:eastAsia="zh-CN"/>
        </w:rPr>
        <w:t>要求</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避雷针及固定杆</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采用长1.5米，直径为16毫米的圆钢，固定在避雷针杆顶部。避雷针杆为长2米，直径为40的圆钢。</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引下线</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采用直径≥8mm的圆钢或截面积＞48平方毫米的扁钢，沿安装支杆明敷，并经最短路径与接地地网焊接。</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2"/>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接地地网</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常用于遥测系统的接地地网有板材接地网、均衡环接地网以及一字形地网，应根据遥测站建筑物周边的实际条件选择合适的地网结构。人工垂直埋设的接地体宜采用角钢、钢管或圆钢人工水平埋设的接地体宜采用扁钢、园钢。人工接地体材料的尺寸不小于下列数值：</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园钢直径为12mm；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扁钢截面积为100mm</w:t>
      </w:r>
      <w:r>
        <w:rPr>
          <w:rFonts w:hint="default" w:ascii="Times New Roman" w:hAnsi="Times New Roman" w:eastAsia="仿宋" w:cs="Times New Roman"/>
          <w:b w:val="0"/>
          <w:bCs w:val="0"/>
          <w:sz w:val="32"/>
          <w:szCs w:val="30"/>
          <w:vertAlign w:val="superscript"/>
          <w:lang w:val="en-US" w:eastAsia="zh-CN"/>
        </w:rPr>
        <w:t>2</w:t>
      </w:r>
      <w:r>
        <w:rPr>
          <w:rFonts w:hint="default" w:ascii="Times New Roman" w:hAnsi="Times New Roman" w:eastAsia="仿宋" w:cs="Times New Roman"/>
          <w:b w:val="0"/>
          <w:bCs w:val="0"/>
          <w:sz w:val="32"/>
          <w:szCs w:val="30"/>
          <w:lang w:val="en-US" w:eastAsia="zh-CN"/>
        </w:rPr>
        <w:t>，厚度为4mm；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角钢厚度为5mm；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钢管壁厚为3.5mm。</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人工垂直接地体的长度一般为3m，人工垂直接地体间的距离及人工水平接地体间的距离一般为5m，当地方受限制时可适当减小。</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接地体在土壤中的埋设深度不应小于2m。接地体在土壤中埋设后，应现场使用精密地阻仪测量电阻，要求接地电阻≤10Ω。接地电阻值未达到要求的可采用多支线外引接地或使用降阻剂。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避雷针的接地线和设备保护地的接地线应从接地体中分别引出。埋在土中的接地体之间须牢固焊接，并在焊接处作防腐处理。</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632" w:firstLineChars="200"/>
        <w:jc w:val="both"/>
        <w:textAlignment w:val="auto"/>
        <w:outlineLvl w:val="1"/>
        <w:rPr>
          <w:rFonts w:hint="default" w:ascii="楷体" w:hAnsi="楷体" w:eastAsia="楷体" w:cs="楷体"/>
          <w:b w:val="0"/>
          <w:bCs w:val="0"/>
          <w:sz w:val="32"/>
          <w:szCs w:val="48"/>
          <w:lang w:val="en-US" w:eastAsia="zh-CN"/>
        </w:rPr>
      </w:pPr>
      <w:r>
        <w:rPr>
          <w:rFonts w:hint="default" w:ascii="楷体" w:hAnsi="楷体" w:eastAsia="楷体" w:cs="楷体"/>
          <w:b w:val="0"/>
          <w:bCs w:val="0"/>
          <w:sz w:val="32"/>
          <w:szCs w:val="48"/>
          <w:lang w:val="en-US" w:eastAsia="zh-CN"/>
        </w:rPr>
        <w:t>流量监测设备管道环境改造</w:t>
      </w:r>
      <w:r>
        <w:rPr>
          <w:rFonts w:hint="eastAsia" w:ascii="楷体" w:hAnsi="楷体" w:eastAsia="楷体" w:cs="楷体"/>
          <w:b w:val="0"/>
          <w:bCs w:val="0"/>
          <w:sz w:val="32"/>
          <w:szCs w:val="48"/>
          <w:lang w:val="en-US" w:eastAsia="zh-CN"/>
        </w:rPr>
        <w:t>要求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为保证计量准确性，流量监测设备对安装管道条件提出了</w:t>
      </w:r>
      <w:r>
        <w:rPr>
          <w:rFonts w:hint="default" w:ascii="Times New Roman" w:hAnsi="Times New Roman" w:eastAsia="仿宋" w:cs="Times New Roman"/>
          <w:b w:val="0"/>
          <w:bCs w:val="0"/>
          <w:sz w:val="32"/>
          <w:szCs w:val="30"/>
          <w:lang w:val="en-US" w:eastAsia="zh-CN"/>
        </w:rPr>
        <w:t>具体</w:t>
      </w:r>
      <w:r>
        <w:rPr>
          <w:rFonts w:hint="default" w:ascii="Times New Roman" w:hAnsi="Times New Roman" w:eastAsia="仿宋" w:cs="Times New Roman"/>
          <w:b w:val="0"/>
          <w:bCs w:val="0"/>
          <w:sz w:val="32"/>
          <w:szCs w:val="30"/>
        </w:rPr>
        <w:t>的要求，包括计量设备上下游平直管段长度、管道形态和稳定性等；同时为提高监控设备的维护效率，</w:t>
      </w:r>
      <w:r>
        <w:rPr>
          <w:rFonts w:hint="eastAsia" w:ascii="Times New Roman" w:hAnsi="Times New Roman" w:cs="Times New Roman"/>
          <w:b w:val="0"/>
          <w:bCs w:val="0"/>
          <w:sz w:val="32"/>
          <w:szCs w:val="30"/>
          <w:lang w:val="en-US" w:eastAsia="zh-CN"/>
        </w:rPr>
        <w:t>应针对现有管网进行改造，</w:t>
      </w:r>
      <w:r>
        <w:rPr>
          <w:rFonts w:hint="default" w:ascii="Times New Roman" w:hAnsi="Times New Roman" w:eastAsia="仿宋" w:cs="Times New Roman"/>
          <w:b w:val="0"/>
          <w:bCs w:val="0"/>
          <w:sz w:val="32"/>
          <w:szCs w:val="30"/>
        </w:rPr>
        <w:t>根据需求配套相应的管材管件等。</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1、</w:t>
      </w:r>
      <w:r>
        <w:rPr>
          <w:rFonts w:hint="default" w:ascii="Times New Roman" w:hAnsi="Times New Roman" w:eastAsia="仿宋" w:cs="Times New Roman"/>
          <w:b w:val="0"/>
          <w:bCs w:val="0"/>
          <w:sz w:val="32"/>
          <w:szCs w:val="30"/>
        </w:rPr>
        <w:t>安装点选择</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为保证测量精度和稳定性，传感器的安装点要选择在流场分布均匀的直管段部分。</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472" w:firstLineChars="200"/>
        <w:jc w:val="left"/>
        <w:textAlignment w:val="auto"/>
        <w:outlineLvl w:val="3"/>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4962525" cy="3722370"/>
            <wp:effectExtent l="0" t="0" r="952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962525" cy="3722370"/>
                    </a:xfrm>
                    <a:prstGeom prst="rect">
                      <a:avLst/>
                    </a:prstGeom>
                    <a:noFill/>
                    <a:ln>
                      <a:noFill/>
                    </a:ln>
                  </pic:spPr>
                </pic:pic>
              </a:graphicData>
            </a:graphic>
          </wp:inline>
        </w:drawing>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如上图所示，应选择充满流体的、材质均匀质密、易于超声波传输的管段，如图（a）；安装距离应选择上游大于10倍直管径、下游大于5倍直管径以内无任何阀门、弯头、变径、等均匀的直管段，安装点应充分远离阀门、泵、高压电和变频器等干扰源，如图（b）所示；</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对于开口或半满管的管道，水表应该安装在U型管段处，如图（c）所示，避免安装在管道系统的最高点或带有自由出口的竖直管道上（流体向下流动），如图（d）所示。</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同时，安装点的温度、压力应在传感器可工作范围以内，并充分考虑管内壁结垢状况，尽量选择无结垢的管道进行安装，如不能满足时，可把结垢考虑为衬里以求较好的测量精度。</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default" w:ascii="黑体" w:hAnsi="黑体" w:eastAsia="黑体" w:cs="黑体"/>
          <w:sz w:val="32"/>
          <w:lang w:val="en-US" w:eastAsia="zh-CN"/>
        </w:rPr>
      </w:pPr>
      <w:r>
        <w:rPr>
          <w:rFonts w:hint="eastAsia" w:ascii="黑体" w:hAnsi="黑体" w:eastAsia="黑体" w:cs="黑体"/>
          <w:sz w:val="32"/>
          <w:lang w:val="en-US" w:eastAsia="zh-CN"/>
        </w:rPr>
        <w:t>安装要求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1、</w:t>
      </w:r>
      <w:r>
        <w:rPr>
          <w:rFonts w:hint="default" w:ascii="Times New Roman" w:hAnsi="Times New Roman" w:eastAsia="仿宋" w:cs="Times New Roman"/>
          <w:b w:val="0"/>
          <w:bCs w:val="0"/>
          <w:sz w:val="32"/>
          <w:szCs w:val="30"/>
        </w:rPr>
        <w:t>供水管道切割</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在选择好的安装位置，采用氧焊对管道进行切割；切割时保证切割面的规则性，不能有凹凸现象；同时保证切割的距离满足安装要求，避免安装位置过大或过小。</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2、</w:t>
      </w:r>
      <w:r>
        <w:rPr>
          <w:rFonts w:hint="default" w:ascii="Times New Roman" w:hAnsi="Times New Roman" w:eastAsia="仿宋" w:cs="Times New Roman"/>
          <w:b w:val="0"/>
          <w:bCs w:val="0"/>
          <w:sz w:val="32"/>
          <w:szCs w:val="30"/>
        </w:rPr>
        <w:t>安装法兰焊接</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将“安装法兰”用电焊焊接在前、后直管段上，焊接后要保证法兰的端面与管道垂直，同时保证焊接处焊接牢固无沙眼或漏水情况。</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3、</w:t>
      </w:r>
      <w:r>
        <w:rPr>
          <w:rFonts w:hint="default" w:ascii="Times New Roman" w:hAnsi="Times New Roman" w:eastAsia="仿宋" w:cs="Times New Roman"/>
          <w:b w:val="0"/>
          <w:bCs w:val="0"/>
          <w:sz w:val="32"/>
          <w:szCs w:val="30"/>
        </w:rPr>
        <w:t>流量计安装</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将流量计按照安装方向放置好后，在流量计法兰和安装法兰之间必须垫好橡胶垫片，然后拧紧。在紧固螺丝时采用力矩扳手对角线方式紧固，均匀用力，防止上偏或受力不均导致橡胶垫片损坏造成的漏水现象。如下图所示。</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管段式流量计安装示意图：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napToGrid w:val="0"/>
          <w:sz w:val="24"/>
        </w:rPr>
      </w:pPr>
      <w:r>
        <w:rPr>
          <w:rFonts w:hint="default" w:ascii="Times New Roman" w:hAnsi="Times New Roman" w:eastAsia="仿宋" w:cs="Times New Roman"/>
          <w:sz w:val="24"/>
        </w:rPr>
        <w:drawing>
          <wp:inline distT="0" distB="0" distL="114300" distR="114300">
            <wp:extent cx="5349240" cy="3035935"/>
            <wp:effectExtent l="0" t="0" r="381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rcRect l="5931"/>
                    <a:stretch>
                      <a:fillRect/>
                    </a:stretch>
                  </pic:blipFill>
                  <pic:spPr>
                    <a:xfrm>
                      <a:off x="0" y="0"/>
                      <a:ext cx="5349240" cy="3035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865245" cy="1209040"/>
            <wp:effectExtent l="0" t="0" r="1905"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3865245" cy="12090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842385" cy="1202055"/>
            <wp:effectExtent l="0" t="0" r="5715" b="171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3842385" cy="12020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773170" cy="1180465"/>
            <wp:effectExtent l="0" t="0" r="1778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3773170" cy="11804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drawing>
          <wp:inline distT="0" distB="0" distL="114300" distR="114300">
            <wp:extent cx="3698875" cy="1173480"/>
            <wp:effectExtent l="0" t="0" r="15875"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3698875" cy="1173480"/>
                    </a:xfrm>
                    <a:prstGeom prst="rect">
                      <a:avLst/>
                    </a:prstGeom>
                    <a:noFill/>
                    <a:ln>
                      <a:noFill/>
                    </a:ln>
                  </pic:spPr>
                </pic:pic>
              </a:graphicData>
            </a:graphic>
          </wp:inline>
        </w:drawing>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lang w:val="en-US" w:eastAsia="zh-CN"/>
        </w:rPr>
        <w:t>4、</w:t>
      </w:r>
      <w:r>
        <w:rPr>
          <w:rFonts w:hint="default" w:ascii="Times New Roman" w:hAnsi="Times New Roman" w:eastAsia="仿宋" w:cs="Times New Roman"/>
          <w:b w:val="0"/>
          <w:bCs w:val="0"/>
          <w:sz w:val="32"/>
          <w:szCs w:val="30"/>
        </w:rPr>
        <w:t>注意事项</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安装上下游直管段时要使两安装法兰之间最小距离等于或略大于表体长度。</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0" w:leftChars="0" w:firstLine="632" w:firstLineChars="200"/>
        <w:jc w:val="left"/>
        <w:textAlignment w:val="auto"/>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并且两边法兰上的螺栓孔要对准安装流量传感器时，其流向标志应与管道内流体流向一致。</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default" w:ascii="黑体" w:hAnsi="黑体" w:eastAsia="黑体" w:cs="黑体"/>
          <w:sz w:val="32"/>
          <w:lang w:val="en-US" w:eastAsia="zh-CN"/>
        </w:rPr>
      </w:pPr>
      <w:bookmarkStart w:id="4" w:name="_Toc4025"/>
      <w:r>
        <w:rPr>
          <w:rFonts w:hint="default" w:ascii="黑体" w:hAnsi="黑体" w:eastAsia="黑体" w:cs="黑体"/>
          <w:sz w:val="32"/>
          <w:lang w:val="en-US" w:eastAsia="zh-CN"/>
        </w:rPr>
        <w:t>设备外观质量要求</w:t>
      </w:r>
      <w:bookmarkEnd w:id="4"/>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rPr>
      </w:pPr>
      <w:r>
        <w:rPr>
          <w:rFonts w:hint="default" w:ascii="Times New Roman" w:hAnsi="Times New Roman" w:eastAsia="仿宋" w:cs="Times New Roman"/>
          <w:b w:val="0"/>
          <w:bCs w:val="0"/>
          <w:sz w:val="32"/>
          <w:szCs w:val="30"/>
        </w:rPr>
        <w:t>为保证主要设备外观整洁、质量可靠，对主要设备外观质量提出以下要求。</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1、外观表面清洁、无脱漆、锈蚀，不得有毛刺、裂纹、变形等现象。</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2、显示面板整洁，字迹清晰、准确，不得有划痕。</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3、各部分连接牢固，紧固件无松动、缺损等现象。</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4、设备结构便于安装、使用和维修。</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5、柜体内醒目位置处附有详细的监测和控制线路图，线路接口位置有接线标识；密封条安装正确、平整，无影响密封性能的缺陷。</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6、柜体要求开窗显示监测数据</w:t>
      </w:r>
      <w:r>
        <w:rPr>
          <w:rFonts w:hint="eastAsia" w:ascii="Times New Roman" w:hAnsi="Times New Roman" w:cs="Times New Roman"/>
          <w:b w:val="0"/>
          <w:bCs w:val="0"/>
          <w:sz w:val="32"/>
          <w:szCs w:val="30"/>
          <w:lang w:val="en-US" w:eastAsia="zh-CN"/>
        </w:rPr>
        <w:t>。</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7、在正常包装状态下，所有仪器设备均能够承受运输过程中可能产生的振动、意外冲击、碰撞、跌落等。</w:t>
      </w:r>
    </w:p>
    <w:p>
      <w:pPr>
        <w:pStyle w:val="5"/>
        <w:numPr>
          <w:ilvl w:val="0"/>
          <w:numId w:val="0"/>
        </w:numPr>
        <w:tabs>
          <w:tab w:val="left" w:pos="420"/>
        </w:tabs>
        <w:ind w:leftChars="0" w:firstLine="632" w:firstLineChars="200"/>
        <w:jc w:val="left"/>
        <w:outlineLvl w:val="3"/>
        <w:rPr>
          <w:rFonts w:hint="default" w:ascii="Times New Roman" w:hAnsi="Times New Roman" w:eastAsia="仿宋" w:cs="Times New Roman"/>
          <w:b w:val="0"/>
          <w:bCs w:val="0"/>
          <w:sz w:val="32"/>
          <w:szCs w:val="30"/>
          <w:lang w:val="en-US" w:eastAsia="zh-CN"/>
        </w:rPr>
      </w:pPr>
      <w:r>
        <w:rPr>
          <w:rFonts w:hint="default" w:ascii="Times New Roman" w:hAnsi="Times New Roman" w:eastAsia="仿宋" w:cs="Times New Roman"/>
          <w:b w:val="0"/>
          <w:bCs w:val="0"/>
          <w:sz w:val="32"/>
          <w:szCs w:val="30"/>
          <w:lang w:val="en-US" w:eastAsia="zh-CN"/>
        </w:rPr>
        <w:t>8、柜体质量具有一定的抗撞击、抗破坏能力，阻燃、绝缘、耐老化。</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eastAsia" w:ascii="黑体" w:hAnsi="黑体" w:eastAsia="黑体" w:cs="黑体"/>
          <w:b w:val="0"/>
          <w:bCs w:val="0"/>
          <w:sz w:val="32"/>
          <w:szCs w:val="30"/>
          <w:lang w:val="en-US" w:eastAsia="zh-CN"/>
        </w:rPr>
      </w:pPr>
      <w:r>
        <w:rPr>
          <w:rFonts w:hint="eastAsia" w:ascii="黑体" w:hAnsi="黑体" w:eastAsia="黑体" w:cs="黑体"/>
          <w:b w:val="0"/>
          <w:bCs w:val="0"/>
          <w:sz w:val="32"/>
          <w:szCs w:val="30"/>
          <w:lang w:val="en-US" w:eastAsia="zh-CN"/>
        </w:rPr>
        <w:t>监测计量设施校检</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Chars="0" w:firstLine="632" w:firstLineChars="200"/>
        <w:textAlignment w:val="auto"/>
        <w:outlineLvl w:val="9"/>
        <w:rPr>
          <w:rFonts w:hint="default" w:ascii="黑体" w:hAnsi="黑体" w:eastAsia="黑体" w:cs="黑体"/>
          <w:b w:val="0"/>
          <w:bCs w:val="0"/>
          <w:sz w:val="32"/>
          <w:szCs w:val="30"/>
          <w:lang w:val="en-US" w:eastAsia="zh-CN"/>
        </w:rPr>
      </w:pPr>
      <w:r>
        <w:rPr>
          <w:rFonts w:hint="eastAsia" w:ascii="仿宋" w:hAnsi="仿宋" w:cs="仿宋"/>
          <w:b w:val="0"/>
          <w:bCs w:val="0"/>
          <w:sz w:val="32"/>
          <w:szCs w:val="30"/>
          <w:lang w:val="en-US" w:eastAsia="zh-CN"/>
        </w:rPr>
        <w:t>计量设施安装完成后应当进行现场检定校准，并提供检定校准证书和现场检定校准图片，确保监测计量数据准确。</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32" w:firstLineChars="200"/>
        <w:textAlignment w:val="auto"/>
        <w:outlineLvl w:val="0"/>
        <w:rPr>
          <w:rFonts w:hint="eastAsia" w:ascii="黑体" w:hAnsi="黑体" w:eastAsia="黑体" w:cs="黑体"/>
          <w:b w:val="0"/>
          <w:bCs w:val="0"/>
          <w:sz w:val="32"/>
          <w:szCs w:val="30"/>
          <w:lang w:val="en-US" w:eastAsia="zh-CN"/>
        </w:rPr>
      </w:pPr>
      <w:r>
        <w:rPr>
          <w:rFonts w:hint="eastAsia" w:ascii="黑体" w:hAnsi="黑体" w:eastAsia="黑体" w:cs="黑体"/>
          <w:b w:val="0"/>
          <w:bCs w:val="0"/>
          <w:sz w:val="32"/>
          <w:szCs w:val="30"/>
          <w:lang w:val="en-US" w:eastAsia="zh-CN"/>
        </w:rPr>
        <w:t>运行维护有关要求</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afterLines="0" w:line="240" w:lineRule="auto"/>
        <w:ind w:leftChars="0" w:firstLine="632" w:firstLineChars="200"/>
        <w:textAlignment w:val="auto"/>
        <w:outlineLvl w:val="9"/>
        <w:rPr>
          <w:rFonts w:hint="eastAsia" w:ascii="仿宋" w:hAnsi="仿宋" w:eastAsia="仿宋" w:cs="仿宋"/>
          <w:b w:val="0"/>
          <w:bCs w:val="0"/>
          <w:sz w:val="32"/>
          <w:szCs w:val="30"/>
          <w:lang w:val="en-US" w:eastAsia="zh-CN"/>
        </w:rPr>
      </w:pPr>
      <w:r>
        <w:rPr>
          <w:rFonts w:hint="eastAsia" w:ascii="仿宋" w:hAnsi="仿宋" w:cs="仿宋"/>
          <w:b w:val="0"/>
          <w:bCs w:val="0"/>
          <w:sz w:val="32"/>
          <w:szCs w:val="30"/>
          <w:lang w:val="en-US" w:eastAsia="zh-CN"/>
        </w:rPr>
        <w:t>设备</w:t>
      </w:r>
      <w:r>
        <w:rPr>
          <w:rFonts w:hint="eastAsia" w:ascii="仿宋" w:hAnsi="仿宋" w:eastAsia="仿宋" w:cs="仿宋"/>
          <w:b w:val="0"/>
          <w:bCs w:val="0"/>
          <w:sz w:val="32"/>
          <w:szCs w:val="30"/>
          <w:lang w:val="en-US" w:eastAsia="zh-CN"/>
        </w:rPr>
        <w:t>出现故障时运维单位在8小时（工作时间）内立刻响应，并在24小时内解决所有故障</w:t>
      </w:r>
      <w:r>
        <w:rPr>
          <w:rFonts w:hint="eastAsia" w:ascii="仿宋" w:hAnsi="仿宋" w:cs="仿宋"/>
          <w:b w:val="0"/>
          <w:bCs w:val="0"/>
          <w:sz w:val="32"/>
          <w:szCs w:val="30"/>
          <w:lang w:val="en-US" w:eastAsia="zh-CN"/>
        </w:rPr>
        <w:t>，运行维护期间除人为原因导致设备损坏的，由中标单位负责维修或者更换，年数据上线率必须达到95%以上</w:t>
      </w:r>
      <w:r>
        <w:rPr>
          <w:rFonts w:hint="eastAsia" w:ascii="仿宋" w:hAnsi="仿宋" w:eastAsia="仿宋" w:cs="仿宋"/>
          <w:b w:val="0"/>
          <w:bCs w:val="0"/>
          <w:sz w:val="32"/>
          <w:szCs w:val="30"/>
          <w:lang w:val="en-US" w:eastAsia="zh-CN"/>
        </w:rPr>
        <w:t>。</w:t>
      </w:r>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ind w:leftChars="0" w:firstLine="632" w:firstLineChars="200"/>
        <w:jc w:val="left"/>
        <w:textAlignment w:val="auto"/>
        <w:outlineLvl w:val="3"/>
        <w:rPr>
          <w:rFonts w:hint="default" w:ascii="Times New Roman" w:hAnsi="Times New Roman" w:eastAsia="仿宋" w:cs="Times New Roman"/>
          <w:b w:val="0"/>
          <w:bCs w:val="0"/>
          <w:sz w:val="32"/>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32" w:firstLineChars="200"/>
        <w:textAlignment w:val="auto"/>
        <w:rPr>
          <w:rFonts w:hint="default"/>
          <w:lang w:val="en-US" w:eastAsia="zh-CN"/>
        </w:rPr>
      </w:pPr>
    </w:p>
    <w:sectPr>
      <w:pgSz w:w="11906" w:h="16838"/>
      <w:pgMar w:top="720" w:right="720" w:bottom="720" w:left="720" w:header="851" w:footer="1400"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2DA8D"/>
    <w:multiLevelType w:val="singleLevel"/>
    <w:tmpl w:val="C3A2DA8D"/>
    <w:lvl w:ilvl="0" w:tentative="0">
      <w:start w:val="1"/>
      <w:numFmt w:val="chineseCountingThousand"/>
      <w:suff w:val="nothing"/>
      <w:lvlText w:val="（%1）"/>
      <w:lvlJc w:val="left"/>
      <w:pPr>
        <w:tabs>
          <w:tab w:val="left" w:pos="420"/>
        </w:tabs>
        <w:ind w:left="0" w:leftChars="0" w:firstLine="0" w:firstLineChars="0"/>
      </w:pPr>
      <w:rPr>
        <w:rFonts w:hint="eastAsia"/>
      </w:rPr>
    </w:lvl>
  </w:abstractNum>
  <w:abstractNum w:abstractNumId="1">
    <w:nsid w:val="275B2CBE"/>
    <w:multiLevelType w:val="singleLevel"/>
    <w:tmpl w:val="275B2CBE"/>
    <w:lvl w:ilvl="0" w:tentative="0">
      <w:start w:val="1"/>
      <w:numFmt w:val="decimal"/>
      <w:suff w:val="nothing"/>
      <w:lvlText w:val="%1．"/>
      <w:lvlJc w:val="left"/>
      <w:pPr>
        <w:tabs>
          <w:tab w:val="left" w:pos="420"/>
        </w:tabs>
        <w:ind w:left="0" w:leftChars="0" w:firstLine="0" w:firstLineChars="0"/>
      </w:pPr>
    </w:lvl>
  </w:abstractNum>
  <w:abstractNum w:abstractNumId="2">
    <w:nsid w:val="3BD0E0AE"/>
    <w:multiLevelType w:val="singleLevel"/>
    <w:tmpl w:val="3BD0E0AE"/>
    <w:lvl w:ilvl="0" w:tentative="0">
      <w:start w:val="1"/>
      <w:numFmt w:val="decimal"/>
      <w:suff w:val="nothing"/>
      <w:lvlText w:val="%1．"/>
      <w:lvlJc w:val="left"/>
      <w:pPr>
        <w:tabs>
          <w:tab w:val="left" w:pos="420"/>
        </w:tabs>
        <w:ind w:left="0" w:leftChars="0" w:firstLine="0" w:firstLineChars="0"/>
      </w:pPr>
    </w:lvl>
  </w:abstractNum>
  <w:abstractNum w:abstractNumId="3">
    <w:nsid w:val="3E776399"/>
    <w:multiLevelType w:val="singleLevel"/>
    <w:tmpl w:val="3E776399"/>
    <w:lvl w:ilvl="0" w:tentative="0">
      <w:start w:val="1"/>
      <w:numFmt w:val="decimal"/>
      <w:suff w:val="nothing"/>
      <w:lvlText w:val="%1．"/>
      <w:lvlJc w:val="left"/>
      <w:pPr>
        <w:tabs>
          <w:tab w:val="left" w:pos="420"/>
        </w:tabs>
        <w:ind w:left="0" w:leftChars="0" w:firstLine="0" w:firstLineChars="0"/>
      </w:pPr>
    </w:lvl>
  </w:abstractNum>
  <w:abstractNum w:abstractNumId="4">
    <w:nsid w:val="67F6E824"/>
    <w:multiLevelType w:val="singleLevel"/>
    <w:tmpl w:val="67F6E824"/>
    <w:lvl w:ilvl="0" w:tentative="0">
      <w:start w:val="1"/>
      <w:numFmt w:val="chineseCountingThousand"/>
      <w:suff w:val="nothing"/>
      <w:lvlText w:val="%1、"/>
      <w:lvlJc w:val="left"/>
      <w:pPr>
        <w:tabs>
          <w:tab w:val="left" w:pos="420"/>
        </w:tabs>
        <w:ind w:left="0" w:leftChars="0" w:firstLine="0" w:firstLineChars="0"/>
      </w:pPr>
      <w:rPr>
        <w:rFonts w:hint="eastAsia" w:ascii="黑体" w:hAnsi="黑体" w:eastAsia="黑体" w:cs="黑体"/>
        <w:sz w:val="32"/>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2U5ZGVkMDUzODk1NDVlNjMwOGU5ZTQ1NzU4ZDEifQ=="/>
  </w:docVars>
  <w:rsids>
    <w:rsidRoot w:val="285B6A19"/>
    <w:rsid w:val="04EB2237"/>
    <w:rsid w:val="07F6155F"/>
    <w:rsid w:val="0C055B5A"/>
    <w:rsid w:val="0CAF54AF"/>
    <w:rsid w:val="10D94E4D"/>
    <w:rsid w:val="14C62622"/>
    <w:rsid w:val="1D982EBE"/>
    <w:rsid w:val="218D51B0"/>
    <w:rsid w:val="285B6A19"/>
    <w:rsid w:val="350F7500"/>
    <w:rsid w:val="3B915C99"/>
    <w:rsid w:val="3CC46B16"/>
    <w:rsid w:val="42FF4BD7"/>
    <w:rsid w:val="43EA44E9"/>
    <w:rsid w:val="48EF083D"/>
    <w:rsid w:val="4C0A5644"/>
    <w:rsid w:val="4EFB083B"/>
    <w:rsid w:val="58487D33"/>
    <w:rsid w:val="59F74048"/>
    <w:rsid w:val="6D2C5D41"/>
    <w:rsid w:val="73AD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宋体" w:asciiTheme="minorHAnsi" w:hAnsiTheme="minorHAnsi"/>
      <w:kern w:val="2"/>
      <w:sz w:val="32"/>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纯文本文章正文 + 左  0 字符"/>
    <w:basedOn w:val="1"/>
    <w:semiHidden/>
    <w:qFormat/>
    <w:uiPriority w:val="0"/>
    <w:pPr>
      <w:ind w:firstLine="560"/>
    </w:pPr>
    <w:rPr>
      <w:rFonts w:ascii="宋体" w:hAnsi="Courier New" w:cs="宋体"/>
      <w:szCs w:val="20"/>
    </w:rPr>
  </w:style>
  <w:style w:type="paragraph" w:styleId="4">
    <w:name w:val="caption"/>
    <w:basedOn w:val="1"/>
    <w:next w:val="1"/>
    <w:qFormat/>
    <w:uiPriority w:val="35"/>
    <w:rPr>
      <w:rFonts w:ascii="等线 Light" w:hAnsi="等线 Light" w:eastAsia="黑体" w:cs="Times New Roman"/>
      <w:sz w:val="20"/>
      <w:szCs w:val="20"/>
    </w:rPr>
  </w:style>
  <w:style w:type="paragraph" w:styleId="5">
    <w:name w:val="Body Text"/>
    <w:basedOn w:val="1"/>
    <w:qFormat/>
    <w:uiPriority w:val="0"/>
    <w:pPr>
      <w:spacing w:after="120" w:afterLines="0" w:afterAutospacing="0"/>
    </w:pPr>
  </w:style>
  <w:style w:type="character" w:customStyle="1" w:styleId="8">
    <w:name w:val="font41"/>
    <w:basedOn w:val="7"/>
    <w:qFormat/>
    <w:uiPriority w:val="0"/>
    <w:rPr>
      <w:rFonts w:hint="default" w:ascii="Times New Roman" w:hAnsi="Times New Roman" w:cs="Times New Roman"/>
      <w:color w:val="000000"/>
      <w:sz w:val="24"/>
      <w:szCs w:val="24"/>
      <w:u w:val="none"/>
    </w:rPr>
  </w:style>
  <w:style w:type="character" w:customStyle="1" w:styleId="9">
    <w:name w:val="font21"/>
    <w:basedOn w:val="7"/>
    <w:qFormat/>
    <w:uiPriority w:val="0"/>
    <w:rPr>
      <w:rFonts w:hint="eastAsia" w:ascii="仿宋" w:hAnsi="仿宋" w:eastAsia="仿宋" w:cs="仿宋"/>
      <w:color w:val="000000"/>
      <w:sz w:val="24"/>
      <w:szCs w:val="24"/>
      <w:u w:val="none"/>
    </w:rPr>
  </w:style>
  <w:style w:type="character" w:customStyle="1" w:styleId="10">
    <w:name w:val="font101"/>
    <w:basedOn w:val="7"/>
    <w:qFormat/>
    <w:uiPriority w:val="0"/>
    <w:rPr>
      <w:rFonts w:hint="default" w:ascii="Times New Roman" w:hAnsi="Times New Roman" w:cs="Times New Roman"/>
      <w:color w:val="000000"/>
      <w:sz w:val="28"/>
      <w:szCs w:val="28"/>
      <w:u w:val="none"/>
    </w:rPr>
  </w:style>
  <w:style w:type="character" w:customStyle="1" w:styleId="11">
    <w:name w:val="font12"/>
    <w:basedOn w:val="7"/>
    <w:qFormat/>
    <w:uiPriority w:val="0"/>
    <w:rPr>
      <w:rFonts w:hint="eastAsia" w:ascii="黑体" w:hAnsi="宋体" w:eastAsia="黑体" w:cs="黑体"/>
      <w:color w:val="000000"/>
      <w:sz w:val="28"/>
      <w:szCs w:val="28"/>
      <w:u w:val="none"/>
    </w:rPr>
  </w:style>
  <w:style w:type="character" w:customStyle="1" w:styleId="12">
    <w:name w:val="font71"/>
    <w:basedOn w:val="7"/>
    <w:qFormat/>
    <w:uiPriority w:val="0"/>
    <w:rPr>
      <w:rFonts w:hint="eastAsia" w:ascii="仿宋" w:hAnsi="仿宋" w:eastAsia="仿宋" w:cs="仿宋"/>
      <w:color w:val="000000"/>
      <w:sz w:val="22"/>
      <w:szCs w:val="22"/>
      <w:u w:val="none"/>
    </w:rPr>
  </w:style>
  <w:style w:type="character" w:customStyle="1" w:styleId="13">
    <w:name w:val="font51"/>
    <w:basedOn w:val="7"/>
    <w:qFormat/>
    <w:uiPriority w:val="0"/>
    <w:rPr>
      <w:rFonts w:hint="default" w:ascii="Times New Roman" w:hAnsi="Times New Roman" w:cs="Times New Roman"/>
      <w:color w:val="000000"/>
      <w:sz w:val="22"/>
      <w:szCs w:val="22"/>
      <w:u w:val="none"/>
    </w:rPr>
  </w:style>
  <w:style w:type="character" w:customStyle="1" w:styleId="14">
    <w:name w:val="font111"/>
    <w:basedOn w:val="7"/>
    <w:qFormat/>
    <w:uiPriority w:val="0"/>
    <w:rPr>
      <w:rFonts w:hint="default" w:ascii="Times New Roman" w:hAnsi="Times New Roman" w:cs="Times New Roman"/>
      <w:color w:val="000000"/>
      <w:sz w:val="22"/>
      <w:szCs w:val="22"/>
      <w:u w:val="none"/>
      <w:vertAlign w:val="superscript"/>
    </w:rPr>
  </w:style>
  <w:style w:type="character" w:customStyle="1" w:styleId="15">
    <w:name w:val="font91"/>
    <w:basedOn w:val="7"/>
    <w:qFormat/>
    <w:uiPriority w:val="0"/>
    <w:rPr>
      <w:rFonts w:hint="eastAsia" w:ascii="仿宋" w:hAnsi="仿宋" w:eastAsia="仿宋" w:cs="仿宋"/>
      <w:color w:val="000000"/>
      <w:sz w:val="21"/>
      <w:szCs w:val="21"/>
      <w:u w:val="none"/>
    </w:rPr>
  </w:style>
  <w:style w:type="character" w:customStyle="1" w:styleId="16">
    <w:name w:val="font8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4151</Words>
  <Characters>4791</Characters>
  <Lines>0</Lines>
  <Paragraphs>0</Paragraphs>
  <TotalTime>10</TotalTime>
  <ScaleCrop>false</ScaleCrop>
  <LinksUpToDate>false</LinksUpToDate>
  <CharactersWithSpaces>4803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2024-05-17T03:15:00Z</dcterms:created>
  <dc:creator>Lei</dc:creator>
  <cp:lastModifiedBy>心灵</cp:lastModifiedBy>
  <dcterms:modified xsi:type="dcterms:W3CDTF">2024-05-18T07:59:54Z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143990559B27421BABB20C491CC3DB16_13</vt:lpwstr>
  </property>
</Properties>
</file>