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after="0" w:line="360" w:lineRule="auto"/>
        <w:jc w:val="left"/>
        <w:rPr>
          <w:rFonts w:ascii="黑体" w:hAnsi="黑体" w:eastAsia="黑体" w:cs="黑体"/>
          <w:sz w:val="36"/>
          <w:szCs w:val="36"/>
        </w:rPr>
      </w:pPr>
      <w:r>
        <w:rPr>
          <w:rFonts w:hint="eastAsia" w:ascii="宋体" w:hAnsi="宋体" w:cs="宋体"/>
          <w:sz w:val="36"/>
          <w:szCs w:val="36"/>
        </w:rPr>
        <w:t>安全设备设备升级采购需求</w:t>
      </w:r>
      <w:bookmarkStart w:id="0" w:name="_GoBack"/>
      <w:bookmarkEnd w:id="0"/>
    </w:p>
    <w:p>
      <w:pPr>
        <w:keepNext w:val="0"/>
        <w:keepLines w:val="0"/>
        <w:pageBreakBefore w:val="0"/>
        <w:widowControl w:val="0"/>
        <w:kinsoku/>
        <w:wordWrap/>
        <w:overflowPunct/>
        <w:topLinePunct w:val="0"/>
        <w:bidi w:val="0"/>
        <w:adjustRightInd w:val="0"/>
        <w:snapToGrid/>
        <w:spacing w:line="360" w:lineRule="auto"/>
        <w:ind w:firstLine="482" w:firstLineChars="201"/>
        <w:textAlignment w:val="auto"/>
        <w:rPr>
          <w:sz w:val="24"/>
          <w:szCs w:val="24"/>
        </w:rPr>
      </w:pPr>
      <w:r>
        <w:rPr>
          <w:rFonts w:hint="eastAsia"/>
          <w:sz w:val="24"/>
          <w:szCs w:val="24"/>
        </w:rPr>
        <w:t xml:space="preserve"> 本项目采购内容为通辽日报社网络安全设备一年期软硬件升级包括但不仅限于至少两次的软件升级、远程技术支持，按需提供与相关安全设备的联动调测等，需要提供一年至少4次上门的设备安全巡检，以及安全专家7</w:t>
      </w:r>
      <w:r>
        <w:rPr>
          <w:sz w:val="24"/>
          <w:szCs w:val="24"/>
        </w:rPr>
        <w:t>*24</w:t>
      </w:r>
      <w:r>
        <w:rPr>
          <w:rFonts w:hint="eastAsia"/>
          <w:sz w:val="24"/>
          <w:szCs w:val="24"/>
        </w:rPr>
        <w:t>小时持续性监测，能够及时发现潜在的威胁并能够响应处置。</w:t>
      </w:r>
    </w:p>
    <w:p>
      <w:pPr>
        <w:keepNext w:val="0"/>
        <w:keepLines w:val="0"/>
        <w:pageBreakBefore w:val="0"/>
        <w:widowControl w:val="0"/>
        <w:kinsoku/>
        <w:wordWrap/>
        <w:overflowPunct/>
        <w:topLinePunct w:val="0"/>
        <w:bidi w:val="0"/>
        <w:snapToGrid/>
        <w:spacing w:line="360" w:lineRule="auto"/>
        <w:textAlignment w:val="auto"/>
        <w:rPr>
          <w:b/>
          <w:bCs/>
          <w:sz w:val="32"/>
          <w:szCs w:val="32"/>
        </w:rPr>
      </w:pPr>
      <w:r>
        <w:rPr>
          <w:rFonts w:hint="eastAsia"/>
          <w:b/>
          <w:bCs/>
          <w:sz w:val="32"/>
          <w:szCs w:val="32"/>
        </w:rPr>
        <w:t>设备软硬件升级内容与技术</w:t>
      </w:r>
      <w:r>
        <w:rPr>
          <w:b/>
          <w:bCs/>
          <w:sz w:val="32"/>
          <w:szCs w:val="32"/>
        </w:rPr>
        <w:t>要求</w:t>
      </w:r>
    </w:p>
    <w:p>
      <w:pPr>
        <w:pStyle w:val="2"/>
        <w:keepNext w:val="0"/>
        <w:keepLines w:val="0"/>
        <w:pageBreakBefore w:val="0"/>
        <w:widowControl w:val="0"/>
        <w:kinsoku/>
        <w:wordWrap/>
        <w:overflowPunct/>
        <w:topLinePunct w:val="0"/>
        <w:bidi w:val="0"/>
        <w:snapToGrid/>
        <w:spacing w:line="360" w:lineRule="auto"/>
        <w:ind w:firstLine="480" w:firstLineChars="200"/>
        <w:jc w:val="both"/>
        <w:textAlignment w:val="auto"/>
        <w:rPr>
          <w:szCs w:val="24"/>
        </w:rPr>
      </w:pPr>
      <w:r>
        <w:rPr>
          <w:szCs w:val="24"/>
        </w:rPr>
        <w:t>供应商需对硬件清单中提供</w:t>
      </w:r>
      <w:r>
        <w:rPr>
          <w:rFonts w:hint="eastAsia"/>
          <w:szCs w:val="24"/>
        </w:rPr>
        <w:t>整体的软硬件升级</w:t>
      </w:r>
      <w:r>
        <w:rPr>
          <w:szCs w:val="24"/>
        </w:rPr>
        <w:t>，保障硬件设备安全可靠运行，硬件设备清单附后，</w:t>
      </w:r>
      <w:r>
        <w:rPr>
          <w:rFonts w:hint="eastAsia"/>
          <w:szCs w:val="24"/>
        </w:rPr>
        <w:t>如软件升级</w:t>
      </w:r>
      <w:r>
        <w:rPr>
          <w:szCs w:val="24"/>
        </w:rPr>
        <w:t>产生的</w:t>
      </w:r>
      <w:r>
        <w:rPr>
          <w:rFonts w:hint="eastAsia"/>
          <w:szCs w:val="24"/>
        </w:rPr>
        <w:t>其他</w:t>
      </w:r>
      <w:r>
        <w:rPr>
          <w:szCs w:val="24"/>
        </w:rPr>
        <w:t>费用全部由供应商负责。</w:t>
      </w:r>
      <w:r>
        <w:rPr>
          <w:rFonts w:hint="eastAsia"/>
          <w:szCs w:val="24"/>
        </w:rPr>
        <w:t>设备软硬件升级内容及要求如下：</w:t>
      </w:r>
    </w:p>
    <w:tbl>
      <w:tblPr>
        <w:tblStyle w:val="8"/>
        <w:tblW w:w="54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hint="eastAsia" w:ascii="微软雅黑" w:hAnsi="微软雅黑" w:eastAsia="微软雅黑"/>
                <w:kern w:val="0"/>
                <w:sz w:val="24"/>
                <w:szCs w:val="24"/>
              </w:rPr>
              <w:t>序号</w:t>
            </w:r>
          </w:p>
        </w:tc>
        <w:tc>
          <w:tcPr>
            <w:tcW w:w="4687" w:type="pct"/>
            <w:vAlign w:val="center"/>
          </w:tcPr>
          <w:p>
            <w:pPr>
              <w:widowControl/>
              <w:jc w:val="center"/>
              <w:rPr>
                <w:rFonts w:ascii="微软雅黑" w:hAnsi="微软雅黑" w:eastAsia="微软雅黑"/>
                <w:kern w:val="0"/>
                <w:sz w:val="24"/>
                <w:szCs w:val="24"/>
              </w:rPr>
            </w:pPr>
            <w:r>
              <w:rPr>
                <w:rFonts w:hint="eastAsia" w:ascii="微软雅黑" w:hAnsi="微软雅黑" w:eastAsia="微软雅黑"/>
                <w:kern w:val="0"/>
                <w:sz w:val="24"/>
                <w:szCs w:val="24"/>
              </w:rPr>
              <w:t>服务内容与技术要求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hint="eastAsia" w:ascii="微软雅黑" w:hAnsi="微软雅黑" w:eastAsia="微软雅黑"/>
                <w:kern w:val="0"/>
                <w:sz w:val="24"/>
                <w:szCs w:val="24"/>
              </w:rPr>
              <w:t>1</w:t>
            </w:r>
          </w:p>
        </w:tc>
        <w:tc>
          <w:tcPr>
            <w:tcW w:w="4687" w:type="pct"/>
            <w:vAlign w:val="center"/>
          </w:tcPr>
          <w:p>
            <w:pPr>
              <w:widowControl/>
              <w:jc w:val="left"/>
              <w:rPr>
                <w:sz w:val="24"/>
                <w:szCs w:val="24"/>
              </w:rPr>
            </w:pPr>
            <w:r>
              <w:rPr>
                <w:rFonts w:hint="eastAsia"/>
                <w:sz w:val="24"/>
                <w:szCs w:val="24"/>
              </w:rPr>
              <w:t>供应商需提供所有设备1年的软件升级。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hint="eastAsia" w:ascii="微软雅黑" w:hAnsi="微软雅黑" w:eastAsia="微软雅黑"/>
                <w:kern w:val="0"/>
                <w:sz w:val="24"/>
                <w:szCs w:val="24"/>
              </w:rPr>
              <w:t>2</w:t>
            </w:r>
          </w:p>
        </w:tc>
        <w:tc>
          <w:tcPr>
            <w:tcW w:w="4687" w:type="pct"/>
            <w:vAlign w:val="center"/>
          </w:tcPr>
          <w:p>
            <w:pPr>
              <w:widowControl/>
              <w:jc w:val="left"/>
              <w:rPr>
                <w:sz w:val="24"/>
                <w:szCs w:val="24"/>
              </w:rPr>
            </w:pPr>
            <w:r>
              <w:rPr>
                <w:rFonts w:hint="eastAsia"/>
                <w:sz w:val="24"/>
                <w:szCs w:val="24"/>
              </w:rPr>
              <w:t>供应商需提供所有设备所包含的软件著作权登记证书。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ascii="微软雅黑" w:hAnsi="微软雅黑" w:eastAsia="微软雅黑"/>
                <w:kern w:val="0"/>
                <w:sz w:val="24"/>
                <w:szCs w:val="24"/>
              </w:rPr>
              <w:t>3</w:t>
            </w:r>
          </w:p>
        </w:tc>
        <w:tc>
          <w:tcPr>
            <w:tcW w:w="4687" w:type="pct"/>
            <w:vAlign w:val="center"/>
          </w:tcPr>
          <w:p>
            <w:pPr>
              <w:widowControl/>
              <w:jc w:val="left"/>
              <w:rPr>
                <w:rFonts w:ascii="微软雅黑" w:hAnsi="微软雅黑" w:eastAsia="微软雅黑"/>
                <w:kern w:val="0"/>
                <w:sz w:val="24"/>
                <w:szCs w:val="24"/>
              </w:rPr>
            </w:pPr>
            <w:r>
              <w:rPr>
                <w:sz w:val="24"/>
                <w:szCs w:val="24"/>
              </w:rPr>
              <w:t>设备巡检服务及设备相关系统软件的安装配置、升级、联调优化服务，技术人员定期对维保设备进行巡检，及时发现并处理安全漏洞和异常，提高设备的安全可靠。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ascii="微软雅黑" w:hAnsi="微软雅黑" w:eastAsia="微软雅黑"/>
                <w:kern w:val="0"/>
                <w:sz w:val="24"/>
                <w:szCs w:val="24"/>
              </w:rPr>
              <w:t>4</w:t>
            </w:r>
          </w:p>
        </w:tc>
        <w:tc>
          <w:tcPr>
            <w:tcW w:w="4687" w:type="pct"/>
            <w:vAlign w:val="center"/>
          </w:tcPr>
          <w:p>
            <w:pPr>
              <w:widowControl/>
              <w:adjustRightInd w:val="0"/>
              <w:snapToGrid w:val="0"/>
              <w:jc w:val="left"/>
              <w:rPr>
                <w:rFonts w:ascii="微软雅黑" w:hAnsi="微软雅黑" w:eastAsia="微软雅黑"/>
                <w:kern w:val="0"/>
                <w:sz w:val="24"/>
                <w:szCs w:val="24"/>
              </w:rPr>
            </w:pPr>
            <w:r>
              <w:rPr>
                <w:rFonts w:hint="eastAsia"/>
                <w:sz w:val="24"/>
                <w:szCs w:val="24"/>
              </w:rPr>
              <w:t>软件升级需提供</w:t>
            </w:r>
            <w:r>
              <w:rPr>
                <w:sz w:val="24"/>
                <w:szCs w:val="24"/>
              </w:rPr>
              <w:t>现场技术支持和远程技术支持，采购人可通过即时通讯工具、</w:t>
            </w:r>
            <w:r>
              <w:rPr>
                <w:rFonts w:hint="eastAsia"/>
                <w:sz w:val="24"/>
                <w:szCs w:val="24"/>
              </w:rPr>
              <w:t>4</w:t>
            </w:r>
            <w:r>
              <w:rPr>
                <w:sz w:val="24"/>
                <w:szCs w:val="24"/>
              </w:rPr>
              <w:t>00电话等形式咨询相关硬件问题，技术服务人员接到问题反馈后及时解答并处理。无法远程处理的提供上门处理服务。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12" w:type="pct"/>
            <w:vAlign w:val="center"/>
          </w:tcPr>
          <w:p>
            <w:pPr>
              <w:widowControl/>
              <w:adjustRightInd w:val="0"/>
              <w:snapToGrid w:val="0"/>
              <w:jc w:val="center"/>
              <w:rPr>
                <w:rFonts w:hint="eastAsia" w:ascii="微软雅黑" w:hAnsi="微软雅黑" w:eastAsia="微软雅黑"/>
                <w:kern w:val="0"/>
                <w:sz w:val="24"/>
                <w:szCs w:val="24"/>
                <w:lang w:eastAsia="zh-CN"/>
              </w:rPr>
            </w:pPr>
            <w:r>
              <w:rPr>
                <w:rFonts w:hint="eastAsia" w:ascii="微软雅黑" w:hAnsi="微软雅黑" w:eastAsia="微软雅黑"/>
                <w:kern w:val="0"/>
                <w:sz w:val="24"/>
                <w:szCs w:val="24"/>
                <w:lang w:val="en-US" w:eastAsia="zh-CN"/>
              </w:rPr>
              <w:t>5</w:t>
            </w:r>
          </w:p>
        </w:tc>
        <w:tc>
          <w:tcPr>
            <w:tcW w:w="4687" w:type="pct"/>
            <w:vAlign w:val="center"/>
          </w:tcPr>
          <w:p>
            <w:pPr>
              <w:widowControl/>
              <w:jc w:val="left"/>
              <w:rPr>
                <w:rFonts w:ascii="微软雅黑" w:hAnsi="微软雅黑" w:eastAsia="微软雅黑"/>
                <w:kern w:val="0"/>
                <w:sz w:val="24"/>
                <w:szCs w:val="24"/>
              </w:rPr>
            </w:pPr>
            <w:r>
              <w:rPr>
                <w:sz w:val="24"/>
                <w:szCs w:val="24"/>
              </w:rPr>
              <w:t>快速备件先行更换服务，在</w:t>
            </w:r>
            <w:r>
              <w:rPr>
                <w:rFonts w:hint="eastAsia"/>
                <w:sz w:val="24"/>
                <w:szCs w:val="24"/>
                <w:lang w:eastAsia="zh-CN"/>
              </w:rPr>
              <w:t>项目</w:t>
            </w:r>
            <w:r>
              <w:rPr>
                <w:rFonts w:hint="eastAsia"/>
                <w:sz w:val="24"/>
                <w:szCs w:val="24"/>
              </w:rPr>
              <w:t>区域</w:t>
            </w:r>
            <w:r>
              <w:rPr>
                <w:rFonts w:hint="eastAsia"/>
                <w:sz w:val="24"/>
                <w:szCs w:val="24"/>
                <w:lang w:eastAsia="zh-CN"/>
              </w:rPr>
              <w:t>设立</w:t>
            </w:r>
            <w:r>
              <w:rPr>
                <w:sz w:val="24"/>
                <w:szCs w:val="24"/>
              </w:rPr>
              <w:t>备件库，并提供硬件设备的备件计划清单，对出现故障的硬件设备根据问题等级做到快速修复处理。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ascii="微软雅黑" w:hAnsi="微软雅黑" w:eastAsia="微软雅黑"/>
                <w:kern w:val="0"/>
                <w:sz w:val="24"/>
                <w:szCs w:val="24"/>
              </w:rPr>
              <w:t>6</w:t>
            </w:r>
          </w:p>
        </w:tc>
        <w:tc>
          <w:tcPr>
            <w:tcW w:w="4687" w:type="pct"/>
            <w:vAlign w:val="center"/>
          </w:tcPr>
          <w:p>
            <w:pPr>
              <w:widowControl/>
              <w:jc w:val="left"/>
              <w:rPr>
                <w:sz w:val="24"/>
                <w:szCs w:val="24"/>
              </w:rPr>
            </w:pPr>
            <w:r>
              <w:rPr>
                <w:sz w:val="24"/>
                <w:szCs w:val="24"/>
              </w:rPr>
              <w:t>至少每季度提供一次联调优化服务、预防性服务、设备稳定性评估建议服务等</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ascii="微软雅黑" w:hAnsi="微软雅黑" w:eastAsia="微软雅黑"/>
                <w:kern w:val="0"/>
                <w:sz w:val="24"/>
                <w:szCs w:val="24"/>
              </w:rPr>
              <w:t>7</w:t>
            </w:r>
          </w:p>
        </w:tc>
        <w:tc>
          <w:tcPr>
            <w:tcW w:w="4687" w:type="pct"/>
            <w:vAlign w:val="center"/>
          </w:tcPr>
          <w:p>
            <w:pPr>
              <w:widowControl/>
              <w:jc w:val="left"/>
              <w:rPr>
                <w:sz w:val="24"/>
                <w:szCs w:val="24"/>
              </w:rPr>
            </w:pPr>
            <w:r>
              <w:rPr>
                <w:rFonts w:hint="eastAsia"/>
                <w:sz w:val="24"/>
                <w:szCs w:val="24"/>
              </w:rPr>
              <w:t>投标方需结合安全工具发现的资产信息，进行服务范围内资产的全面梳理，并将信息录入到安全运营平台中进行管理；当资产发生变更时，安全专家对变更信息进行确认与更新。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ascii="微软雅黑" w:hAnsi="微软雅黑" w:eastAsia="微软雅黑"/>
                <w:kern w:val="0"/>
                <w:sz w:val="24"/>
                <w:szCs w:val="24"/>
              </w:rPr>
              <w:t>8</w:t>
            </w:r>
          </w:p>
        </w:tc>
        <w:tc>
          <w:tcPr>
            <w:tcW w:w="4687" w:type="pct"/>
            <w:vAlign w:val="center"/>
          </w:tcPr>
          <w:p>
            <w:pPr>
              <w:widowControl/>
              <w:jc w:val="left"/>
              <w:rPr>
                <w:sz w:val="24"/>
                <w:szCs w:val="24"/>
              </w:rPr>
            </w:pPr>
            <w:r>
              <w:rPr>
                <w:rFonts w:hint="eastAsia"/>
                <w:sz w:val="24"/>
                <w:szCs w:val="24"/>
              </w:rPr>
              <w:t>投标方需提供客观的修复优先级指导，不能以脆弱性危害等级作为唯一的修复优先级排序依据。排序依据包含但不限于资产重要性、漏洞等级以及威胁情报（漏洞被利用的可能性）三个维度（提供脆弱性优先级排序截图，展示优先级排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ascii="微软雅黑" w:hAnsi="微软雅黑" w:eastAsia="微软雅黑"/>
                <w:kern w:val="0"/>
                <w:sz w:val="24"/>
                <w:szCs w:val="24"/>
              </w:rPr>
              <w:t>9</w:t>
            </w:r>
          </w:p>
        </w:tc>
        <w:tc>
          <w:tcPr>
            <w:tcW w:w="4687" w:type="pct"/>
            <w:vAlign w:val="center"/>
          </w:tcPr>
          <w:p>
            <w:pPr>
              <w:widowControl/>
              <w:rPr>
                <w:sz w:val="24"/>
                <w:szCs w:val="24"/>
              </w:rPr>
            </w:pPr>
            <w:r>
              <w:rPr>
                <w:rFonts w:hint="eastAsia"/>
                <w:sz w:val="24"/>
                <w:szCs w:val="24"/>
              </w:rPr>
              <w:t>软件升级后需支持面向招标方的安全态势展示，展示出当前招标方遭受的威胁事件信息以及脆弱性信息统计，并支持服务专家按照资产类别、威胁类型进行定制化筛选查看，能直观感受到招标方当前的风险态势情况。（提供服务平台漏洞表、事件表统计信息截图，并证明支持按照资产类别、威胁类型进行定制化筛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ascii="微软雅黑" w:hAnsi="微软雅黑" w:eastAsia="微软雅黑"/>
                <w:kern w:val="0"/>
                <w:sz w:val="24"/>
                <w:szCs w:val="24"/>
              </w:rPr>
              <w:t>10</w:t>
            </w:r>
          </w:p>
        </w:tc>
        <w:tc>
          <w:tcPr>
            <w:tcW w:w="4687" w:type="pct"/>
            <w:vAlign w:val="center"/>
          </w:tcPr>
          <w:p>
            <w:pPr>
              <w:widowControl/>
              <w:rPr>
                <w:sz w:val="24"/>
                <w:szCs w:val="24"/>
              </w:rPr>
            </w:pPr>
            <w:r>
              <w:rPr>
                <w:rFonts w:hint="eastAsia"/>
                <w:sz w:val="24"/>
                <w:szCs w:val="24"/>
              </w:rPr>
              <w:t>7*24小时持续安全专家值守服务，威胁发现及时响应。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ascii="微软雅黑" w:hAnsi="微软雅黑" w:eastAsia="微软雅黑"/>
                <w:kern w:val="0"/>
                <w:sz w:val="24"/>
                <w:szCs w:val="24"/>
              </w:rPr>
              <w:t>11</w:t>
            </w:r>
          </w:p>
        </w:tc>
        <w:tc>
          <w:tcPr>
            <w:tcW w:w="4687" w:type="pct"/>
            <w:vAlign w:val="center"/>
          </w:tcPr>
          <w:p>
            <w:pPr>
              <w:widowControl/>
              <w:rPr>
                <w:sz w:val="24"/>
                <w:szCs w:val="24"/>
              </w:rPr>
            </w:pPr>
            <w:r>
              <w:rPr>
                <w:sz w:val="24"/>
                <w:szCs w:val="24"/>
              </w:rPr>
              <w:t>供应商需提供有针对性的应急响应方案和售后服务方案。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hint="eastAsia" w:ascii="微软雅黑" w:hAnsi="微软雅黑" w:eastAsia="微软雅黑"/>
                <w:kern w:val="0"/>
                <w:sz w:val="24"/>
                <w:szCs w:val="24"/>
              </w:rPr>
              <w:t>1</w:t>
            </w:r>
            <w:r>
              <w:rPr>
                <w:rFonts w:ascii="微软雅黑" w:hAnsi="微软雅黑" w:eastAsia="微软雅黑"/>
                <w:kern w:val="0"/>
                <w:sz w:val="24"/>
                <w:szCs w:val="24"/>
              </w:rPr>
              <w:t>2</w:t>
            </w:r>
          </w:p>
        </w:tc>
        <w:tc>
          <w:tcPr>
            <w:tcW w:w="4687" w:type="pct"/>
            <w:vAlign w:val="center"/>
          </w:tcPr>
          <w:p>
            <w:pPr>
              <w:widowControl/>
              <w:rPr>
                <w:sz w:val="24"/>
                <w:szCs w:val="24"/>
              </w:rPr>
            </w:pPr>
            <w:r>
              <w:rPr>
                <w:rFonts w:hint="eastAsia"/>
                <w:sz w:val="24"/>
                <w:szCs w:val="24"/>
              </w:rPr>
              <w:t>投标方需提供不少于每月一次针对服务范围内的资产的系统脆弱性和Web漏洞进行全量扫描，并针对发现的脆弱性进行验证，验证脆弱性在已有的安全体系发生的风险及分析发生后可造成的危害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hint="eastAsia" w:ascii="微软雅黑" w:hAnsi="微软雅黑" w:eastAsia="微软雅黑"/>
                <w:kern w:val="0"/>
                <w:sz w:val="24"/>
                <w:szCs w:val="24"/>
              </w:rPr>
              <w:t>13</w:t>
            </w:r>
          </w:p>
        </w:tc>
        <w:tc>
          <w:tcPr>
            <w:tcW w:w="4687" w:type="pct"/>
            <w:vAlign w:val="center"/>
          </w:tcPr>
          <w:p>
            <w:pPr>
              <w:widowControl/>
              <w:rPr>
                <w:sz w:val="24"/>
                <w:szCs w:val="24"/>
              </w:rPr>
            </w:pPr>
            <w:r>
              <w:rPr>
                <w:rFonts w:hint="eastAsia"/>
                <w:sz w:val="24"/>
                <w:szCs w:val="24"/>
              </w:rPr>
              <w:t>实时监测网络安全状态，对攻击事件自动化生成工单，及时进行分析与预警。攻击事件包含境外黑客攻击事件、暴力破解攻击事件、持续攻击事件（提供安全事件（如暴力破解）的工单</w:t>
            </w:r>
            <w:r>
              <w:rPr>
                <w:rFonts w:hint="eastAsia"/>
                <w:sz w:val="24"/>
                <w:szCs w:val="24"/>
                <w:lang w:eastAsia="zh-Hans"/>
              </w:rPr>
              <w:t>举证</w:t>
            </w:r>
            <w:r>
              <w:rPr>
                <w:rFonts w:hint="eastAsia"/>
                <w:sz w:val="24"/>
                <w:szCs w:val="24"/>
              </w:rPr>
              <w:t>截图，需展示当前安全事件的处置状态）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hint="eastAsia" w:ascii="微软雅黑" w:hAnsi="微软雅黑" w:eastAsia="微软雅黑"/>
                <w:kern w:val="0"/>
                <w:sz w:val="24"/>
                <w:szCs w:val="24"/>
              </w:rPr>
              <w:t>14</w:t>
            </w:r>
          </w:p>
        </w:tc>
        <w:tc>
          <w:tcPr>
            <w:tcW w:w="4687" w:type="pct"/>
            <w:vAlign w:val="center"/>
          </w:tcPr>
          <w:p>
            <w:pPr>
              <w:widowControl/>
              <w:rPr>
                <w:sz w:val="24"/>
                <w:szCs w:val="24"/>
              </w:rPr>
            </w:pPr>
            <w:r>
              <w:rPr>
                <w:rFonts w:hint="eastAsia"/>
                <w:sz w:val="24"/>
                <w:szCs w:val="24"/>
              </w:rPr>
              <w:t>服务平台支持面向招标方的安全报告与交付物管理，可生成、导出、下载各类安全报告，包括但不限于《安全服务值守日报》、《特殊时期值守报告》、《安全运营周报》、《安全运营月报》。（投标方提供服务平台支持上述交付物管理界面的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hint="eastAsia" w:ascii="微软雅黑" w:hAnsi="微软雅黑" w:eastAsia="微软雅黑"/>
                <w:kern w:val="0"/>
                <w:sz w:val="24"/>
                <w:szCs w:val="24"/>
              </w:rPr>
              <w:t>15</w:t>
            </w:r>
          </w:p>
        </w:tc>
        <w:tc>
          <w:tcPr>
            <w:tcW w:w="4687" w:type="pct"/>
            <w:vAlign w:val="center"/>
          </w:tcPr>
          <w:p>
            <w:pPr>
              <w:widowControl/>
              <w:rPr>
                <w:sz w:val="24"/>
                <w:szCs w:val="24"/>
              </w:rPr>
            </w:pPr>
            <w:r>
              <w:rPr>
                <w:rFonts w:hint="eastAsia"/>
                <w:sz w:val="24"/>
                <w:szCs w:val="24"/>
              </w:rPr>
              <w:t>在配备投标方的边界防护服务组件和终端防护服务组件的情况下，运营服务对于重大安全事件的遏制影响和处置完成时间小于1小时，对于一般事件的遏制影响和处置完成时间小于4小时。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hint="eastAsia" w:ascii="微软雅黑" w:hAnsi="微软雅黑" w:eastAsia="微软雅黑"/>
                <w:kern w:val="0"/>
                <w:sz w:val="24"/>
                <w:szCs w:val="24"/>
              </w:rPr>
              <w:t>16</w:t>
            </w:r>
          </w:p>
        </w:tc>
        <w:tc>
          <w:tcPr>
            <w:tcW w:w="4687" w:type="pct"/>
            <w:vAlign w:val="center"/>
          </w:tcPr>
          <w:p>
            <w:pPr>
              <w:widowControl/>
              <w:rPr>
                <w:sz w:val="24"/>
                <w:szCs w:val="24"/>
              </w:rPr>
            </w:pPr>
            <w:r>
              <w:rPr>
                <w:rFonts w:hint="eastAsia"/>
                <w:sz w:val="24"/>
                <w:szCs w:val="24"/>
              </w:rPr>
              <w:t>最新漏洞预警与排查：投标方</w:t>
            </w:r>
            <w:r>
              <w:rPr>
                <w:rFonts w:hint="eastAsia"/>
                <w:sz w:val="24"/>
                <w:szCs w:val="24"/>
                <w:lang w:eastAsia="zh-Hans"/>
              </w:rPr>
              <w:t>在攻防演习期间提供专业的威胁情报服务</w:t>
            </w:r>
            <w:r>
              <w:rPr>
                <w:sz w:val="24"/>
                <w:szCs w:val="24"/>
                <w:lang w:eastAsia="zh-Hans"/>
              </w:rPr>
              <w:t>，</w:t>
            </w:r>
            <w:r>
              <w:rPr>
                <w:rFonts w:hint="eastAsia"/>
                <w:sz w:val="24"/>
                <w:szCs w:val="24"/>
              </w:rPr>
              <w:t>实时抓取互联网最新漏洞与详细资产信息进行匹配，对最新漏洞进行预警与排查。</w:t>
            </w:r>
            <w:r>
              <w:rPr>
                <w:rFonts w:hint="eastAsia"/>
                <w:sz w:val="24"/>
                <w:szCs w:val="24"/>
                <w:lang w:eastAsia="zh-Hans"/>
              </w:rPr>
              <w:t>应能支持对资产影响范围的自动监测与排查</w:t>
            </w:r>
            <w:r>
              <w:rPr>
                <w:sz w:val="24"/>
                <w:szCs w:val="24"/>
                <w:lang w:eastAsia="zh-Hans"/>
              </w:rPr>
              <w:t>（</w:t>
            </w:r>
            <w:r>
              <w:rPr>
                <w:rFonts w:hint="eastAsia"/>
                <w:sz w:val="24"/>
                <w:szCs w:val="24"/>
                <w:lang w:eastAsia="zh-Hans"/>
              </w:rPr>
              <w:t>提供服务平台或工具截图证明</w:t>
            </w:r>
            <w:r>
              <w:rPr>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hint="eastAsia" w:ascii="微软雅黑" w:hAnsi="微软雅黑" w:eastAsia="微软雅黑"/>
                <w:kern w:val="0"/>
                <w:sz w:val="24"/>
                <w:szCs w:val="24"/>
              </w:rPr>
              <w:t>17</w:t>
            </w:r>
          </w:p>
        </w:tc>
        <w:tc>
          <w:tcPr>
            <w:tcW w:w="4687" w:type="pct"/>
            <w:vAlign w:val="center"/>
          </w:tcPr>
          <w:p>
            <w:pPr>
              <w:widowControl/>
              <w:rPr>
                <w:sz w:val="24"/>
                <w:szCs w:val="24"/>
              </w:rPr>
            </w:pPr>
            <w:r>
              <w:rPr>
                <w:rFonts w:hint="eastAsia"/>
                <w:sz w:val="24"/>
                <w:szCs w:val="24"/>
              </w:rPr>
              <w:t>实时监测网络安全状态，</w:t>
            </w:r>
            <w:r>
              <w:rPr>
                <w:rFonts w:hint="eastAsia"/>
                <w:sz w:val="24"/>
                <w:szCs w:val="24"/>
                <w:lang w:eastAsia="zh-Hans"/>
              </w:rPr>
              <w:t>攻防演习期间</w:t>
            </w:r>
            <w:r>
              <w:rPr>
                <w:sz w:val="24"/>
                <w:szCs w:val="24"/>
                <w:lang w:eastAsia="zh-Hans"/>
              </w:rPr>
              <w:t>，</w:t>
            </w:r>
            <w:r>
              <w:rPr>
                <w:rFonts w:hint="eastAsia"/>
                <w:sz w:val="24"/>
                <w:szCs w:val="24"/>
                <w:lang w:eastAsia="zh-Hans"/>
              </w:rPr>
              <w:t>提供安全大数据分析平台和安全运营服务平台</w:t>
            </w:r>
            <w:r>
              <w:rPr>
                <w:sz w:val="24"/>
                <w:szCs w:val="24"/>
                <w:lang w:eastAsia="zh-Hans"/>
              </w:rPr>
              <w:t>，</w:t>
            </w:r>
            <w:r>
              <w:rPr>
                <w:rFonts w:hint="eastAsia"/>
                <w:sz w:val="24"/>
                <w:szCs w:val="24"/>
              </w:rPr>
              <w:t>对攻击事件自动化生成工单，及时进行分析与预警。攻击事件包含境外黑客攻击事件、暴力破解攻击事件、持续攻击事件</w:t>
            </w:r>
            <w:r>
              <w:rPr>
                <w:sz w:val="24"/>
                <w:szCs w:val="24"/>
              </w:rPr>
              <w:t>、</w:t>
            </w:r>
            <w:r>
              <w:rPr>
                <w:rFonts w:hint="eastAsia"/>
                <w:sz w:val="24"/>
                <w:szCs w:val="24"/>
                <w:lang w:eastAsia="zh-Hans"/>
              </w:rPr>
              <w:t>高级威胁事件等</w:t>
            </w:r>
            <w:r>
              <w:rPr>
                <w:rFonts w:hint="eastAsia"/>
                <w:sz w:val="24"/>
                <w:szCs w:val="24"/>
              </w:rPr>
              <w:t>（提供安全事件（如暴力破解）的工单截图）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hint="eastAsia" w:ascii="微软雅黑" w:hAnsi="微软雅黑" w:eastAsia="微软雅黑"/>
                <w:kern w:val="0"/>
                <w:sz w:val="24"/>
                <w:szCs w:val="24"/>
              </w:rPr>
              <w:t>18</w:t>
            </w:r>
          </w:p>
        </w:tc>
        <w:tc>
          <w:tcPr>
            <w:tcW w:w="4687" w:type="pct"/>
            <w:vAlign w:val="center"/>
          </w:tcPr>
          <w:p>
            <w:pPr>
              <w:widowControl/>
              <w:rPr>
                <w:sz w:val="24"/>
                <w:szCs w:val="24"/>
              </w:rPr>
            </w:pPr>
            <w:r>
              <w:rPr>
                <w:rFonts w:hint="eastAsia"/>
                <w:sz w:val="24"/>
                <w:szCs w:val="24"/>
                <w:lang w:eastAsia="zh-Hans"/>
              </w:rPr>
              <w:t>高级安全专家威胁狩猎</w:t>
            </w:r>
            <w:r>
              <w:rPr>
                <w:sz w:val="24"/>
                <w:szCs w:val="24"/>
                <w:lang w:eastAsia="zh-Hans"/>
              </w:rPr>
              <w:t>，</w:t>
            </w:r>
            <w:r>
              <w:rPr>
                <w:rFonts w:hint="eastAsia"/>
                <w:sz w:val="24"/>
                <w:szCs w:val="24"/>
                <w:lang w:eastAsia="zh-Hans"/>
              </w:rPr>
              <w:t>提供高级安全攻防专家在线值守服务</w:t>
            </w:r>
            <w:r>
              <w:rPr>
                <w:sz w:val="24"/>
                <w:szCs w:val="24"/>
                <w:lang w:eastAsia="zh-Hans"/>
              </w:rPr>
              <w:t>，</w:t>
            </w:r>
            <w:r>
              <w:rPr>
                <w:rFonts w:hint="eastAsia"/>
                <w:sz w:val="24"/>
                <w:szCs w:val="24"/>
                <w:lang w:eastAsia="zh-Hans"/>
              </w:rPr>
              <w:t>在安全运营服务平台自动生成安全威胁工单的基础上每两个小时进行一次人工威胁狩猎</w:t>
            </w:r>
            <w:r>
              <w:rPr>
                <w:sz w:val="24"/>
                <w:szCs w:val="24"/>
                <w:lang w:eastAsia="zh-Hans"/>
              </w:rPr>
              <w:t>，</w:t>
            </w:r>
            <w:r>
              <w:rPr>
                <w:rFonts w:hint="eastAsia"/>
                <w:sz w:val="24"/>
                <w:szCs w:val="24"/>
                <w:lang w:eastAsia="zh-Hans"/>
              </w:rPr>
              <w:t>主动全面的分析全网安全日志信息</w:t>
            </w:r>
            <w:r>
              <w:rPr>
                <w:sz w:val="24"/>
                <w:szCs w:val="24"/>
                <w:lang w:eastAsia="zh-Hans"/>
              </w:rPr>
              <w:t>，</w:t>
            </w:r>
            <w:r>
              <w:rPr>
                <w:rFonts w:hint="eastAsia"/>
                <w:sz w:val="24"/>
                <w:szCs w:val="24"/>
                <w:lang w:eastAsia="zh-Hans"/>
              </w:rPr>
              <w:t>提高有效攻击事件的检出率</w:t>
            </w:r>
            <w:r>
              <w:rPr>
                <w:sz w:val="24"/>
                <w:szCs w:val="24"/>
                <w:lang w:eastAsia="zh-Hans"/>
              </w:rPr>
              <w:t>，</w:t>
            </w:r>
            <w:r>
              <w:rPr>
                <w:rFonts w:hint="eastAsia"/>
                <w:sz w:val="24"/>
                <w:szCs w:val="24"/>
                <w:lang w:eastAsia="zh-Hans"/>
              </w:rPr>
              <w:t>服务方须承诺安全攻击事件产生到发现时间</w:t>
            </w:r>
            <w:r>
              <w:rPr>
                <w:sz w:val="24"/>
                <w:szCs w:val="24"/>
                <w:lang w:eastAsia="zh-Hans"/>
              </w:rPr>
              <w:t>&lt;=30</w:t>
            </w:r>
            <w:r>
              <w:rPr>
                <w:rFonts w:hint="eastAsia"/>
                <w:sz w:val="24"/>
                <w:szCs w:val="24"/>
                <w:lang w:eastAsia="zh-Hans"/>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312" w:type="pct"/>
            <w:vAlign w:val="center"/>
          </w:tcPr>
          <w:p>
            <w:pPr>
              <w:widowControl/>
              <w:adjustRightInd w:val="0"/>
              <w:snapToGrid w:val="0"/>
              <w:jc w:val="center"/>
              <w:rPr>
                <w:rFonts w:ascii="微软雅黑" w:hAnsi="微软雅黑" w:eastAsia="微软雅黑"/>
                <w:kern w:val="0"/>
                <w:sz w:val="24"/>
                <w:szCs w:val="24"/>
              </w:rPr>
            </w:pPr>
            <w:r>
              <w:rPr>
                <w:rFonts w:hint="eastAsia" w:ascii="微软雅黑" w:hAnsi="微软雅黑" w:eastAsia="微软雅黑"/>
                <w:kern w:val="0"/>
                <w:sz w:val="24"/>
                <w:szCs w:val="24"/>
              </w:rPr>
              <w:t>19</w:t>
            </w:r>
          </w:p>
        </w:tc>
        <w:tc>
          <w:tcPr>
            <w:tcW w:w="4687" w:type="pct"/>
            <w:vAlign w:val="center"/>
          </w:tcPr>
          <w:p>
            <w:pPr>
              <w:widowControl/>
              <w:rPr>
                <w:sz w:val="24"/>
                <w:szCs w:val="24"/>
              </w:rPr>
            </w:pPr>
            <w:r>
              <w:rPr>
                <w:rFonts w:hint="eastAsia"/>
                <w:sz w:val="24"/>
                <w:szCs w:val="24"/>
                <w:lang w:eastAsia="zh-Hans"/>
              </w:rPr>
              <w:t>防守对抗</w:t>
            </w:r>
            <w:r>
              <w:rPr>
                <w:sz w:val="24"/>
                <w:szCs w:val="24"/>
                <w:lang w:eastAsia="zh-Hans"/>
              </w:rPr>
              <w:t>：</w:t>
            </w:r>
            <w:r>
              <w:rPr>
                <w:rFonts w:hint="eastAsia"/>
                <w:sz w:val="24"/>
                <w:szCs w:val="24"/>
                <w:lang w:eastAsia="zh-Hans"/>
              </w:rPr>
              <w:t>服务提供方须提供高级安全专家对发现的安全攻击行为进行快速的源</w:t>
            </w:r>
            <w:r>
              <w:rPr>
                <w:sz w:val="24"/>
                <w:szCs w:val="24"/>
                <w:lang w:eastAsia="zh-Hans"/>
              </w:rPr>
              <w:t>IP</w:t>
            </w:r>
            <w:r>
              <w:rPr>
                <w:rFonts w:hint="eastAsia"/>
                <w:sz w:val="24"/>
                <w:szCs w:val="24"/>
                <w:lang w:eastAsia="zh-Hans"/>
              </w:rPr>
              <w:t>封锁或行为规则封锁</w:t>
            </w:r>
            <w:r>
              <w:rPr>
                <w:sz w:val="24"/>
                <w:szCs w:val="24"/>
                <w:lang w:eastAsia="zh-Hans"/>
              </w:rPr>
              <w:t>，</w:t>
            </w:r>
            <w:r>
              <w:rPr>
                <w:rFonts w:hint="eastAsia"/>
                <w:sz w:val="24"/>
                <w:szCs w:val="24"/>
                <w:lang w:eastAsia="zh-Hans"/>
              </w:rPr>
              <w:t>同时对安全组件上的安全策略进行动态调优工作，确保安全组件上的安全策略始终处于最优水平，实时动态的抵御攻击方的攻击行为</w:t>
            </w:r>
            <w:r>
              <w:rPr>
                <w:sz w:val="24"/>
                <w:szCs w:val="24"/>
                <w:lang w:eastAsia="zh-Hans"/>
              </w:rPr>
              <w:t>。</w:t>
            </w:r>
          </w:p>
        </w:tc>
      </w:tr>
    </w:tbl>
    <w:p>
      <w:pPr>
        <w:pStyle w:val="2"/>
      </w:pPr>
    </w:p>
    <w:p>
      <w:pPr>
        <w:pStyle w:val="2"/>
      </w:pPr>
    </w:p>
    <w:p>
      <w:pPr>
        <w:pStyle w:val="2"/>
      </w:pPr>
    </w:p>
    <w:p>
      <w:pPr>
        <w:pStyle w:val="2"/>
      </w:pPr>
    </w:p>
    <w:p>
      <w:pPr>
        <w:pStyle w:val="2"/>
      </w:pPr>
    </w:p>
    <w:p>
      <w:pPr>
        <w:pStyle w:val="2"/>
      </w:pPr>
    </w:p>
    <w:p>
      <w:pPr>
        <w:pStyle w:val="2"/>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7F0CEB"/>
    <w:multiLevelType w:val="multilevel"/>
    <w:tmpl w:val="567F0CEB"/>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mNTZkYjE4NjAyMDgyMmI4ODZmMDY2ZjhiN2NiOGQifQ=="/>
  </w:docVars>
  <w:rsids>
    <w:rsidRoot w:val="753E110C"/>
    <w:rsid w:val="000144DC"/>
    <w:rsid w:val="0003408A"/>
    <w:rsid w:val="000A38C2"/>
    <w:rsid w:val="000A6F7C"/>
    <w:rsid w:val="000E1ECF"/>
    <w:rsid w:val="001265BB"/>
    <w:rsid w:val="00155CD1"/>
    <w:rsid w:val="001D52C0"/>
    <w:rsid w:val="002E3719"/>
    <w:rsid w:val="003335FB"/>
    <w:rsid w:val="00360A4C"/>
    <w:rsid w:val="00363AE5"/>
    <w:rsid w:val="00472404"/>
    <w:rsid w:val="00484EFB"/>
    <w:rsid w:val="00492849"/>
    <w:rsid w:val="004F353E"/>
    <w:rsid w:val="0053157D"/>
    <w:rsid w:val="00555C96"/>
    <w:rsid w:val="00571C28"/>
    <w:rsid w:val="00572899"/>
    <w:rsid w:val="005A6A64"/>
    <w:rsid w:val="00635027"/>
    <w:rsid w:val="006400A2"/>
    <w:rsid w:val="00657595"/>
    <w:rsid w:val="006A4284"/>
    <w:rsid w:val="007732A0"/>
    <w:rsid w:val="007A03F2"/>
    <w:rsid w:val="007D5CEF"/>
    <w:rsid w:val="007E00B2"/>
    <w:rsid w:val="0085573F"/>
    <w:rsid w:val="00885423"/>
    <w:rsid w:val="008D09EC"/>
    <w:rsid w:val="009E07B1"/>
    <w:rsid w:val="00A014F7"/>
    <w:rsid w:val="00A1303F"/>
    <w:rsid w:val="00B4076F"/>
    <w:rsid w:val="00B47674"/>
    <w:rsid w:val="00CA60F9"/>
    <w:rsid w:val="00D36A0C"/>
    <w:rsid w:val="00D40C9D"/>
    <w:rsid w:val="00D77073"/>
    <w:rsid w:val="00DE2585"/>
    <w:rsid w:val="00E34E2B"/>
    <w:rsid w:val="00EC3881"/>
    <w:rsid w:val="00ED1E3C"/>
    <w:rsid w:val="07AE2A23"/>
    <w:rsid w:val="0A0160BC"/>
    <w:rsid w:val="0CC60780"/>
    <w:rsid w:val="0E431104"/>
    <w:rsid w:val="16D63D7C"/>
    <w:rsid w:val="17B84AE8"/>
    <w:rsid w:val="1A310B82"/>
    <w:rsid w:val="1A8A7F1A"/>
    <w:rsid w:val="1D5B1049"/>
    <w:rsid w:val="1FEF2321"/>
    <w:rsid w:val="226445BB"/>
    <w:rsid w:val="25D004BF"/>
    <w:rsid w:val="28F14044"/>
    <w:rsid w:val="2E595D80"/>
    <w:rsid w:val="2F234AE5"/>
    <w:rsid w:val="360A3AE4"/>
    <w:rsid w:val="3C1934F8"/>
    <w:rsid w:val="3CC24461"/>
    <w:rsid w:val="3D0A1494"/>
    <w:rsid w:val="49A5461D"/>
    <w:rsid w:val="49CB5771"/>
    <w:rsid w:val="55236E05"/>
    <w:rsid w:val="57004BFE"/>
    <w:rsid w:val="5E8D2BCF"/>
    <w:rsid w:val="62894684"/>
    <w:rsid w:val="645A5BAC"/>
    <w:rsid w:val="64CE5145"/>
    <w:rsid w:val="66DF6B36"/>
    <w:rsid w:val="679B0324"/>
    <w:rsid w:val="6CE16E6B"/>
    <w:rsid w:val="6F3C1D06"/>
    <w:rsid w:val="727B1B10"/>
    <w:rsid w:val="73A47011"/>
    <w:rsid w:val="753E110C"/>
    <w:rsid w:val="777A4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pageBreakBefore/>
      <w:numPr>
        <w:ilvl w:val="0"/>
        <w:numId w:val="1"/>
      </w:numPr>
      <w:adjustRightInd w:val="0"/>
      <w:spacing w:before="360"/>
      <w:jc w:val="left"/>
      <w:textAlignment w:val="baseline"/>
      <w:outlineLvl w:val="0"/>
    </w:pPr>
    <w:rPr>
      <w:rFonts w:ascii="Arial" w:hAnsi="Arial"/>
      <w:b/>
      <w:bCs/>
      <w:kern w:val="44"/>
      <w:sz w:val="36"/>
      <w:szCs w:val="36"/>
      <w:lang w:val="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hAnsi="宋体" w:cs="宋体"/>
      <w:color w:val="000000"/>
      <w:kern w:val="0"/>
      <w:sz w:val="24"/>
    </w:rPr>
  </w:style>
  <w:style w:type="paragraph" w:styleId="4">
    <w:name w:val="annotation text"/>
    <w:basedOn w:val="1"/>
    <w:link w:val="15"/>
    <w:unhideWhenUsed/>
    <w:qFormat/>
    <w:uiPriority w:val="99"/>
    <w:pPr>
      <w:jc w:val="left"/>
    </w:pPr>
    <w:rPr>
      <w:rFonts w:ascii="Calibri" w:hAnsi="Calibri"/>
      <w:szCs w:val="22"/>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jc w:val="center"/>
      <w:outlineLvl w:val="0"/>
    </w:pPr>
    <w:rPr>
      <w:rFonts w:ascii="Cambria" w:hAnsi="Cambria" w:eastAsia="方正小标宋简体"/>
      <w:b/>
      <w:bCs/>
      <w:sz w:val="32"/>
      <w:szCs w:val="32"/>
    </w:rPr>
  </w:style>
  <w:style w:type="character" w:styleId="10">
    <w:name w:val="annotation reference"/>
    <w:unhideWhenUsed/>
    <w:qFormat/>
    <w:uiPriority w:val="99"/>
    <w:rPr>
      <w:sz w:val="21"/>
      <w:szCs w:val="21"/>
    </w:rPr>
  </w:style>
  <w:style w:type="paragraph" w:styleId="11">
    <w:name w:val="List Paragraph"/>
    <w:basedOn w:val="1"/>
    <w:qFormat/>
    <w:uiPriority w:val="34"/>
    <w:pPr>
      <w:ind w:firstLine="420" w:firstLineChars="200"/>
    </w:pPr>
    <w:rPr>
      <w:rFonts w:ascii="等线" w:hAnsi="等线" w:eastAsia="等线"/>
      <w:szCs w:val="22"/>
    </w:rPr>
  </w:style>
  <w:style w:type="paragraph" w:customStyle="1" w:styleId="12">
    <w:name w:val="_Style 2"/>
    <w:basedOn w:val="1"/>
    <w:qFormat/>
    <w:uiPriority w:val="34"/>
    <w:pPr>
      <w:ind w:firstLine="420" w:firstLineChars="200"/>
    </w:pPr>
    <w:rPr>
      <w:rFonts w:ascii="等线" w:hAnsi="等线" w:eastAsia="等线"/>
      <w:szCs w:val="22"/>
    </w:rPr>
  </w:style>
  <w:style w:type="character" w:customStyle="1" w:styleId="13">
    <w:name w:val="页眉 字符"/>
    <w:basedOn w:val="9"/>
    <w:link w:val="6"/>
    <w:qFormat/>
    <w:uiPriority w:val="0"/>
    <w:rPr>
      <w:rFonts w:ascii="Times New Roman" w:hAnsi="Times New Roman" w:eastAsia="宋体" w:cs="Times New Roman"/>
      <w:kern w:val="2"/>
      <w:sz w:val="18"/>
      <w:szCs w:val="18"/>
    </w:rPr>
  </w:style>
  <w:style w:type="character" w:customStyle="1" w:styleId="14">
    <w:name w:val="页脚 字符"/>
    <w:basedOn w:val="9"/>
    <w:link w:val="5"/>
    <w:qFormat/>
    <w:uiPriority w:val="0"/>
    <w:rPr>
      <w:rFonts w:ascii="Times New Roman" w:hAnsi="Times New Roman" w:eastAsia="宋体" w:cs="Times New Roman"/>
      <w:kern w:val="2"/>
      <w:sz w:val="18"/>
      <w:szCs w:val="18"/>
    </w:rPr>
  </w:style>
  <w:style w:type="character" w:customStyle="1" w:styleId="15">
    <w:name w:val="批注文字 字符"/>
    <w:basedOn w:val="9"/>
    <w:link w:val="4"/>
    <w:qFormat/>
    <w:uiPriority w:val="99"/>
    <w:rPr>
      <w:rFonts w:ascii="Calibri" w:hAnsi="Calibri" w:eastAsia="宋体" w:cs="Times New Roman"/>
      <w:kern w:val="2"/>
      <w:sz w:val="21"/>
      <w:szCs w:val="22"/>
    </w:rPr>
  </w:style>
  <w:style w:type="paragraph" w:customStyle="1" w:styleId="16">
    <w:name w:val="Normal_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1835</Words>
  <Characters>1859</Characters>
  <Lines>23</Lines>
  <Paragraphs>6</Paragraphs>
  <TotalTime>5</TotalTime>
  <ScaleCrop>false</ScaleCrop>
  <LinksUpToDate>false</LinksUpToDate>
  <CharactersWithSpaces>1860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2022-11-23T07:35:00Z</dcterms:created>
  <dc:creator>☆康泽☆</dc:creator>
  <cp:lastModifiedBy>王璐</cp:lastModifiedBy>
  <dcterms:modified xsi:type="dcterms:W3CDTF">2022-11-25T11:14:57Z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CB8D1ADD7A7E44BA950113025CDE9186</vt:lpwstr>
  </property>
</Properties>
</file>