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/>
        <w:ind w:right="358" w:firstLine="3052" w:firstLineChars="1600"/>
        <w:jc w:val="both"/>
        <w:rPr>
          <w:rFonts w:cs="Mongolian Baiti"/>
          <w:b/>
          <w:bCs/>
          <w:sz w:val="19"/>
          <w:szCs w:val="19"/>
        </w:rPr>
      </w:pPr>
    </w:p>
    <w:tbl>
      <w:tblPr>
        <w:tblStyle w:val="11"/>
        <w:tblW w:w="8322" w:type="dxa"/>
        <w:tblInd w:w="2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251"/>
        <w:gridCol w:w="7691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80" w:type="dxa"/>
          </w:tcPr>
          <w:p>
            <w:pPr>
              <w:pStyle w:val="21"/>
              <w:spacing w:before="48"/>
              <w:ind w:left="126" w:right="114"/>
              <w:jc w:val="center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color w:val="666666"/>
                <w:sz w:val="21"/>
                <w:szCs w:val="21"/>
              </w:rPr>
              <w:t>参数性质</w:t>
            </w:r>
          </w:p>
        </w:tc>
        <w:tc>
          <w:tcPr>
            <w:tcW w:w="251" w:type="dxa"/>
          </w:tcPr>
          <w:p>
            <w:pPr>
              <w:pStyle w:val="21"/>
              <w:spacing w:before="48"/>
              <w:ind w:left="52" w:right="40"/>
              <w:jc w:val="center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color w:val="666666"/>
                <w:sz w:val="21"/>
                <w:szCs w:val="21"/>
              </w:rPr>
              <w:t>序号</w:t>
            </w:r>
          </w:p>
        </w:tc>
        <w:tc>
          <w:tcPr>
            <w:tcW w:w="7691" w:type="dxa"/>
          </w:tcPr>
          <w:p>
            <w:pPr>
              <w:pStyle w:val="21"/>
              <w:spacing w:before="48"/>
              <w:ind w:right="3588"/>
              <w:jc w:val="center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color w:val="666666"/>
                <w:w w:val="105"/>
                <w:sz w:val="21"/>
                <w:szCs w:val="21"/>
              </w:rPr>
              <w:t>具体技术</w:t>
            </w:r>
            <w:r>
              <w:rPr>
                <w:color w:val="666666"/>
                <w:w w:val="105"/>
                <w:sz w:val="21"/>
                <w:szCs w:val="21"/>
              </w:rPr>
              <w:t>(</w:t>
            </w:r>
            <w:r>
              <w:rPr>
                <w:rFonts w:hint="eastAsia"/>
                <w:color w:val="666666"/>
                <w:w w:val="105"/>
                <w:sz w:val="21"/>
                <w:szCs w:val="21"/>
              </w:rPr>
              <w:t>参数</w:t>
            </w:r>
            <w:r>
              <w:rPr>
                <w:color w:val="666666"/>
                <w:w w:val="105"/>
                <w:sz w:val="21"/>
                <w:szCs w:val="21"/>
              </w:rPr>
              <w:t>)</w:t>
            </w:r>
            <w:r>
              <w:rPr>
                <w:rFonts w:hint="eastAsia"/>
                <w:color w:val="666666"/>
                <w:w w:val="105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380" w:type="dxa"/>
            <w:shd w:val="clear" w:color="auto" w:fill="F6F6F6"/>
          </w:tcPr>
          <w:p>
            <w:pPr>
              <w:pStyle w:val="21"/>
              <w:rPr>
                <w:rFonts w:cs="Mongolian Baiti"/>
                <w:b/>
                <w:bCs/>
                <w:sz w:val="21"/>
                <w:szCs w:val="21"/>
              </w:rPr>
            </w:pPr>
          </w:p>
          <w:p>
            <w:pPr>
              <w:pStyle w:val="21"/>
              <w:rPr>
                <w:rFonts w:cs="Mongolian Baiti"/>
                <w:b/>
                <w:bCs/>
                <w:sz w:val="21"/>
                <w:szCs w:val="21"/>
              </w:rPr>
            </w:pPr>
          </w:p>
          <w:p>
            <w:pPr>
              <w:pStyle w:val="21"/>
              <w:rPr>
                <w:rFonts w:cs="Mongolian Baiti"/>
                <w:b/>
                <w:bCs/>
                <w:sz w:val="21"/>
                <w:szCs w:val="21"/>
              </w:rPr>
            </w:pPr>
          </w:p>
          <w:p>
            <w:pPr>
              <w:pStyle w:val="21"/>
              <w:ind w:left="16"/>
              <w:jc w:val="center"/>
              <w:rPr>
                <w:rFonts w:cs="Mongolian Baiti"/>
                <w:sz w:val="21"/>
                <w:szCs w:val="21"/>
              </w:rPr>
            </w:pPr>
          </w:p>
        </w:tc>
        <w:tc>
          <w:tcPr>
            <w:tcW w:w="251" w:type="dxa"/>
            <w:shd w:val="clear" w:color="auto" w:fill="F6F6F6"/>
          </w:tcPr>
          <w:p>
            <w:pPr>
              <w:pStyle w:val="21"/>
              <w:rPr>
                <w:rFonts w:cs="Mongolian Baiti"/>
                <w:b/>
                <w:bCs/>
                <w:sz w:val="21"/>
                <w:szCs w:val="21"/>
              </w:rPr>
            </w:pPr>
          </w:p>
          <w:p>
            <w:pPr>
              <w:pStyle w:val="21"/>
              <w:rPr>
                <w:rFonts w:cs="Mongolian Baiti"/>
                <w:b/>
                <w:bCs/>
                <w:sz w:val="21"/>
                <w:szCs w:val="21"/>
              </w:rPr>
            </w:pPr>
          </w:p>
          <w:p>
            <w:pPr>
              <w:pStyle w:val="21"/>
              <w:rPr>
                <w:rFonts w:cs="Mongolian Baiti"/>
                <w:b/>
                <w:bCs/>
                <w:sz w:val="21"/>
                <w:szCs w:val="21"/>
              </w:rPr>
            </w:pPr>
          </w:p>
          <w:p>
            <w:pPr>
              <w:pStyle w:val="21"/>
              <w:ind w:left="14"/>
              <w:jc w:val="center"/>
              <w:rPr>
                <w:rFonts w:cs="Mongolian Baiti"/>
                <w:sz w:val="21"/>
                <w:szCs w:val="21"/>
              </w:rPr>
            </w:pPr>
            <w:r>
              <w:rPr>
                <w:color w:val="666666"/>
                <w:w w:val="136"/>
                <w:sz w:val="21"/>
                <w:szCs w:val="21"/>
              </w:rPr>
              <w:t>1</w:t>
            </w:r>
          </w:p>
        </w:tc>
        <w:tc>
          <w:tcPr>
            <w:tcW w:w="7691" w:type="dxa"/>
            <w:shd w:val="clear" w:color="auto" w:fill="F6F6F6"/>
          </w:tcPr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、项目概述：为通辽市廉政教育中心提供安全可靠的全食品类供应，生产端确保源头质量安全；加工端确保食品绿色优质；运输端确保全程无菌无害。建立全程信息化可追溯平台，最大程度保障采购单位食品安全与营养健康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（一）所有食品必须符合国家《中华人民共和国食品安全法》和行业相关标准，具有食品经营许可证或食品生产许可证，对于质量有问题的食品要保证退货，并及时更换符合质量标准的食品。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（二）其他要求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、供应商应具有专业运输能力，确保按招标人要求及时送达；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、各类物品应分箱盛放、密封运输，做到定人、定时、定位；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、所供商品必须保证质量配送，质量不合格产品必须无条件退回并及时更换；合作期间若有质量及服务不合格、不满意的地方并拒不改正的，招标人可随时终止合同（具体标准以双方合同中约定为准）。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从业人员身体状况应符合卫生部门规定的食品行业健康标准，并定期进行体检，办理健康证，建立健康档案；从业人员应经过专业培训，熟悉卫生安全制度，掌握行业操作规程；从业人员应保持良好的个人卫生，操作前应进行卫生消毒，并按规定穿戴卫生、整洁的工作服、工作帽和口罩；遇有从业人员发热腹泻，皮肤伤口感染，咽部炎症等有碍食品卫生的病症，应立即脱离工作岗位，待查明原因，排除病症后，方可重新上岗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、配送公司要配置“配送专用车”，凭专用通行证进出。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、安全、质量要求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</w:rPr>
              <w:t>食材应由成交供应商组织专人按签订的合同完成配送，每次配送前车辆应进行严格清洗消毒。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</w:rPr>
              <w:t>按照国家粮食运输标准，运输工具应保持清洁、干燥、防雨、防潮、防污染，不得与有毒物、有害物、有异物或水分较高的物质混装。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6.3 </w:t>
            </w:r>
            <w:r>
              <w:rPr>
                <w:rFonts w:hint="eastAsia"/>
                <w:sz w:val="21"/>
                <w:szCs w:val="21"/>
              </w:rPr>
              <w:t>运输车辆货箱应密封上锁，同车除食品外严禁夹运其他物品和中途离车无人看护，防止食材在运输过程中受到污染破坏。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6.4 </w:t>
            </w:r>
            <w:r>
              <w:rPr>
                <w:rFonts w:hint="eastAsia"/>
                <w:sz w:val="21"/>
                <w:szCs w:val="21"/>
              </w:rPr>
              <w:t>每次配送到采购人单位的食品必须向采购人单位免费提供留样</w:t>
            </w:r>
            <w:r>
              <w:rPr>
                <w:sz w:val="21"/>
                <w:szCs w:val="21"/>
              </w:rPr>
              <w:t xml:space="preserve"> 1 </w:t>
            </w:r>
            <w:r>
              <w:rPr>
                <w:rFonts w:hint="eastAsia"/>
                <w:sz w:val="21"/>
                <w:szCs w:val="21"/>
              </w:rPr>
              <w:t>份（同一配送批次中有不同的生产批次，则每个生产批次留样</w:t>
            </w:r>
            <w:r>
              <w:rPr>
                <w:sz w:val="21"/>
                <w:szCs w:val="21"/>
              </w:rPr>
              <w:t xml:space="preserve"> 1 </w:t>
            </w:r>
            <w:r>
              <w:rPr>
                <w:rFonts w:hint="eastAsia"/>
                <w:sz w:val="21"/>
                <w:szCs w:val="21"/>
              </w:rPr>
              <w:t>份，每份不低于</w:t>
            </w:r>
            <w:r>
              <w:rPr>
                <w:sz w:val="21"/>
                <w:szCs w:val="21"/>
              </w:rPr>
              <w:t xml:space="preserve"> 100 </w:t>
            </w:r>
            <w:r>
              <w:rPr>
                <w:rFonts w:hint="eastAsia"/>
                <w:sz w:val="21"/>
                <w:szCs w:val="21"/>
              </w:rPr>
              <w:t>克），并完善留样相关记录。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6.5 </w:t>
            </w:r>
            <w:r>
              <w:rPr>
                <w:rFonts w:hint="eastAsia"/>
                <w:sz w:val="21"/>
                <w:szCs w:val="21"/>
              </w:rPr>
              <w:t>食材配送到采购人单位后，应规范装卸，防止剧烈碰撞引起产品外包装变形、破损。供应商须立即无条件更换运输过程中的破损产品，所需费用由供应商自行承担。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6.6 </w:t>
            </w:r>
            <w:r>
              <w:rPr>
                <w:rFonts w:hint="eastAsia"/>
                <w:sz w:val="21"/>
                <w:szCs w:val="21"/>
              </w:rPr>
              <w:t>必须保证食材保质期在食用时不得超过规定保质期的一半时间。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6.7 </w:t>
            </w:r>
            <w:r>
              <w:rPr>
                <w:rFonts w:hint="eastAsia"/>
                <w:sz w:val="21"/>
                <w:szCs w:val="21"/>
              </w:rPr>
              <w:t>成交供货商必须保证供货的食品安全、供货食品的及时、供货食品运输安全。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6.8 </w:t>
            </w:r>
            <w:r>
              <w:rPr>
                <w:rFonts w:hint="eastAsia"/>
                <w:sz w:val="21"/>
                <w:szCs w:val="21"/>
              </w:rPr>
              <w:t>供应商所供每一批次的生鲜类产品，必须经具有行政机关批准认可的第三方检测机构检测，并出具检测报告。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6.9 </w:t>
            </w:r>
            <w:r>
              <w:rPr>
                <w:rFonts w:hint="eastAsia"/>
                <w:sz w:val="21"/>
                <w:szCs w:val="21"/>
              </w:rPr>
              <w:t>因产品质量问题发生的食物安全事故，由供应商承担经济赔偿责任以及其他法律责任。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6.10</w:t>
            </w:r>
            <w:r>
              <w:rPr>
                <w:rFonts w:hint="eastAsia"/>
                <w:sz w:val="21"/>
                <w:szCs w:val="21"/>
              </w:rPr>
              <w:t>大米、面粉、食用油、肉类四大宗食必须具备国家规定的卫生许可证、产品质量监督检验报告、动物检疫合格证等证照。中标后的供应商在配送货物时向采购人提供正规发票、送货清单、收据等凭证。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6.11</w:t>
            </w:r>
            <w:r>
              <w:rPr>
                <w:rFonts w:hint="eastAsia"/>
                <w:sz w:val="21"/>
                <w:szCs w:val="21"/>
              </w:rPr>
              <w:t>条蔬菜、鲜货此类食品原料应根据每日菜单需求适量按单采购。采购量要求能满足</w:t>
            </w:r>
            <w:r>
              <w:rPr>
                <w:sz w:val="21"/>
                <w:szCs w:val="21"/>
              </w:rPr>
              <w:t>1-2</w:t>
            </w:r>
            <w:r>
              <w:rPr>
                <w:rFonts w:hint="eastAsia"/>
                <w:sz w:val="21"/>
                <w:szCs w:val="21"/>
              </w:rPr>
              <w:t>天的用量，入库后及时处理，按需要冷藏或冷冻存放。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6.12</w:t>
            </w:r>
            <w:r>
              <w:rPr>
                <w:rFonts w:hint="eastAsia"/>
                <w:sz w:val="21"/>
                <w:szCs w:val="21"/>
              </w:rPr>
              <w:t>对于不完全具备相关证照的某些食品原料、辅料供应商，如蔬菜类供应商，应坚持从具有合法经营资格的农贸市场的摊贩手中采购，以保证所采购的食品原料、辅料可以溯源。严禁采购路边货或其它无法溯源的食品原料、辅料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、供应商服务期内必须为使用单位开具正规发票，不得委托其他公司代开发票。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、配送食材范围包括采购单位食堂日常所需：米、面、杂粮、食用油、肉类、蔬菜、干货、调料、饮料等。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三、配送选择：由相关采购单位自主选择配送日常所需食材。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四、采购人对供应商送达的货物进行验收，若产品质量不合格或缺斤少两、不能按采购人要求供货等，采购人有权要求退货并给予警告、罚款或终止合同（具体处罚合同中约定）。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、付款方式：招标人会指派有关部门定期开展市场价格调查询价，掌握市场行情，监督采购行为。供应商在一个结算周期内需提供食材采购单价明细费用（货物单价含运输费等一切费用，不得单独列报），招标人按市场价格与供应商提供的每样食材的单价价格（投标文件中填报的食材单价）对比结算，每一样食材的结算单价不得超出招标人提供的市场询价单价价格。如供应商提供的结算单价低于市场询价单价价格，则按照供应商在投标文件中填报的食材单价予以结算；如供应商在投标文件中填报的食材单价高于市场询价单价价格，则以食材市场询价单价价格为结算价格，由招标人审核完毕后按月据实结算。招标人对所支出费用进行核实后，凭供应商开具的增值税发票支付款项（税款由供应商自行承担）。供应商保证所开具发票真实合法，否则因发票原因产生涉税风险，包括所补缴的税款、罚款、滞纳金等由供应商承担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六、报价应包括运输保险、各项税费及合同实施过程中的不可预见费等。</w:t>
            </w:r>
          </w:p>
          <w:p>
            <w:pPr>
              <w:spacing w:line="360" w:lineRule="auto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七、食材采购清单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质量标准要求：</w:t>
            </w:r>
          </w:p>
          <w:p>
            <w:pPr>
              <w:pStyle w:val="2"/>
              <w:ind w:firstLine="0" w:firstLineChars="0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）猪肉类</w:t>
            </w:r>
            <w:r>
              <w:rPr>
                <w:sz w:val="21"/>
                <w:szCs w:val="21"/>
              </w:rPr>
              <w:t>:1.</w:t>
            </w:r>
            <w:r>
              <w:rPr>
                <w:rFonts w:hint="eastAsia"/>
                <w:sz w:val="21"/>
                <w:szCs w:val="21"/>
              </w:rPr>
              <w:t>色泽鲜艳，无注水，表面有一层微干的薄膜，瘦肉新切面稍湿润，呈淡玫瑰色或淡红色</w:t>
            </w:r>
            <w:r>
              <w:rPr>
                <w:sz w:val="21"/>
                <w:szCs w:val="21"/>
              </w:rPr>
              <w:t>;2.</w:t>
            </w:r>
            <w:r>
              <w:rPr>
                <w:rFonts w:hint="eastAsia"/>
                <w:sz w:val="21"/>
                <w:szCs w:val="21"/>
              </w:rPr>
              <w:t>触摸有弹性，不粘手，指压不留陷窝</w:t>
            </w:r>
            <w:r>
              <w:rPr>
                <w:sz w:val="21"/>
                <w:szCs w:val="21"/>
              </w:rPr>
              <w:t>;3.</w:t>
            </w:r>
            <w:r>
              <w:rPr>
                <w:rFonts w:hint="eastAsia"/>
                <w:sz w:val="21"/>
                <w:szCs w:val="21"/>
              </w:rPr>
              <w:t>外表干净，皮毛清理干净，无异味，根据需要进行了改刀和加工</w:t>
            </w:r>
            <w:r>
              <w:rPr>
                <w:sz w:val="21"/>
                <w:szCs w:val="21"/>
              </w:rPr>
              <w:t>;4.</w:t>
            </w:r>
            <w:r>
              <w:rPr>
                <w:rFonts w:hint="eastAsia"/>
                <w:sz w:val="21"/>
                <w:szCs w:val="21"/>
              </w:rPr>
              <w:t>含水量检测值低于</w:t>
            </w:r>
            <w:r>
              <w:rPr>
                <w:sz w:val="21"/>
                <w:szCs w:val="21"/>
              </w:rPr>
              <w:t>77%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pStyle w:val="2"/>
              <w:ind w:firstLine="0" w:firstLineChars="0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）牛羊肉：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肌肉有光泽，色泽鲜红或深红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脂肪呈乳白色或黄色</w:t>
            </w:r>
            <w:r>
              <w:rPr>
                <w:sz w:val="21"/>
                <w:szCs w:val="21"/>
              </w:rPr>
              <w:t>;2.</w:t>
            </w:r>
            <w:r>
              <w:rPr>
                <w:rFonts w:hint="eastAsia"/>
                <w:sz w:val="21"/>
                <w:szCs w:val="21"/>
              </w:rPr>
              <w:t>外表微干有风干膜，不粘手</w:t>
            </w:r>
            <w:r>
              <w:rPr>
                <w:sz w:val="21"/>
                <w:szCs w:val="21"/>
              </w:rPr>
              <w:t>;3.</w:t>
            </w:r>
            <w:r>
              <w:rPr>
                <w:rFonts w:hint="eastAsia"/>
                <w:sz w:val="21"/>
                <w:szCs w:val="21"/>
              </w:rPr>
              <w:t>具有鲜牛羊肉正常气味</w:t>
            </w:r>
            <w:r>
              <w:rPr>
                <w:sz w:val="21"/>
                <w:szCs w:val="21"/>
              </w:rPr>
              <w:t>;4.</w:t>
            </w:r>
            <w:r>
              <w:rPr>
                <w:rFonts w:hint="eastAsia"/>
                <w:sz w:val="21"/>
                <w:szCs w:val="21"/>
              </w:rPr>
              <w:t>牛肉、羊肉含水量检测值分别低于</w:t>
            </w:r>
            <w:r>
              <w:rPr>
                <w:sz w:val="21"/>
                <w:szCs w:val="21"/>
              </w:rPr>
              <w:t>77%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78%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）禽类：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杜绝注水禽类</w:t>
            </w:r>
            <w:r>
              <w:rPr>
                <w:sz w:val="21"/>
                <w:szCs w:val="21"/>
              </w:rPr>
              <w:t>;2.</w:t>
            </w:r>
            <w:r>
              <w:rPr>
                <w:rFonts w:hint="eastAsia"/>
                <w:sz w:val="21"/>
                <w:szCs w:val="21"/>
              </w:rPr>
              <w:t>体表色泽洁白，肉质紧密，角膜有弹性，不粘手，指压不留陷窝</w:t>
            </w:r>
            <w:r>
              <w:rPr>
                <w:sz w:val="21"/>
                <w:szCs w:val="21"/>
              </w:rPr>
              <w:t>;3.</w:t>
            </w:r>
            <w:r>
              <w:rPr>
                <w:rFonts w:hint="eastAsia"/>
                <w:sz w:val="21"/>
                <w:szCs w:val="21"/>
              </w:rPr>
              <w:t>具有该禽类所固有的气味，无其他异味</w:t>
            </w:r>
            <w:r>
              <w:rPr>
                <w:sz w:val="21"/>
                <w:szCs w:val="21"/>
              </w:rPr>
              <w:t>;4.</w:t>
            </w:r>
            <w:r>
              <w:rPr>
                <w:rFonts w:hint="eastAsia"/>
                <w:sz w:val="21"/>
                <w:szCs w:val="21"/>
              </w:rPr>
              <w:t>腔内无杂物。</w:t>
            </w:r>
          </w:p>
          <w:p>
            <w:pPr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）水产类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鱼眼突出，角膜清晰透明</w:t>
            </w:r>
            <w:r>
              <w:rPr>
                <w:sz w:val="21"/>
                <w:szCs w:val="21"/>
              </w:rPr>
              <w:t>; 2.</w:t>
            </w:r>
            <w:r>
              <w:rPr>
                <w:rFonts w:hint="eastAsia"/>
                <w:sz w:val="21"/>
                <w:szCs w:val="21"/>
              </w:rPr>
              <w:t>体表面色泽鲜明，鱼鳞完整或稍有花鳞，鳞片紧粘皮上不易剥落，有透明粘液</w:t>
            </w:r>
            <w:r>
              <w:rPr>
                <w:sz w:val="21"/>
                <w:szCs w:val="21"/>
              </w:rPr>
              <w:t>;3.</w:t>
            </w:r>
            <w:r>
              <w:rPr>
                <w:rFonts w:hint="eastAsia"/>
                <w:sz w:val="21"/>
                <w:szCs w:val="21"/>
              </w:rPr>
              <w:t>鳃鲜红，鳃丝鲜红或紫红，鳃盖禁闭易揭开，肉质坚实，有弹性，骨肉不分离</w:t>
            </w:r>
            <w:r>
              <w:rPr>
                <w:sz w:val="21"/>
                <w:szCs w:val="21"/>
              </w:rPr>
              <w:t>; 4.</w:t>
            </w:r>
            <w:r>
              <w:rPr>
                <w:rFonts w:hint="eastAsia"/>
                <w:sz w:val="21"/>
                <w:szCs w:val="21"/>
              </w:rPr>
              <w:t>淡水鱼实行活鱼供应，具有鲜鱼固有的鲜明色泽，年度透明，</w:t>
            </w:r>
            <w:r>
              <w:rPr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具有鲜鱼虾的正常腥味；无异臭味。</w:t>
            </w:r>
          </w:p>
          <w:p>
            <w:pPr>
              <w:pStyle w:val="2"/>
              <w:ind w:firstLine="0" w:firstLineChars="0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）果蔬类：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果实整洁，成熟度适中，无裂果及空洞现象，茄果不能有裂蒂及果皮变硬现象，无虫害，无疤点，无断裂，无腐烂、异味。根茎类：无虫咬、发芽、发霉现象，表皮细致光滑，肉质脆嫩致密新鲜，无腐烂、裂痕、糠心、异味，不带泥沙，不带茎叶和须根。葱蒜类：允许葱、青蒜类保留干净须根，葱、蒜、韭菜不带老叶，蒜头、洋葱去根去枯叶，可食部分新鲜幼嫩，无腐烂、异味。水生菜类：肉质嫩，成孰度适中，无腐烂、异味，无明显机械伤，不带泥土和杂质，不干瘪，芽苗类：芽苗幼嫩，不带豆壳杂质，新鲜，不浸水，无腐烂、异味。水果类：产品新鲜，有水果应有的颜色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发育充分，无刀伤，无腐烂部位，无农药气味，无臭味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农药残留不超标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成箱包装的品相大小保持一致。</w:t>
            </w:r>
          </w:p>
          <w:p>
            <w:pPr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）预包装食品类：日期新鲜、至少提前保质期到期</w:t>
            </w:r>
            <w:r>
              <w:rPr>
                <w:sz w:val="21"/>
                <w:szCs w:val="21"/>
              </w:rPr>
              <w:t>1/3</w:t>
            </w:r>
            <w:r>
              <w:rPr>
                <w:rFonts w:hint="eastAsia"/>
                <w:sz w:val="21"/>
                <w:szCs w:val="21"/>
              </w:rPr>
              <w:t>期限，瓶装无破损、泄露，袋装无破损。无明显污渍，散装食品类：外观新鲜、无发霉、无异味，二次包装干净整洁，无浸水，无明显污渍。</w:t>
            </w:r>
          </w:p>
          <w:p>
            <w:pPr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）冻货类：无明显腐败或久死上冻现象，冰层不能过厚，以净重：毛重≥</w:t>
            </w:r>
            <w:r>
              <w:rPr>
                <w:sz w:val="21"/>
                <w:szCs w:val="21"/>
              </w:rPr>
              <w:t>80%</w:t>
            </w:r>
            <w:r>
              <w:rPr>
                <w:rFonts w:hint="eastAsia"/>
                <w:sz w:val="21"/>
                <w:szCs w:val="21"/>
              </w:rPr>
              <w:t>为宜。</w:t>
            </w:r>
          </w:p>
          <w:p>
            <w:pPr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）鸡蛋：蛋壳清洁完整，色泽鲜明，无破损、裂纹，无毒斑，灯光透视时，整个蛋呈桔黄色至橙红色，蛋黄不见或略见阴影，没有霉味、酸味，臭味等不良气味，打开后蛋黄凸起、完整、有韧性，蛋白澄清、透明、稀稠分明，无异味。</w:t>
            </w:r>
          </w:p>
          <w:p>
            <w:pPr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）牛奶及果汁咖啡，品牌袋装奶或拼装奶，距出厂日期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天以内且按照家要求保存条件储存未超出保质期，色泽乳白，有纯奶的鲜香味，果汁：甜味温和、纯正、无异味，产品外包装完整。咖啡、奶茶：香气浓郁、无异味、口感好，外包装无破损，日期新鲜。</w:t>
            </w:r>
          </w:p>
          <w:p>
            <w:pPr>
              <w:pStyle w:val="2"/>
              <w:ind w:firstLine="0" w:firstLineChars="0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）调料：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无霉变和虫蛀鼠咬现象</w:t>
            </w:r>
            <w:r>
              <w:rPr>
                <w:sz w:val="21"/>
                <w:szCs w:val="21"/>
              </w:rPr>
              <w:t>;2.</w:t>
            </w:r>
            <w:r>
              <w:rPr>
                <w:rFonts w:hint="eastAsia"/>
                <w:sz w:val="21"/>
                <w:szCs w:val="21"/>
              </w:rPr>
              <w:t>无臭味，货品新鲜，色泽正常</w:t>
            </w:r>
            <w:r>
              <w:rPr>
                <w:sz w:val="21"/>
                <w:szCs w:val="21"/>
              </w:rPr>
              <w:t>;3.</w:t>
            </w:r>
            <w:r>
              <w:rPr>
                <w:rFonts w:hint="eastAsia"/>
                <w:sz w:val="21"/>
                <w:szCs w:val="21"/>
              </w:rPr>
              <w:t>无“三无”产品，货品在保质期以内，外包装清洁卫生、无破损，包装上的商品名称、厂址、规格、生产日期、质保期等信息与内容物相符，标示清晰，批次号清楚等</w:t>
            </w:r>
            <w:r>
              <w:rPr>
                <w:sz w:val="21"/>
                <w:szCs w:val="21"/>
              </w:rPr>
              <w:t>;4</w:t>
            </w:r>
            <w:r>
              <w:rPr>
                <w:rFonts w:hint="eastAsia"/>
                <w:sz w:val="21"/>
                <w:szCs w:val="21"/>
              </w:rPr>
              <w:t>经食品检验检疫合格，调料成分符合国家卫生标准。</w:t>
            </w:r>
          </w:p>
          <w:p>
            <w:pPr>
              <w:pStyle w:val="2"/>
              <w:ind w:firstLine="0" w:firstLineChars="0"/>
              <w:rPr>
                <w:rFonts w:cs="Mongolian Bait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）米面粮油：内外包装应完整卫生，无受潮，无破漏，真空包装无漏气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膨胀情况，内包装物应无破损，货品形状完好无损，包装材料应符合相应的国家标准。商品标示、产品名称、配料表、净含量、生产商名称和地址、生产许可证编号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许可商品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，执行标准，生产日期、储存条件、保质期，有质量等级也需标示。保质期商品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保质期在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个月以上，收货日期距保质期仍有</w:t>
            </w:r>
            <w:r>
              <w:rPr>
                <w:sz w:val="21"/>
                <w:szCs w:val="21"/>
              </w:rPr>
              <w:t>2/3</w:t>
            </w:r>
            <w:r>
              <w:rPr>
                <w:rFonts w:hint="eastAsia"/>
                <w:sz w:val="21"/>
                <w:szCs w:val="21"/>
              </w:rPr>
              <w:t>或以上，保质期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个月以下，收货日期距保质期仍有</w:t>
            </w:r>
            <w:r>
              <w:rPr>
                <w:sz w:val="21"/>
                <w:szCs w:val="21"/>
              </w:rPr>
              <w:t>1/2</w:t>
            </w:r>
            <w:r>
              <w:rPr>
                <w:rFonts w:hint="eastAsia"/>
                <w:sz w:val="21"/>
                <w:szCs w:val="21"/>
              </w:rPr>
              <w:t>或以上。储运环境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环境卫生无异味，温度符合相应产品要求的储存条件，运输过程中应防潮。防曝晒，防雨淋，防污染，不得与有害有毒物品混装混运。冷藏品</w:t>
            </w:r>
            <w:r>
              <w:rPr>
                <w:sz w:val="21"/>
                <w:szCs w:val="21"/>
              </w:rPr>
              <w:t>:0-10</w:t>
            </w:r>
            <w:r>
              <w:rPr>
                <w:rFonts w:hint="eastAsia"/>
                <w:sz w:val="21"/>
                <w:szCs w:val="21"/>
              </w:rPr>
              <w:t>℃，无冷链曾断裂的痕迹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如包装膨账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。大米应米粒饱满，洁净有光泽，米中无杂质，无发霉、生虫等变质现象，每一批次大米要有质检报告。小米色泽均匀，呈金黄色，富有光泽；有一股小米的正常气味，无杂质，无发霉、生虫等变质现象。面粉颜色正常，每一批次面粉要有质检报告，油类无酸味、焦糊及其他异味，色泽透明均匀，不含异物，每一批次油类采购要有质检报告。</w:t>
            </w:r>
          </w:p>
        </w:tc>
      </w:tr>
    </w:tbl>
    <w:p>
      <w:pPr>
        <w:rPr>
          <w:rFonts w:cs="Mongolian Bait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9177E"/>
    <w:multiLevelType w:val="singleLevel"/>
    <w:tmpl w:val="0719177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VhYmZhOWNmYWNkMWM4MmJmMTliMDg2NzdkMWQxODQifQ=="/>
  </w:docVars>
  <w:rsids>
    <w:rsidRoot w:val="00F214E0"/>
    <w:rsid w:val="0018115D"/>
    <w:rsid w:val="00673C2B"/>
    <w:rsid w:val="00875022"/>
    <w:rsid w:val="00875817"/>
    <w:rsid w:val="008E1B85"/>
    <w:rsid w:val="00A82811"/>
    <w:rsid w:val="00F214E0"/>
    <w:rsid w:val="187309B3"/>
    <w:rsid w:val="5C8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mn-Mong-CN"/>
    </w:rPr>
  </w:style>
  <w:style w:type="paragraph" w:styleId="4">
    <w:name w:val="heading 1"/>
    <w:basedOn w:val="1"/>
    <w:next w:val="1"/>
    <w:link w:val="13"/>
    <w:qFormat/>
    <w:uiPriority w:val="99"/>
    <w:pPr>
      <w:spacing w:before="73"/>
      <w:ind w:left="490" w:right="2764" w:hanging="1321"/>
      <w:outlineLvl w:val="0"/>
    </w:pPr>
    <w:rPr>
      <w:b/>
      <w:bCs/>
      <w:sz w:val="38"/>
      <w:szCs w:val="38"/>
    </w:rPr>
  </w:style>
  <w:style w:type="paragraph" w:styleId="5">
    <w:name w:val="heading 2"/>
    <w:basedOn w:val="1"/>
    <w:next w:val="1"/>
    <w:link w:val="14"/>
    <w:qFormat/>
    <w:uiPriority w:val="99"/>
    <w:pPr>
      <w:ind w:left="271" w:right="359"/>
      <w:jc w:val="center"/>
      <w:outlineLvl w:val="1"/>
    </w:pPr>
    <w:rPr>
      <w:b/>
      <w:bCs/>
      <w:sz w:val="29"/>
      <w:szCs w:val="29"/>
    </w:rPr>
  </w:style>
  <w:style w:type="paragraph" w:styleId="6">
    <w:name w:val="heading 3"/>
    <w:basedOn w:val="1"/>
    <w:next w:val="1"/>
    <w:link w:val="15"/>
    <w:qFormat/>
    <w:uiPriority w:val="99"/>
    <w:pPr>
      <w:ind w:left="490"/>
      <w:jc w:val="center"/>
      <w:outlineLvl w:val="2"/>
    </w:pPr>
    <w:rPr>
      <w:sz w:val="29"/>
      <w:szCs w:val="29"/>
    </w:rPr>
  </w:style>
  <w:style w:type="paragraph" w:styleId="7">
    <w:name w:val="heading 4"/>
    <w:basedOn w:val="1"/>
    <w:next w:val="1"/>
    <w:link w:val="16"/>
    <w:qFormat/>
    <w:uiPriority w:val="99"/>
    <w:pPr>
      <w:ind w:left="100"/>
      <w:outlineLvl w:val="3"/>
    </w:pPr>
    <w:rPr>
      <w:b/>
      <w:bCs/>
      <w:sz w:val="19"/>
      <w:szCs w:val="19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18"/>
    <w:qFormat/>
    <w:uiPriority w:val="99"/>
    <w:pPr>
      <w:spacing w:after="0"/>
      <w:ind w:firstLine="420" w:firstLineChars="100"/>
    </w:pPr>
    <w:rPr>
      <w:sz w:val="19"/>
      <w:szCs w:val="19"/>
    </w:rPr>
  </w:style>
  <w:style w:type="paragraph" w:styleId="3">
    <w:name w:val="Body Text"/>
    <w:basedOn w:val="1"/>
    <w:link w:val="17"/>
    <w:qFormat/>
    <w:uiPriority w:val="99"/>
    <w:pPr>
      <w:spacing w:after="120"/>
    </w:p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annotation text"/>
    <w:basedOn w:val="1"/>
    <w:link w:val="19"/>
    <w:semiHidden/>
    <w:qFormat/>
    <w:uiPriority w:val="99"/>
  </w:style>
  <w:style w:type="paragraph" w:styleId="10">
    <w:name w:val="Normal (Web)"/>
    <w:basedOn w:val="1"/>
    <w:qFormat/>
    <w:uiPriority w:val="99"/>
    <w:rPr>
      <w:sz w:val="24"/>
      <w:szCs w:val="24"/>
    </w:rPr>
  </w:style>
  <w:style w:type="character" w:customStyle="1" w:styleId="13">
    <w:name w:val="Heading 1 Char"/>
    <w:basedOn w:val="12"/>
    <w:link w:val="4"/>
    <w:qFormat/>
    <w:locked/>
    <w:uiPriority w:val="99"/>
    <w:rPr>
      <w:rFonts w:ascii="宋体" w:hAnsi="宋体" w:eastAsia="宋体" w:cs="宋体"/>
      <w:b/>
      <w:bCs/>
      <w:kern w:val="0"/>
      <w:sz w:val="38"/>
      <w:szCs w:val="38"/>
    </w:rPr>
  </w:style>
  <w:style w:type="character" w:customStyle="1" w:styleId="14">
    <w:name w:val="Heading 2 Char"/>
    <w:basedOn w:val="12"/>
    <w:link w:val="5"/>
    <w:qFormat/>
    <w:locked/>
    <w:uiPriority w:val="99"/>
    <w:rPr>
      <w:rFonts w:ascii="宋体" w:hAnsi="宋体" w:eastAsia="宋体" w:cs="宋体"/>
      <w:b/>
      <w:bCs/>
      <w:kern w:val="0"/>
      <w:sz w:val="29"/>
      <w:szCs w:val="29"/>
    </w:rPr>
  </w:style>
  <w:style w:type="character" w:customStyle="1" w:styleId="15">
    <w:name w:val="Heading 3 Char"/>
    <w:basedOn w:val="12"/>
    <w:link w:val="6"/>
    <w:qFormat/>
    <w:locked/>
    <w:uiPriority w:val="99"/>
    <w:rPr>
      <w:rFonts w:ascii="宋体" w:hAnsi="宋体" w:eastAsia="宋体" w:cs="宋体"/>
      <w:kern w:val="0"/>
      <w:sz w:val="29"/>
      <w:szCs w:val="29"/>
    </w:rPr>
  </w:style>
  <w:style w:type="character" w:customStyle="1" w:styleId="16">
    <w:name w:val="Heading 4 Char"/>
    <w:basedOn w:val="12"/>
    <w:link w:val="7"/>
    <w:qFormat/>
    <w:locked/>
    <w:uiPriority w:val="99"/>
    <w:rPr>
      <w:rFonts w:ascii="宋体" w:hAnsi="宋体" w:eastAsia="宋体" w:cs="宋体"/>
      <w:b/>
      <w:bCs/>
      <w:kern w:val="0"/>
      <w:sz w:val="19"/>
      <w:szCs w:val="19"/>
    </w:rPr>
  </w:style>
  <w:style w:type="character" w:customStyle="1" w:styleId="17">
    <w:name w:val="Body Text Char"/>
    <w:basedOn w:val="12"/>
    <w:link w:val="3"/>
    <w:semiHidden/>
    <w:qFormat/>
    <w:locked/>
    <w:uiPriority w:val="99"/>
    <w:rPr>
      <w:rFonts w:ascii="宋体" w:hAnsi="宋体" w:eastAsia="宋体" w:cs="宋体"/>
      <w:kern w:val="0"/>
      <w:sz w:val="22"/>
      <w:szCs w:val="22"/>
    </w:rPr>
  </w:style>
  <w:style w:type="character" w:customStyle="1" w:styleId="18">
    <w:name w:val="Body Text First Indent Char"/>
    <w:basedOn w:val="17"/>
    <w:link w:val="2"/>
    <w:qFormat/>
    <w:locked/>
    <w:uiPriority w:val="99"/>
    <w:rPr>
      <w:sz w:val="19"/>
      <w:szCs w:val="19"/>
    </w:rPr>
  </w:style>
  <w:style w:type="character" w:customStyle="1" w:styleId="19">
    <w:name w:val="Comment Text Char"/>
    <w:basedOn w:val="12"/>
    <w:link w:val="9"/>
    <w:qFormat/>
    <w:locked/>
    <w:uiPriority w:val="99"/>
    <w:rPr>
      <w:rFonts w:ascii="宋体" w:hAnsi="宋体" w:eastAsia="宋体" w:cs="宋体"/>
      <w:kern w:val="0"/>
      <w:sz w:val="22"/>
      <w:szCs w:val="22"/>
    </w:rPr>
  </w:style>
  <w:style w:type="paragraph" w:customStyle="1" w:styleId="20">
    <w:name w:val="List Paragraph1"/>
    <w:basedOn w:val="1"/>
    <w:qFormat/>
    <w:uiPriority w:val="99"/>
    <w:pPr>
      <w:spacing w:line="228" w:lineRule="exact"/>
      <w:ind w:left="312" w:hanging="506"/>
    </w:pPr>
  </w:style>
  <w:style w:type="paragraph" w:customStyle="1" w:styleId="21">
    <w:name w:val="Table Paragraph"/>
    <w:basedOn w:val="1"/>
    <w:qFormat/>
    <w:uiPriority w:val="99"/>
  </w:style>
  <w:style w:type="table" w:customStyle="1" w:styleId="22">
    <w:name w:val="Table Normal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3495</Words>
  <Characters>3582</Characters>
  <Lines>0</Lines>
  <Paragraphs>0</Paragraphs>
  <TotalTime>5</TotalTime>
  <ScaleCrop>false</ScaleCrop>
  <LinksUpToDate>false</LinksUpToDate>
  <CharactersWithSpaces>3599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xb21cn</dc:creator>
  <cp:lastModifiedBy>有钳任性的小螃蟹</cp:lastModifiedBy>
  <dcterms:modified xsi:type="dcterms:W3CDTF">2023-07-12T08:42:16Z</dcterms:modified>
  <dc:title>参数性质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A196BE76A2764FA088807107DBC2D74A_12</vt:lpwstr>
  </property>
</Properties>
</file>