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1320"/>
        <w:gridCol w:w="660"/>
        <w:gridCol w:w="5029"/>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62"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第三包技术参数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标的名称</w:t>
            </w:r>
          </w:p>
        </w:tc>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参数性质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具体技术(参数)要求</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口蹄疫病毒A型竞争ELISA抗体检测试剂盒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1.用途：检测猪、牛、羊血清中的口蹄疫病毒A型抗体。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2.竞争ELISA方法。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3.试剂盒规格：2*96孔板/盒，5*96孔板/盒。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盒主要组成：FMDV-A竞争包被板、FMDV-A竞争酶结合物、FMDV-A竞争样品稀释液、FMDV-A竞争阴性对照、FMDV-A竞争阳性对照、显色液A、显色液B、终止液、固体洗液、自封袋、封板膜、说明书、加样槽、血清稀释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5.一步法，反应时长小于等于45分钟。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6.结果判定：如果S/N值＜0.6，样品应判定为抗体阴性。如果S/N值≥0.6，样品应判定为抗体阳性。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7.储藏与有效期：2～8℃保存，有效期12个月。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8.生产厂家具有经农业农村部核发的《兽药GMP证书》和《兽药生产许可证》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9.提供产品生产厂家新兽药证书及批准文号（扫描件加盖公章）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口蹄疫病毒O型竞争ELISA抗体检测试剂盒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1.用途：检测猪、牛、羊血清中的口蹄疫病毒O型抗体。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2.竞争ELISA方法。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3.试剂盒规格：2*96孔板/盒，5*96孔板/盒。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盒主要组成：FMDV-O竞争包被板、FMDV-O竞争酶结合物、FMDV-O竞争样品稀释液、FMDV-O竞争阴性对照、FMDV-O竞争阳性对照、显色液A、显色液B、终止液、固体洗液、自封袋、封板膜、说明书、加样槽、血清稀释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5.一步法，反应时长小于等于45分钟。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6.结果判定：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如果S/N值＜0.4，样品应判定为抗体阴性。如果S/N值≥0.4，样品应判定为抗体阳性。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7.储藏与有效期：2～8℃保存，有效期12个月。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8.生产厂家具有经农业农村部核发的《兽药GMP证书》和《兽药生产许可证》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9.提供产品生产厂家新兽药证书及批准文号（扫描件加盖公章）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口蹄疫荧光RT-PCR检测试剂盒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1.用于定性检测偶蹄动物的病灶处水疱、淋巴液、鼻腔分泌物、粪便等样本中的口蹄疫病毒核酸。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2.试剂盒批内变异＜3%，批间变异＜3%；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3.内控样本敏感性100%、综合敏感性＞98%。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4.特异性100%。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5.最低检测限103 copies/ml。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6.含有完成检测过程所需全部试剂。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7.使用CT值和扩增曲线共同判定结果。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8.-20℃保存，有效期至少12个月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9.规格：50T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生产厂家具有兽药生产许可证和兽药GMP证书。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11.产品通过口蹄疫国家参考/专业/区域实验室验证，提供生产厂家的复印件或扫描件证明材料。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口蹄疫VP1抗体ELISA检测试剂盒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1.采用间接ELISA方法。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2.用于检测猪血清中的口蹄疫O型VP1抗体。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3.每块96孔板可检测92份样品。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4.试剂盒批内变异＜3%，批间变异＜3%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5.敏感性、特异性均＞95%。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6.组份齐全（包被板、酶结合物、阳性对照、阴性对照、样品稀释液、显色液A、显色液B、终止液、浓缩洗涤液、封板膜、说明书、自封袋、加样槽），液体试剂使用不同颜色，便于区分。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7.试验结果阴、阳性对照成立。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8.结果判定对样品OD值使用S/P计算，通过临界值定性判定抗体情况。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9.试剂盒2-8℃可保存至少12个月。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10.规格：2*96T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11.生产厂家具有《兽药GMP证书》和《兽药生产许可证》。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高致病性禽流感荧光RT-PCR检测试剂盒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1.用于定性检测高致病性禽流感病毒核酸。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2.试剂盒批内变异＜3%，批间变异＜3%；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3.内控样本敏感性100%、综合敏感性＞98%、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4.特异性100%.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5.最低检测限103 copies/ml。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6.含有完成检测过程所需全部试剂。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7.使用CT值和扩增曲线共同判定结果。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8.-20℃保存，有效期至少12个月。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9.规格：50T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10.生产厂家具有《兽药GMP证书》和《兽药生产许可证》。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小反刍兽疫抗体ELISA检测试剂盒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1.采用竞争ELISA方法，用于检测检测羊血清中小反刍兽疫病毒抗体。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2.试剂盒组成：包被板、酶结合物、阳性对照、阴性对照、显色液A、显色液B、终止液、浓缩洗液（25×）、封板膜、说明书、自封袋、加样槽、产品说明书1份。液体试剂使用不同颜色，便于区分。规格：2*96T。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3.试剂盒批内变异＜3%，批间变异＜3%，效期稳定性变幅＜8%；敏感性、特异性均＞95%。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4.判定标准：计算S/N值，S/N=（阴性对照OD450nm平均值-样品OD450nm值）/（阴性对照OD450nm平均值-阳性对照OD450nm平均值）；如果S/N值＜0.4，样品应判定为抗体阴性；如果S/N值≥0.4，样品应判定为抗体阳性。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5.试剂盒2-8℃可至少保存12个月。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小反刍兽疫荧光RT-PCR检测试剂盒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1.采用TaqMan探针法实时荧光RT-PCR技术定性检测小反刍动物的鼻腔拭子、口腔拭子、眼拭子以及淋巴结、脾、肾、直肠、结肠、肺等组织样本中的小反刍兽疫病毒（PPRV），检测结果可用于PPRV感染的辅助诊断。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2.对仪器设备要求较低，能广泛用于实验室各种荧光PCR仪器。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3.试剂盒组成：阴性对照1管；阳性对照1管；PCR反应液1管；产品说明书1份。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4.最低检测限103 copies/ml。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5.试剂盒批内变异＜3%，批间变异＜3%，效期稳定性变幅＜5%；内控样本敏感性100%、综合敏感性＞98%、特异性100%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6.反应程序：在每个循环第二步，收集荧光信号，共45个循环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7.选择FAM为信号采集通道，淬灭集团选择None，染料矫正选择None。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8.反应体系：总体系25μL，PCR反应液20μL；样品/阴性对照/阳性对照5μL。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9.试剂有效期：≥12个月。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10、规格：50T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猪瘟抗体检测试剂盒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1.采用间接ELISA方法，用于检测猪血清中的猪瘟病毒抗体。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2.试剂盒组成：包被板、酶结合物、阳性对照、阴性对照、样品稀释液、显色液A、显色液B、终止液、浓缩洗液（25×）、封板膜、说明书、自封袋、加样槽、产品说明书1份。液体试剂使用不同颜色，便于区分。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3.规格：2*96T。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4.试剂盒批内变异＜3%，批间变异＜3%，效期稳定性变幅＜8%；敏感性、特异性均＞95%。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5.判定标准：S为样品OD450nm值，P为阳性对照OD450nm平均值。计算S/P值，如果S/P值＜0.5，样品应判定为抗体阴性；如果S/P值≥0.5，样品应判定为抗体阳性。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6.试剂盒2-8℃可至少保存12个月。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猪瘟病毒荧光RT-PCR检测试剂盒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1.采用TaqMan探针法实时荧光RT-PCR技术定性检测猪血液、鼻腔拭子、口腔拭子以及肌肉、淋巴结、脾、肾、肺等样本中的猪瘟病毒（CSFV），检测结果可用于CSFV感染的辅助诊断。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2.对仪器设备要求较低，能广泛用于实验室各种荧光PCR仪器。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3.试剂盒组成：阴性对照1管；阳性对照1管；PCR反应液1管；产品说明书1份。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4.最低检测限103 copies/ml。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5.试剂盒批内变异＜3%，批间变异＜3%，效期稳定性变幅＜5%；内控样本敏感性100%、综合敏感性＞98%、特异性100%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6.反应程序：在每个循环第二步，收集荧光信号，共45个循环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7.选择FAM为信号采集通道，淬灭集团选择None，染料矫正选择None。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8.反应体系：总体系25μL，PCR反应液20μL；样品/阴性对照/阳性对照5μL。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9.试剂有效期：≥12个月。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10.规格：50T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猪繁殖与呼吸综合征抗体检测试剂盒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1.采用间接ELISA方法，用于检测猪血清中的猪繁殖与呼吸综合征病毒抗体。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2.试剂盒组成：包被板、酶结合物、阳性对照、阴性对照、样品稀释液、显色液A、显色液B、终止液、浓缩洗液、封板膜、说明书、自封袋、加样槽、产品说明书1份。液体试剂使用不同颜色，便于区分。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3.规格：2*96T。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4.试剂盒批内变异＜3%，批间变异＜3%，效期稳定性变幅＜8%；敏感性、特异性均＞95%。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5.判定标准：S为样品OD450nm值，P为阳性对照OD450nm平均值。计算S/P值，如果S/P值＜0.3，样品应判定为抗体阴性；如果S/P值≥0.3，样品应判定为抗体阳性。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6.试剂盒2-8℃可至少保存12个月。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猪繁殖与呼吸综合征荧光RT-PCR检测试剂盒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1.采用TaqMan探针法实时荧光RT-PCR技术定性检测猪血清、血浆、唾液、鼻拭子及组织等样本中的猪繁殖与呼吸综合病毒（PRRSV），检测结果可用于PRRSV感染的辅助诊断。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2.对仪器设备要求较低，能广泛用于实验室各种荧光PCR仪器。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3.试剂盒组成：阴性对照1管；阳性对照1管；PCR反应液1管；酶混合液1管；内标1管；产品说明书1份。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4.最低检测限103 copies/ml。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5.试剂盒批内变异＜3%，批间变异＜3%，效期稳定性变幅＜5%；内控样本敏感性100%、综合敏感性＞98%、特异性100%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6.反应程序：在每个循环第二步，收集荧光信号，共45个循环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7.选择FAM为高致病性猪繁殖与呼吸综合征病毒信号采集通道，HEX/VIC为内标信号采集通道,淬灭集团选择None，染料矫正选择None。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8.反应体系：总体系25μL，PCR反应液19μL；酶混合液1μL；内标0.5μL；样品/阴性对照/阳性对照5μL。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9.试剂有效期：≥12个月。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10、规格：50T。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牛结节性皮肤病荧光PCR检 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1.采用TaqMan探针法实时荧光PCR技术定性检测牛皮肤结节或结痂周围组织病料，唾液、口腔或鼻腔拭子、牛奶、精液、血液中的牛结节性皮肤病病毒（LSDV），检测结果可用于LSDV感染的辅助诊断。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2.对仪器设备要求较低，能广泛用于实验室各种荧光PCR仪器。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3.试剂盒组成：阴性对照1管；阳性对照1管；PCR反应液1管；产品说明书1份。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4.最低检测限103 copies/ml。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5.试剂盒批内变异＜3%，批间变异＜3%，效期稳定性变幅＜5%；内控样本敏感性100%、综合敏感性＞98%、特异性100%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6.反应程序：在每个循环第二步，收集荧光信号，共45个循环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7.选择FAM为信号采集通道，淬灭集团选择None，染料矫正选择None。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8.反应体系：总体系25μL，PCR反应液20μL；样品/阴性对照/阳性对照5μL。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9.试剂有效期：≥12个月。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10.规格：50T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鸡新城疫抗体检测试剂盒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采用间接ELISA方法。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用于检测禽类血清中新城疫病毒抗体。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每块96孔板可检测至少92份样品。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试剂盒批内变异＜3%，批间变异＜3%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5.敏感性、特异性均＞95%。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组份齐全（包被板、酶结合物、阳性对照、阴性对照、样品稀释液、显色液A、显色液B、终止液、浓缩洗涤液、封板膜、说明书、自封袋、加样槽），液体试剂使用不同颜色，便于区分。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试验结果阴、阳性对照成立。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结果判定对样品OD值使用S/P计算，通过临界值定性判定抗体情况。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试剂盒2-8℃可至少保存12个月。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10.规格：2*96T。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鸡新城疫荧光RT-PCR检测试剂盒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1.适用于检测禽类组织、血液、拭子等样品中的新城疫病毒核酸。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2.试剂盒组成：RT-qPCR扩增反应液850μL/管、阴性对照50μL/管、阳性对照50μL/管。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3.反应总体系为20μL。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4.反应程序：50℃5分钟，95℃预变性1分钟；95℃变性10秒，60℃退火延伸20秒，共40个循环，在每一循环的60℃时收集FAM荧光信号。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5.采用荧光PCR检测方法，最低检出限：1-5copies/μL；特异性：100%；批内及批间差异≤3%。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6.适用于天隆、伯乐、ABI等多种荧光PCR仪。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7.试剂盒规格：50T/盒。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8.有效期为12个月。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9.储存条件：-20℃保存。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非洲猪瘟抗体试剂盒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1.用于检测猪血清或血浆样品中非洲猪瘟病毒抗体；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2.试剂盒组分：抗原包被板、阴性对照、阳性对照、酶工作液、显色A液、显色B液、终止液、20×浓缩洗涤液、样品稀释液等；规格：2*96T/盒；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3.孵育条件：37℃ 30min，37℃ 30min，37℃ 10min；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4.样品加入后出现变色反应；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5.使用方便，除洗涤液外，其余试剂均为即用型；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6.保存条件：2～8℃保存；有效期为12个月；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7.每盒试剂应附详细使用说明书；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非洲猪瘟荧光PCR试剂盒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1.用于血液、血球粉、淋巴结、脾脏、扁桃体中非洲猪瘟病毒核酸的检测。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2.含有完成扩增过程所需全部试剂。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3.反应体系25ul。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4.反应参数设置：FAM通道收集荧光信号。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第一阶段，预变性95℃/120秒。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第二阶段，95℃/10秒，60℃/30秒共45个循环。荧光收集在第二阶段每次循环的60℃延伸时进行。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5.使用CT值和扩增曲线共同判定结果。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6.储存及有效期： -20℃保存，有效期12个月。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7.生产厂家具有兽药生产许可证和兽药GMP证书。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8.规格：50T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9.与OIE试剂的检测结果比对，特异性100%，敏感性100%，符合率100%，批间批内差异≤3%，提供非洲猪瘟专业实验室出具的比对报告。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10.生产厂家取得国家正规批准文号和二类新兽药证书，提供证书复印件或扫描件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布病虎红平板抗原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1.用于家畜布鲁氏菌病抗体的检测；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2.采用平板凝集试验方法；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3.抗原灭活；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4.敏感性.特异性均达到96%以上，批间.批内差均小于3%；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5.结果易于观察.方便判读；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6.有效期≥12 个月，货到日期起的剩余有效日期应不低于有效期期限的的 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7.满足 GB/T18646-2018 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8.规格：≥5ml/瓶。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布病虎红平板阴、阳性血清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1.用于家畜布鲁氏菌病抗体的检测；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2.采用试管凝集试验方法；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3.抗原灭活；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4.敏感性.特异性均达到 96%以上，批间.批内差均小于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5.结果易于观察.方便判读；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6.有效期≥12 个月，货到日期起的剩余有效日期应不低于有效期期限的的 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7.规格：≥5ml/瓶，阴性、阳性各一瓶为一套。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8.满足 GB/T18646-2018 的要求。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布病试管抗原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1.用于牛、羊等血清样本布鲁氏菌病抗体检测；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2.采用试管凝集试验方法，本品和参照抗原与阳性血清国家标准品 1:1000 均呈“++”反应；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3.均一性：批内及批间变异系数≤3%；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4.规格：大于等于5ml/瓶；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5.抗原为灭活的布鲁氏菌，有效期≥18个月。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羊布氏杆菌野生株和疫苗株鉴别诊断检测试剂盒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1.B盒包含布氏杆菌荧光检测mix试剂和阴阳性对照。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2.B盒采用探针法荧光检测试剂，检测试剂需兼容国产及进口荧光定量PCR仪。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3.B盒含有去污染成份，检测总时间短于40min完成。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4.检测样本需兼容组织、奶样、粪便、拭子、全血、牧草、水质及环境样品等。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5.需特异性检测羊种布氏杆菌病原。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6.需特异性鉴别羊种布氏杆菌野生株和疫苗株。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7.检测试剂检测灵敏度达到50copies/ul，检测特异性达到100%。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8.检测试剂带内参参考基因。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50T/盒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10.提供产品生产厂家技术认证白皮书（加盖公章）或厂家质检报告（加盖公章）。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包虫病犬粪抗原ELISA试剂盒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1.用途：用于检测犬粪细粒棘球绦虫抗原。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2.夹心ELISA方法。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3.试剂盒规格：2*96孔板/盒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4.试剂盒主要组成：犬Eg抗体包被板、犬Eg酶结合物、犬Eg样品稀释液、犬Eg阴性对照、犬Eg阳性对照、显色液A、显色液B、终止液、浓缩洗涤液（25×）、自封袋、封板膜、说明书、加样槽、血清稀释板。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5.结果判定：如果S/P值≥0.2，样品应判定为抗原阳性。如果S/P值＜0.2，样品应判定为抗原阴性。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6.储藏与有效期：2～8℃保存，有效期12个月。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包虫病抗体ELISA试剂盒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1.用于检测绵羊、山羊血清中细粒棘球蚴（包虫）主要保护性抗原EG95蛋白的抗体；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2.试剂盒的反应板规格为2*96T，每排可单独拆下，适合在包含450nm波长的全自动酶免分析系统、酶标仪和洗板机上使用；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3.批内和批间重复性好。批内批间变异系数均小于5%；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4.特异性强，与常见其他病原无交叉反应；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5.试剂盒存放2-8℃可保存12个月，采用进口优质二抗，配合抗体保护剂，有效期内结果稳定。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6.提供产品生产厂家新兽药证书（加盖公章）以及批准文号（加盖公章）。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马传染性贫血琼脂扩散试验抗原与阴、阳性血清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1.抗原系用马传染性贫血病毒弱毒株接种驴胎皮肤细胞培养，收获细胞培养物，经离心、乙醚处理后冷冻真空干燥制成。用于诊断马传染性贫血。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2.阳性血清系用马传染性贫血灭活疫苗接种健康马匹，采血、分离血清，经冷冻真空干燥制成。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3.阴性血清系用健康马匹，采血、分离血清，经冷冻真空干燥制成。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4.试剂在2～8℃保存，有效期不少于1年；在-20℃以下保存，有效期不少于2年。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5.无菌检验、剩余水分测定、真空度测定按现行《中国兽药典》附录进行检验，符合要求。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6.敏感性检验：对强阳性血清样品的最低检测限为1∶8。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特异性检验：对马传染性贫血病毒阴性血清样品、马流感病毒H3亚型阳性血清、马流感病毒H7亚型阳性血清、马疱疹病毒4型阳性血清以及未接毒驴皮细胞培养物制备的阳性血清进行特异性检验，检测结果均为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8.重复性检验：用实验室的三批制品对强阳性样品、阳性样品、弱阳性样品和阴性样品进行检测，结果显示无论批内还是批间检测结果均符合标准。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9.检测对象：主要用于检测马血清中马传染性贫血病毒抗体。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10.试剂盒含有完成马传贫抗体检测（琼扩）全过程所需全部试剂（1瓶抗原3瓶血清）。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11．敏感性：在99%以上（提供厂家的报告或者说明）。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12．特异性：在99%以上（提供厂家的报告或者说明）。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13．有效期：不少于12个月。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提供国家新兽药证书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15．国家参考实验室或兽医国家重点实验室推荐使用。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提供说明书复印件/打印件。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提纯鼻疽菌素</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1、规格6mg/瓶，适用于18头份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2、冻干制品为疏松团块，易与瓶壁脱离，加稀释液后迅速溶解；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牛型结核菌素</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1、冻干制品为疏松团块，易与瓶壁脱离，加稀释液后迅速溶解；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2、效价：与提纯牛型结核菌素国家标准品对比，结果无差异；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3、特异性：产品分别用SPF实验豚鼠与阴性牛进行皮内变态反应，均可在24小时内消散；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4、规格：冻干制品：≥2ml（50头份）；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5、藏及有效期：0℃以下，有效期为≥12个月。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H7亚型禽流感抗体检测试剂盒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采用间接ELISA方法。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用于检测禽类血清中禽流感病毒H7亚型抗体。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每块96孔板可检测92份样品。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试剂盒批内变异＜3%，批间变异＜3%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5.敏感性、特异性均＞95%。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组份齐全（包被板、酶结合物、阳性对照、阴性对照、样品稀释液、显色液A、显色液B、终止液、浓缩洗涤液、封板膜、说明书、自封袋、加样槽），液体试剂使用不同颜色，便于区分。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试验结果阴、阳性对照成立。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结果判定对样品OD值使用S/P计算，通过临界值定性判定抗体情况。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试剂盒2-8℃可保存至少12个月。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10.规格：2*96T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11.生产厂家具有《兽药GMP证书》和《兽药生产许可证》。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1.5ml无菌无酶离心管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1、采用优质的透明高分子材料聚丙烯（PP）制成；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2、耐受工作温度：-80-121℃；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3、灭菌方式：环氧乙烷灭菌；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4、管体刻度清晰，方便观察体积；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5、无DNA，无RNA酶，无热源；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6、可耐离心转速：16000-18000rpm；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7、管盖密封良好，不渗漏。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8、500个/包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c>
          <w:tcPr>
            <w:tcW w:w="5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打“★”号条款为实质性条款，若有任何一条负偏离或不满足则导</w:t>
            </w:r>
            <w:bookmarkStart w:id="0" w:name="_GoBack"/>
            <w:bookmarkEnd w:id="0"/>
            <w:r>
              <w:rPr>
                <w:rFonts w:hint="eastAsia" w:ascii="宋体" w:hAnsi="宋体" w:eastAsia="宋体" w:cs="宋体"/>
                <w:i w:val="0"/>
                <w:iCs w:val="0"/>
                <w:color w:val="000000"/>
                <w:kern w:val="0"/>
                <w:sz w:val="20"/>
                <w:szCs w:val="20"/>
                <w:u w:val="none"/>
                <w:lang w:val="en-US" w:eastAsia="zh-CN" w:bidi="ar"/>
              </w:rPr>
              <w:t>致投标无效。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MTIxYWYyMmM2Zjg1Y2I3YzhhNTI4OWU4ODRkYTAifQ=="/>
  </w:docVars>
  <w:rsids>
    <w:rsidRoot w:val="41696719"/>
    <w:rsid w:val="1FF071E7"/>
    <w:rsid w:val="4169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2024-04-21T04:46:00Z</dcterms:created>
  <dc:creator>Administrator</dc:creator>
  <cp:lastModifiedBy>赵惠秋13234867613</cp:lastModifiedBy>
  <dcterms:modified xsi:type="dcterms:W3CDTF">2024-04-22T08:39:41Z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E9CD412D47A041CF95787EFABA2F2DF0_11</vt:lpwstr>
  </property>
</Properties>
</file>