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678"/>
        <w:gridCol w:w="881"/>
        <w:gridCol w:w="4629"/>
        <w:gridCol w:w="816"/>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396" w:type="dxa"/>
            <w:gridSpan w:val="6"/>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sz w:val="32"/>
                <w:szCs w:val="32"/>
                <w:u w:val="none"/>
                <w:lang w:val="en-US" w:eastAsia="zh-CN"/>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标的名称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参数性质</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具体技术(参数)要求</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猪口蹄疫0型合成肽疫苗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1、包装为50毫升/瓶、100毫升/瓶；作用与用途：用于预防猪O型口蹄疫。采用进口佐剂生产；效力检验，每头份疫苗含口蹄疫O型应高于8个PD50，猪口蹄疫病毒合成肽抗原至少25µg/头份； 使用安全、无不良反应，免疫保护期不少于6个月；交货时有效期在9个月以上。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2、为保证产品质量和服务，需在投标文件内提供生产厂家符合以上参数的批签发报告及针对本项目的免疫失败及副反应处理承诺书原件扫描件，签合同及供货时提供原件证明。</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口蹄疫O型-A型二价灭活疫苗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100毫升/瓶；用于预防牛羊O型、A型口蹄疫，免疫期6个月；2-8℃保存，有效期12个月，交货时有效期在6个月以上；效力检验，每头份疫苗含口蹄疫O型、A型均高于8个PD50，146S含量≥6.0μg/头份；内毒素含量≤10EU/头份；总蛋白含量≤300μg/毫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2、为保证产品质量和服务，需在投标文件内提供生产厂家符合以上参数的批签发报告及针对本项目的免疫失败及副反应处理承诺书原件扫描件，签合同及供货时提供原件证明。</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万羊头份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Ⅱ号炭疽芽孢疫苗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1、包装100毫升/瓶；本品含炭疽杆菌II号菌株 (CVCC40202),甘油苗每毫升活菌数为1.3×107.0-2.0×107.0CFU,氢氧化铝胶苗每毫升活菌数为2.0×107.0-3.0×107.0CFU。使用安全、无不良反应；山羊免疫期为6个月，其他动物为1年；在2—8℃保存，有效期2年；交货时有效期在10个月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2、为保证产品质量和服务，需在投标文件内提供生产厂家符合以上参数的批签发报告及针对本项目的免疫失败及副反应处理承诺书原件扫描件，签合同及供货时提供原件证明。</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山羊痘活疫苗（牛结节性皮肤病疫苗）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1、包装100头份/瓶；每头份病毒含量不低于104.5TCID50，使用安全、无不良反应；注苗后4-5日产生免疫力，免疫期为12个月。使用耐热保护剂技术，2-8 ℃保存，有效期18个月，交货时有效期在10个月以上；疫苗成分应保证标准剂量可用于防治牛结节。为保证产品质量和服务，需在投标文件内提供生产厂家符合以上参数的批签发报告及针对本项目的免疫失败及副反应处理承诺书原件扫描件，签合同及供货时提供原件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套提供相应厂家生产的牛皮肤性结节病抗体荧光微球检测试剂盒，试剂盒参数：兽用生物制品GMP生产企业生产，需提供生产企业的GMP证书和生产许可证（含诊断制品生产线）复印件，能特异性检测牛结节抗体；实验操作时间短，每一步反应时间不得高于30分钟，试验结果阴阳性对照成立，结果易于判定；提供试剂产品图片及供货产品二维码图片，规格数量：96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猪瘟耐热保护剂活疫苗（兔源）</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10、20头份/瓶含稀释液；每头份病毒含量≥750RID；使用安全、无不良反应，免疫期为12个月；在2-8℃保存24个月；交货时有效期在21个月以上；含量高、质量稳定，需在投标文件内和签合同时提供含量≥750RID包装10头份的供货产品二维码产品图片扫描件。为保证产品质量和服务，需在投标文件内提供生产厂家符以上参数的10、20头份/瓶的产品批签发报告及针对本项目的免疫失败及副反应处理承诺书原件扫描件，签合同及供货时提供原件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免费配套提供相应生产厂家生产的猪瘟检测试剂，试剂参数：需提供生产企业加盖公章的GMP证书和生产许可证（含诊断制品生产线）复印件，规格：96T*2，采用PPA-ELISA方法，每一步反应时间不得高于30分钟，试验结果阴阳性对照成立，提供试剂产品图片及供货产品二维码图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3"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高致病性猪繁殖与呼吸综合征活疫苗（JXA1-R株）</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1、包装10头份/瓶、20头份/瓶含稀释液；每头份病毒含量≥</w:t>
            </w:r>
            <w:r>
              <w:rPr>
                <w:rFonts w:hint="eastAsia" w:ascii="宋体" w:hAnsi="宋体" w:eastAsia="宋体" w:cs="宋体"/>
                <w:color w:val="000000"/>
                <w:sz w:val="24"/>
                <w:szCs w:val="24"/>
                <w:highlight w:val="none"/>
              </w:rPr>
              <w:t>10</w:t>
            </w:r>
            <w:r>
              <w:rPr>
                <w:rFonts w:hint="eastAsia" w:ascii="宋体" w:hAnsi="宋体" w:eastAsia="宋体" w:cs="宋体"/>
                <w:color w:val="000000"/>
                <w:sz w:val="24"/>
                <w:szCs w:val="24"/>
                <w:highlight w:val="none"/>
                <w:vertAlign w:val="superscript"/>
              </w:rPr>
              <w:t>6.5</w:t>
            </w:r>
            <w:r>
              <w:rPr>
                <w:rFonts w:hint="eastAsia" w:ascii="宋体" w:hAnsi="宋体" w:eastAsia="宋体" w:cs="宋体"/>
                <w:color w:val="000000"/>
                <w:sz w:val="24"/>
                <w:szCs w:val="24"/>
                <w:highlight w:val="none"/>
              </w:rPr>
              <w:t>TCID50</w:t>
            </w:r>
            <w:r>
              <w:rPr>
                <w:rFonts w:hint="eastAsia" w:ascii="宋体" w:hAnsi="宋体" w:eastAsia="宋体" w:cs="宋体"/>
                <w:i w:val="0"/>
                <w:iCs w:val="0"/>
                <w:color w:val="000000"/>
                <w:kern w:val="0"/>
                <w:sz w:val="24"/>
                <w:szCs w:val="24"/>
                <w:u w:val="none"/>
                <w:lang w:val="en-US" w:eastAsia="zh-CN" w:bidi="ar"/>
              </w:rPr>
              <w:t>，使用安全、无不良反应，免疫期4个月；产品在－15℃保存18个月；交货时有效期在14个月以上，为保证产品质量和服务，需在投标文件内提供生产厂家符合以上参数的批签发报告及针对本项目的免疫失败及副反应处理承诺书原件扫描件，签合同及供货时提供原件证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免费配套提供相应生产厂家生产的蓝耳检测试剂盒，试剂参数：需提供生产企业加盖公章的GMP证书和生产许可证（含诊断制品生产线）复印件，规格：96T*2，采用PPA-ELISA方法，每一步反应时间不得高于30分钟，试验结果阴阳性对照成立，提供试剂产品图片及供货产品二维码图片。</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0.75</w:t>
            </w:r>
            <w:bookmarkStart w:id="0" w:name="_GoBack"/>
            <w:bookmarkEnd w:id="0"/>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6"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小反刍兽活疫苗或小反刍联苗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1、规格100头份/瓶；每头份疫苗含有的小反刍兽疫弱毒病毒不低于103.0TCID50，用于预防羊的小反刍兽疫或小反刍兽疫与羊痘，产品-20℃保存，有效期为24个月，交货时有效期在12个月以上。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2、为保证产品质量和服务，需在投标文件内提供生产厂家符合以上参数的批签发报告及针对本项目的免疫失败及副反应处理承诺书原件扫描件，签合同及供货时提供原件证明。</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羊快疫、猝狙、羔羊痢疾、肠毒血症四联灭活疫苗</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4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1、包装20或100头份/瓶；用于预防羊快疫、猝疽(羔羊痢疾)、肠毒血症；使用安全、无不良反应，免疫期12个月；交货时有效期在10个月以上。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2、为保证产品质量和服务，需在投标文件内提供生产厂家符合以上参数的批签发报告及针对本项目的免疫失败及副反应处理承诺书原件扫描件，签合同及供货时提供原件证明。</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0" w:hRule="atLeast"/>
        </w:trPr>
        <w:tc>
          <w:tcPr>
            <w:tcW w:w="301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c>
          <w:tcPr>
            <w:tcW w:w="6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1、打“★”号条款为实质性条款，若有任何一条负偏离或不满足则导致投标无效。</w:t>
            </w:r>
            <w:r>
              <w:rPr>
                <w:rFonts w:hint="eastAsia" w:ascii="宋体" w:hAnsi="宋体" w:eastAsia="宋体" w:cs="宋体"/>
                <w:i w:val="0"/>
                <w:iCs w:val="0"/>
                <w:color w:val="000000"/>
                <w:kern w:val="0"/>
                <w:sz w:val="24"/>
                <w:szCs w:val="24"/>
                <w:u w:val="none"/>
                <w:lang w:val="en-US" w:eastAsia="zh-CN" w:bidi="ar"/>
              </w:rPr>
              <w:br w:type="textWrapp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MTIxYWYyMmM2Zjg1Y2I3YzhhNTI4OWU4ODRkYTAifQ=="/>
  </w:docVars>
  <w:rsids>
    <w:rsidRoot w:val="27885ADE"/>
    <w:rsid w:val="27885ADE"/>
    <w:rsid w:val="3D3452DE"/>
    <w:rsid w:val="479B5601"/>
    <w:rsid w:val="7309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2024-04-21T04:23:00Z</dcterms:created>
  <dc:creator>Administrator</dc:creator>
  <cp:lastModifiedBy>赵惠秋13234867613</cp:lastModifiedBy>
  <dcterms:modified xsi:type="dcterms:W3CDTF">2024-04-22T10:05:54Z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950149F177A94CA4AAE28770703F996A_11</vt:lpwstr>
  </property>
</Properties>
</file>