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rPr>
          <w:highlight w:val="none"/>
        </w:rPr>
      </w:pPr>
      <w:bookmarkStart w:id="0" w:name="_Toc112136999"/>
      <w:bookmarkStart w:id="1" w:name="_Toc505958149"/>
      <w:bookmarkStart w:id="2" w:name="_Toc505956495"/>
      <w:r>
        <w:rPr>
          <w:rFonts w:hint="eastAsia"/>
          <w:highlight w:val="none"/>
          <w:lang w:eastAsia="zh-CN"/>
        </w:rPr>
        <w:t>参数</w:t>
      </w:r>
      <w:r>
        <w:rPr>
          <w:rFonts w:hint="eastAsia"/>
          <w:highlight w:val="none"/>
        </w:rPr>
        <w:t>要求</w:t>
      </w:r>
      <w:bookmarkEnd w:id="0"/>
      <w:bookmarkEnd w:id="1"/>
      <w:bookmarkEnd w:id="2"/>
    </w:p>
    <w:p>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ascii="宋体" w:hAnsi="宋体" w:eastAsia="宋体" w:cs="宋体"/>
          <w:szCs w:val="21"/>
          <w:highlight w:val="none"/>
        </w:rPr>
      </w:pPr>
      <w:r>
        <w:rPr>
          <w:rFonts w:hint="eastAsia" w:ascii="宋体" w:hAnsi="宋体" w:eastAsia="宋体" w:cs="宋体"/>
          <w:szCs w:val="21"/>
          <w:highlight w:val="none"/>
        </w:rPr>
        <w:t>本部分一般应包含但不限于如下主要内容：</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eastAsia="宋体" w:cs="宋体"/>
          <w:szCs w:val="21"/>
          <w:highlight w:val="none"/>
        </w:rPr>
      </w:pPr>
      <w:r>
        <w:rPr>
          <w:rFonts w:hint="eastAsia" w:ascii="宋体" w:hAnsi="宋体" w:eastAsia="宋体" w:cs="宋体"/>
          <w:szCs w:val="21"/>
          <w:highlight w:val="none"/>
        </w:rPr>
        <w:t>（1）交货时间及交货地点：</w:t>
      </w:r>
      <w:r>
        <w:rPr>
          <w:rFonts w:hint="eastAsia" w:ascii="宋体" w:hAnsi="宋体" w:eastAsia="宋体" w:cs="宋体"/>
          <w:szCs w:val="21"/>
          <w:highlight w:val="none"/>
          <w:lang w:eastAsia="zh-CN"/>
        </w:rPr>
        <w:t>收到中标通知</w:t>
      </w:r>
      <w:r>
        <w:rPr>
          <w:rFonts w:hint="eastAsia" w:ascii="宋体" w:hAnsi="宋体" w:cs="宋体"/>
          <w:szCs w:val="21"/>
          <w:highlight w:val="none"/>
          <w:lang w:val="en-US" w:eastAsia="zh-CN"/>
        </w:rPr>
        <w:t>3</w:t>
      </w:r>
      <w:r>
        <w:rPr>
          <w:rFonts w:hint="eastAsia" w:ascii="宋体" w:hAnsi="宋体" w:cs="宋体"/>
          <w:szCs w:val="21"/>
          <w:highlight w:val="none"/>
          <w:lang w:eastAsia="zh-CN"/>
        </w:rPr>
        <w:t>日历日</w:t>
      </w:r>
      <w:r>
        <w:rPr>
          <w:rFonts w:hint="eastAsia" w:ascii="宋体" w:hAnsi="宋体" w:eastAsia="宋体" w:cs="宋体"/>
          <w:szCs w:val="21"/>
          <w:highlight w:val="none"/>
        </w:rPr>
        <w:t>内（具体以甲乙双方签订合同为准）；采购人指定地点。</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宋体"/>
          <w:szCs w:val="21"/>
          <w:highlight w:val="none"/>
          <w:lang w:eastAsia="zh-CN"/>
        </w:rPr>
      </w:pPr>
      <w:r>
        <w:rPr>
          <w:rFonts w:hint="eastAsia" w:ascii="宋体" w:hAnsi="宋体" w:eastAsia="宋体" w:cs="宋体"/>
          <w:szCs w:val="21"/>
          <w:highlight w:val="none"/>
        </w:rPr>
        <w:t>（</w:t>
      </w:r>
      <w:r>
        <w:rPr>
          <w:rFonts w:hint="eastAsia" w:ascii="宋体" w:hAnsi="宋体" w:cs="宋体"/>
          <w:szCs w:val="21"/>
          <w:highlight w:val="none"/>
          <w:lang w:val="en-US" w:eastAsia="zh-CN"/>
        </w:rPr>
        <w:t>2</w:t>
      </w:r>
      <w:r>
        <w:rPr>
          <w:rFonts w:hint="eastAsia" w:ascii="宋体" w:hAnsi="宋体" w:eastAsia="宋体" w:cs="宋体"/>
          <w:szCs w:val="21"/>
          <w:highlight w:val="none"/>
        </w:rPr>
        <w:t>）本次采购范围</w:t>
      </w:r>
      <w:r>
        <w:rPr>
          <w:rFonts w:hint="eastAsia" w:ascii="宋体" w:hAnsi="宋体" w:eastAsia="宋体" w:cs="宋体"/>
          <w:szCs w:val="21"/>
          <w:highlight w:val="none"/>
          <w:lang w:eastAsia="zh-CN"/>
        </w:rPr>
        <w:t>：</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宋体"/>
          <w:szCs w:val="21"/>
          <w:highlight w:val="none"/>
        </w:rPr>
      </w:pPr>
      <w:r>
        <w:rPr>
          <w:rFonts w:hint="eastAsia" w:ascii="宋体" w:hAnsi="宋体" w:eastAsia="宋体" w:cs="宋体"/>
          <w:szCs w:val="21"/>
          <w:highlight w:val="none"/>
          <w:lang w:val="en-US" w:eastAsia="zh-CN"/>
        </w:rPr>
        <w:t>a.</w:t>
      </w:r>
      <w:r>
        <w:rPr>
          <w:rFonts w:hint="eastAsia" w:ascii="宋体" w:hAnsi="宋体" w:eastAsia="宋体" w:cs="宋体"/>
          <w:szCs w:val="21"/>
          <w:highlight w:val="none"/>
        </w:rPr>
        <w:t>“空气式太阳能+超低温空气源热泵”多能互补供暖系统的供货、安装及调试。具体包括太阳能集热器、超低温空气源热泵机组、供暖附属设备的材料及施工，空气源系统与原供暖系统主管道</w:t>
      </w:r>
      <w:r>
        <w:rPr>
          <w:rFonts w:hint="eastAsia" w:ascii="宋体" w:hAnsi="宋体" w:eastAsia="宋体" w:cs="宋体"/>
          <w:szCs w:val="21"/>
          <w:highlight w:val="none"/>
          <w:lang w:val="en-US" w:eastAsia="zh-CN"/>
        </w:rPr>
        <w:t>的</w:t>
      </w:r>
      <w:r>
        <w:rPr>
          <w:rFonts w:hint="eastAsia" w:ascii="宋体" w:hAnsi="宋体" w:eastAsia="宋体" w:cs="宋体"/>
          <w:szCs w:val="21"/>
          <w:highlight w:val="none"/>
        </w:rPr>
        <w:t>连接的材料及施工安装。</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宋体"/>
          <w:szCs w:val="21"/>
          <w:highlight w:val="none"/>
        </w:rPr>
      </w:pPr>
      <w:r>
        <w:rPr>
          <w:rFonts w:hint="eastAsia" w:ascii="宋体" w:hAnsi="宋体" w:eastAsia="宋体" w:cs="宋体"/>
          <w:szCs w:val="21"/>
          <w:highlight w:val="none"/>
          <w:lang w:val="en-US" w:eastAsia="zh-CN"/>
        </w:rPr>
        <w:t>b.</w:t>
      </w:r>
      <w:r>
        <w:rPr>
          <w:rFonts w:hint="eastAsia" w:ascii="宋体" w:hAnsi="宋体" w:eastAsia="宋体" w:cs="宋体"/>
          <w:szCs w:val="21"/>
          <w:highlight w:val="none"/>
        </w:rPr>
        <w:t>包含热源</w:t>
      </w:r>
      <w:r>
        <w:rPr>
          <w:rFonts w:hint="eastAsia" w:ascii="宋体" w:hAnsi="宋体" w:cs="宋体"/>
          <w:szCs w:val="21"/>
          <w:highlight w:val="none"/>
          <w:lang w:val="en-US" w:eastAsia="zh-CN"/>
        </w:rPr>
        <w:t>站</w:t>
      </w:r>
      <w:r>
        <w:rPr>
          <w:rFonts w:hint="eastAsia" w:ascii="宋体" w:hAnsi="宋体" w:eastAsia="宋体" w:cs="宋体"/>
          <w:szCs w:val="21"/>
          <w:highlight w:val="none"/>
        </w:rPr>
        <w:t>系统内设备基础工程；</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宋体"/>
          <w:szCs w:val="21"/>
          <w:highlight w:val="none"/>
        </w:rPr>
      </w:pPr>
      <w:r>
        <w:rPr>
          <w:rFonts w:hint="eastAsia" w:ascii="宋体" w:hAnsi="宋体" w:eastAsia="宋体" w:cs="宋体"/>
          <w:szCs w:val="21"/>
          <w:highlight w:val="none"/>
          <w:lang w:val="en-US" w:eastAsia="zh-CN"/>
        </w:rPr>
        <w:t>c.</w:t>
      </w:r>
      <w:r>
        <w:rPr>
          <w:rFonts w:hint="eastAsia" w:ascii="宋体" w:hAnsi="宋体" w:eastAsia="宋体" w:cs="宋体"/>
          <w:szCs w:val="21"/>
          <w:highlight w:val="none"/>
        </w:rPr>
        <w:t>包含热源</w:t>
      </w:r>
      <w:r>
        <w:rPr>
          <w:rFonts w:hint="eastAsia" w:ascii="宋体" w:hAnsi="宋体" w:eastAsia="宋体" w:cs="宋体"/>
          <w:szCs w:val="21"/>
          <w:highlight w:val="none"/>
          <w:lang w:val="en-US" w:eastAsia="zh-CN"/>
        </w:rPr>
        <w:t>站</w:t>
      </w:r>
      <w:r>
        <w:rPr>
          <w:rFonts w:hint="eastAsia" w:ascii="宋体" w:hAnsi="宋体" w:eastAsia="宋体" w:cs="宋体"/>
          <w:szCs w:val="21"/>
          <w:highlight w:val="none"/>
        </w:rPr>
        <w:t>系统内设备二次侧配电工程；</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宋体"/>
          <w:szCs w:val="21"/>
          <w:highlight w:val="none"/>
        </w:rPr>
      </w:pPr>
      <w:r>
        <w:rPr>
          <w:rFonts w:hint="eastAsia" w:ascii="宋体" w:hAnsi="宋体" w:eastAsia="宋体" w:cs="宋体"/>
          <w:szCs w:val="21"/>
          <w:highlight w:val="none"/>
          <w:lang w:val="en-US" w:eastAsia="zh-CN"/>
        </w:rPr>
        <w:t>d.防冻系统工程</w:t>
      </w:r>
      <w:r>
        <w:rPr>
          <w:rFonts w:hint="eastAsia" w:ascii="宋体" w:hAnsi="宋体" w:eastAsia="宋体" w:cs="宋体"/>
          <w:szCs w:val="21"/>
          <w:highlight w:val="none"/>
        </w:rPr>
        <w:t>；</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cs="宋体"/>
          <w:szCs w:val="21"/>
          <w:highlight w:val="none"/>
          <w:lang w:val="en-US" w:eastAsia="zh-CN"/>
        </w:rPr>
        <w:t>3</w:t>
      </w:r>
      <w:r>
        <w:rPr>
          <w:rFonts w:hint="eastAsia" w:ascii="宋体" w:hAnsi="宋体" w:eastAsia="宋体" w:cs="宋体"/>
          <w:szCs w:val="21"/>
          <w:highlight w:val="none"/>
        </w:rPr>
        <w:t>）货物名称、数量、货物用途、需实现的功能或者目标，以及为落实采购政策需满足的要求</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宋体"/>
          <w:szCs w:val="21"/>
          <w:highlight w:val="none"/>
        </w:rPr>
      </w:pPr>
      <w:r>
        <w:rPr>
          <w:rFonts w:hint="eastAsia" w:ascii="宋体" w:hAnsi="宋体" w:eastAsia="宋体" w:cs="宋体"/>
          <w:szCs w:val="21"/>
          <w:highlight w:val="none"/>
        </w:rPr>
        <w:t xml:space="preserve"> </w:t>
      </w:r>
      <w:r>
        <w:rPr>
          <w:rFonts w:hint="eastAsia" w:ascii="宋体" w:hAnsi="宋体" w:eastAsia="宋体" w:cs="宋体"/>
          <w:szCs w:val="21"/>
          <w:highlight w:val="none"/>
          <w:lang w:val="en-US" w:eastAsia="zh-CN"/>
        </w:rPr>
        <w:t>（</w:t>
      </w:r>
      <w:r>
        <w:rPr>
          <w:rFonts w:hint="eastAsia" w:ascii="宋体" w:hAnsi="宋体" w:cs="宋体"/>
          <w:szCs w:val="21"/>
          <w:highlight w:val="none"/>
          <w:lang w:val="en-US" w:eastAsia="zh-CN"/>
        </w:rPr>
        <w:t>4</w:t>
      </w:r>
      <w:r>
        <w:rPr>
          <w:rFonts w:hint="eastAsia" w:ascii="宋体" w:hAnsi="宋体" w:eastAsia="宋体" w:cs="宋体"/>
          <w:szCs w:val="21"/>
          <w:highlight w:val="none"/>
          <w:lang w:val="en-US" w:eastAsia="zh-CN"/>
        </w:rPr>
        <w:t>）</w:t>
      </w:r>
      <w:r>
        <w:rPr>
          <w:rFonts w:hint="eastAsia" w:ascii="宋体" w:hAnsi="宋体" w:eastAsia="宋体" w:cs="宋体"/>
          <w:szCs w:val="21"/>
          <w:highlight w:val="none"/>
        </w:rPr>
        <w:t>技术要求如下：</w:t>
      </w:r>
      <w:bookmarkStart w:id="4" w:name="_GoBack"/>
      <w:bookmarkEnd w:id="4"/>
    </w:p>
    <w:tbl>
      <w:tblPr>
        <w:tblStyle w:val="5"/>
        <w:tblpPr w:leftFromText="180" w:rightFromText="180" w:vertAnchor="text" w:horzAnchor="page" w:tblpXSpec="center" w:tblpY="455"/>
        <w:tblOverlap w:val="never"/>
        <w:tblW w:w="9730" w:type="dxa"/>
        <w:jc w:val="center"/>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DD4E9"/>
        <w:tblLayout w:type="fixed"/>
        <w:tblCellMar>
          <w:top w:w="0" w:type="dxa"/>
          <w:left w:w="0" w:type="dxa"/>
          <w:bottom w:w="0" w:type="dxa"/>
          <w:right w:w="0" w:type="dxa"/>
        </w:tblCellMar>
      </w:tblPr>
      <w:tblGrid>
        <w:gridCol w:w="705"/>
        <w:gridCol w:w="998"/>
        <w:gridCol w:w="7008"/>
        <w:gridCol w:w="444"/>
        <w:gridCol w:w="575"/>
      </w:tblGrid>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DD4E9"/>
          <w:tblCellMar>
            <w:top w:w="0" w:type="dxa"/>
            <w:left w:w="0" w:type="dxa"/>
            <w:bottom w:w="0" w:type="dxa"/>
            <w:right w:w="0" w:type="dxa"/>
          </w:tblCellMar>
        </w:tblPrEx>
        <w:trPr>
          <w:trHeight w:val="631" w:hRule="atLeast"/>
          <w:jc w:val="center"/>
        </w:trPr>
        <w:tc>
          <w:tcPr>
            <w:tcW w:w="705" w:type="dxa"/>
            <w:tcBorders>
              <w:top w:val="single" w:color="000000" w:sz="4" w:space="0"/>
              <w:left w:val="single" w:color="000000" w:sz="4" w:space="0"/>
              <w:bottom w:val="single" w:color="000000" w:sz="4" w:space="0"/>
              <w:right w:val="single" w:color="000000" w:sz="4" w:space="0"/>
            </w:tcBorders>
            <w:shd w:val="clear" w:color="auto" w:fill="CDD4E9"/>
            <w:noWrap w:val="0"/>
            <w:tcMar>
              <w:top w:w="80" w:type="dxa"/>
              <w:left w:w="80" w:type="dxa"/>
              <w:bottom w:w="80" w:type="dxa"/>
              <w:right w:w="80" w:type="dxa"/>
            </w:tcMar>
            <w:vAlign w:val="center"/>
          </w:tcPr>
          <w:p>
            <w:pPr>
              <w:spacing w:line="276" w:lineRule="auto"/>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b/>
                <w:bCs/>
                <w:sz w:val="24"/>
                <w:highlight w:val="none"/>
                <w:lang w:val="zh-TW" w:eastAsia="zh-TW"/>
              </w:rPr>
              <w:t>序号</w:t>
            </w:r>
          </w:p>
        </w:tc>
        <w:tc>
          <w:tcPr>
            <w:tcW w:w="998" w:type="dxa"/>
            <w:tcBorders>
              <w:top w:val="single" w:color="000000" w:sz="4" w:space="0"/>
              <w:left w:val="single" w:color="000000" w:sz="4" w:space="0"/>
              <w:bottom w:val="single" w:color="000000" w:sz="4" w:space="0"/>
              <w:right w:val="single" w:color="000000" w:sz="4" w:space="0"/>
            </w:tcBorders>
            <w:shd w:val="clear" w:color="auto" w:fill="CDD4E9"/>
            <w:noWrap w:val="0"/>
            <w:tcMar>
              <w:top w:w="80" w:type="dxa"/>
              <w:left w:w="80" w:type="dxa"/>
              <w:bottom w:w="80" w:type="dxa"/>
              <w:right w:w="80" w:type="dxa"/>
            </w:tcMar>
            <w:vAlign w:val="center"/>
          </w:tcPr>
          <w:p>
            <w:pPr>
              <w:spacing w:line="276" w:lineRule="auto"/>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b/>
                <w:bCs/>
                <w:sz w:val="24"/>
                <w:highlight w:val="none"/>
                <w:lang w:val="zh-TW" w:eastAsia="zh-TW"/>
              </w:rPr>
              <w:t>主要设备名称</w:t>
            </w:r>
          </w:p>
        </w:tc>
        <w:tc>
          <w:tcPr>
            <w:tcW w:w="7008" w:type="dxa"/>
            <w:tcBorders>
              <w:top w:val="single" w:color="000000" w:sz="4" w:space="0"/>
              <w:left w:val="single" w:color="000000" w:sz="4" w:space="0"/>
              <w:bottom w:val="single" w:color="000000" w:sz="4" w:space="0"/>
              <w:right w:val="single" w:color="000000" w:sz="4" w:space="0"/>
            </w:tcBorders>
            <w:shd w:val="clear" w:color="auto" w:fill="CDD4E9"/>
            <w:noWrap w:val="0"/>
            <w:tcMar>
              <w:top w:w="80" w:type="dxa"/>
              <w:left w:w="80" w:type="dxa"/>
              <w:bottom w:w="80" w:type="dxa"/>
              <w:right w:w="80" w:type="dxa"/>
            </w:tcMar>
            <w:vAlign w:val="center"/>
          </w:tcPr>
          <w:p>
            <w:pPr>
              <w:spacing w:line="276" w:lineRule="auto"/>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b/>
                <w:bCs/>
                <w:sz w:val="24"/>
                <w:highlight w:val="none"/>
                <w:lang w:val="zh-TW" w:eastAsia="zh-TW"/>
              </w:rPr>
              <w:t>技术参数要求</w:t>
            </w:r>
          </w:p>
        </w:tc>
        <w:tc>
          <w:tcPr>
            <w:tcW w:w="444" w:type="dxa"/>
            <w:tcBorders>
              <w:top w:val="single" w:color="000000" w:sz="4" w:space="0"/>
              <w:left w:val="single" w:color="000000" w:sz="4" w:space="0"/>
              <w:bottom w:val="single" w:color="000000" w:sz="4" w:space="0"/>
              <w:right w:val="single" w:color="000000" w:sz="4" w:space="0"/>
            </w:tcBorders>
            <w:shd w:val="clear" w:color="auto" w:fill="CDD4E9"/>
            <w:noWrap w:val="0"/>
            <w:tcMar>
              <w:top w:w="80" w:type="dxa"/>
              <w:left w:w="80" w:type="dxa"/>
              <w:bottom w:w="80" w:type="dxa"/>
              <w:right w:w="80" w:type="dxa"/>
            </w:tcMar>
            <w:vAlign w:val="center"/>
          </w:tcPr>
          <w:p>
            <w:pPr>
              <w:spacing w:line="276" w:lineRule="auto"/>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b/>
                <w:bCs/>
                <w:sz w:val="24"/>
                <w:highlight w:val="none"/>
                <w:lang w:val="zh-TW" w:eastAsia="zh-TW"/>
              </w:rPr>
              <w:t>数量</w:t>
            </w:r>
          </w:p>
        </w:tc>
        <w:tc>
          <w:tcPr>
            <w:tcW w:w="575" w:type="dxa"/>
            <w:tcBorders>
              <w:top w:val="single" w:color="000000" w:sz="4" w:space="0"/>
              <w:left w:val="single" w:color="000000" w:sz="4" w:space="0"/>
              <w:bottom w:val="single" w:color="000000" w:sz="4" w:space="0"/>
              <w:right w:val="single" w:color="000000" w:sz="4" w:space="0"/>
            </w:tcBorders>
            <w:shd w:val="clear" w:color="auto" w:fill="CDD4E9"/>
            <w:noWrap w:val="0"/>
            <w:tcMar>
              <w:top w:w="80" w:type="dxa"/>
              <w:left w:w="80" w:type="dxa"/>
              <w:bottom w:w="80" w:type="dxa"/>
              <w:right w:w="80" w:type="dxa"/>
            </w:tcMar>
            <w:vAlign w:val="center"/>
          </w:tcPr>
          <w:p>
            <w:pPr>
              <w:spacing w:line="276" w:lineRule="auto"/>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b/>
                <w:bCs/>
                <w:sz w:val="24"/>
                <w:highlight w:val="none"/>
                <w:lang w:val="zh-TW" w:eastAsia="zh-TW"/>
              </w:rPr>
              <w:t>单位</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DD4E9"/>
          <w:tblCellMar>
            <w:top w:w="0" w:type="dxa"/>
            <w:left w:w="0" w:type="dxa"/>
            <w:bottom w:w="0" w:type="dxa"/>
            <w:right w:w="0" w:type="dxa"/>
          </w:tblCellMar>
        </w:tblPrEx>
        <w:trPr>
          <w:trHeight w:val="388" w:hRule="atLeast"/>
          <w:jc w:val="center"/>
        </w:trPr>
        <w:tc>
          <w:tcPr>
            <w:tcW w:w="705" w:type="dxa"/>
            <w:tcBorders>
              <w:top w:val="single" w:color="000000" w:sz="4" w:space="0"/>
              <w:left w:val="single" w:color="000000" w:sz="4" w:space="0"/>
              <w:bottom w:val="single" w:color="000000" w:sz="4" w:space="0"/>
              <w:right w:val="single" w:color="000000" w:sz="4" w:space="0"/>
            </w:tcBorders>
            <w:shd w:val="clear" w:color="auto" w:fill="CDD4E9"/>
            <w:noWrap w:val="0"/>
            <w:tcMar>
              <w:top w:w="80" w:type="dxa"/>
              <w:left w:w="80" w:type="dxa"/>
              <w:bottom w:w="80" w:type="dxa"/>
              <w:right w:w="80" w:type="dxa"/>
            </w:tcMar>
            <w:vAlign w:val="center"/>
          </w:tcPr>
          <w:p>
            <w:pPr>
              <w:spacing w:line="360" w:lineRule="auto"/>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1</w:t>
            </w:r>
          </w:p>
        </w:tc>
        <w:tc>
          <w:tcPr>
            <w:tcW w:w="998" w:type="dxa"/>
            <w:tcBorders>
              <w:top w:val="single" w:color="000000" w:sz="4" w:space="0"/>
              <w:left w:val="single" w:color="000000" w:sz="4" w:space="0"/>
              <w:bottom w:val="single" w:color="000000" w:sz="4" w:space="0"/>
              <w:right w:val="single" w:color="000000" w:sz="4" w:space="0"/>
            </w:tcBorders>
            <w:shd w:val="clear" w:color="auto" w:fill="CDD4E9"/>
            <w:noWrap w:val="0"/>
            <w:tcMar>
              <w:top w:w="80" w:type="dxa"/>
              <w:left w:w="80" w:type="dxa"/>
              <w:bottom w:w="80" w:type="dxa"/>
              <w:right w:w="80" w:type="dxa"/>
            </w:tcMar>
            <w:vAlign w:val="center"/>
          </w:tcPr>
          <w:p>
            <w:pPr>
              <w:spacing w:line="360" w:lineRule="auto"/>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lang w:val="en-US" w:eastAsia="zh-CN"/>
              </w:rPr>
              <w:t>空气式太阳能</w:t>
            </w:r>
            <w:r>
              <w:rPr>
                <w:rFonts w:hint="eastAsia" w:asciiTheme="minorEastAsia" w:hAnsiTheme="minorEastAsia" w:eastAsiaTheme="minorEastAsia" w:cstheme="minorEastAsia"/>
                <w:szCs w:val="21"/>
                <w:highlight w:val="none"/>
                <w:lang w:val="zh-TW" w:eastAsia="zh-TW"/>
              </w:rPr>
              <w:t>热泵系统</w:t>
            </w:r>
          </w:p>
        </w:tc>
        <w:tc>
          <w:tcPr>
            <w:tcW w:w="7008" w:type="dxa"/>
            <w:tcBorders>
              <w:top w:val="single" w:color="000000" w:sz="4" w:space="0"/>
              <w:left w:val="single" w:color="000000" w:sz="4" w:space="0"/>
              <w:bottom w:val="single" w:color="000000" w:sz="4" w:space="0"/>
              <w:right w:val="single" w:color="000000" w:sz="4" w:space="0"/>
            </w:tcBorders>
            <w:shd w:val="clear" w:color="auto" w:fill="CDD4E9"/>
            <w:noWrap w:val="0"/>
            <w:tcMar>
              <w:top w:w="80" w:type="dxa"/>
              <w:left w:w="80" w:type="dxa"/>
              <w:bottom w:w="80" w:type="dxa"/>
              <w:right w:w="80" w:type="dxa"/>
            </w:tcMar>
            <w:vAlign w:val="center"/>
          </w:tcPr>
          <w:p>
            <w:pPr>
              <w:pStyle w:val="4"/>
              <w:spacing w:line="360" w:lineRule="auto"/>
              <w:ind w:left="0" w:leftChars="0" w:firstLine="0" w:firstLineChars="0"/>
              <w:textAlignment w:val="baseline"/>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1.热源系统采用太阳能与空气源热泵多能互补供暖系统。</w:t>
            </w:r>
          </w:p>
          <w:p>
            <w:pPr>
              <w:pStyle w:val="4"/>
              <w:spacing w:line="360" w:lineRule="auto"/>
              <w:ind w:left="0" w:leftChars="0" w:firstLine="0" w:firstLineChars="0"/>
              <w:textAlignment w:val="baseline"/>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2.热泵主机在环境干球温度-12℃、出水41℃工况下，制热能效比COP≥2.1单台</w:t>
            </w:r>
            <w:r>
              <w:rPr>
                <w:rFonts w:hint="eastAsia" w:asciiTheme="minorEastAsia" w:hAnsiTheme="minorEastAsia" w:eastAsiaTheme="minorEastAsia" w:cstheme="minorEastAsia"/>
                <w:kern w:val="2"/>
                <w:sz w:val="21"/>
                <w:szCs w:val="21"/>
                <w:highlight w:val="none"/>
                <w:lang w:val="zh-TW" w:eastAsia="zh-TW" w:bidi="ar-SA"/>
              </w:rPr>
              <w:t>总制热量≥</w:t>
            </w:r>
            <w:r>
              <w:rPr>
                <w:rFonts w:hint="eastAsia" w:asciiTheme="minorEastAsia" w:hAnsiTheme="minorEastAsia" w:eastAsiaTheme="minorEastAsia" w:cstheme="minorEastAsia"/>
                <w:kern w:val="2"/>
                <w:sz w:val="21"/>
                <w:szCs w:val="21"/>
                <w:highlight w:val="none"/>
                <w:lang w:val="en-US" w:eastAsia="zh-CN" w:bidi="ar-SA"/>
              </w:rPr>
              <w:t>80</w:t>
            </w:r>
            <w:r>
              <w:rPr>
                <w:rFonts w:hint="eastAsia" w:asciiTheme="minorEastAsia" w:hAnsiTheme="minorEastAsia" w:eastAsiaTheme="minorEastAsia" w:cstheme="minorEastAsia"/>
                <w:kern w:val="2"/>
                <w:sz w:val="21"/>
                <w:szCs w:val="21"/>
                <w:highlight w:val="none"/>
                <w:lang w:val="zh-TW" w:eastAsia="zh-TW" w:bidi="ar-SA"/>
              </w:rPr>
              <w:t>kW。提供同类型产品第三方测试报告</w:t>
            </w:r>
            <w:r>
              <w:rPr>
                <w:rFonts w:hint="eastAsia" w:asciiTheme="minorEastAsia" w:hAnsiTheme="minorEastAsia" w:eastAsiaTheme="minorEastAsia" w:cstheme="minorEastAsia"/>
                <w:kern w:val="2"/>
                <w:sz w:val="21"/>
                <w:szCs w:val="21"/>
                <w:highlight w:val="none"/>
                <w:lang w:val="en-US" w:eastAsia="zh-CN" w:bidi="ar-SA"/>
              </w:rPr>
              <w:t>。</w:t>
            </w:r>
          </w:p>
          <w:p>
            <w:pPr>
              <w:pStyle w:val="4"/>
              <w:spacing w:line="360" w:lineRule="auto"/>
              <w:ind w:left="0" w:leftChars="0" w:firstLine="0" w:firstLineChars="0"/>
              <w:textAlignment w:val="baseline"/>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3.热源采用双级热泵技术，热泵压缩机采用柔性涡旋压缩机。</w:t>
            </w:r>
          </w:p>
          <w:p>
            <w:pPr>
              <w:pStyle w:val="4"/>
              <w:spacing w:line="360" w:lineRule="auto"/>
              <w:ind w:left="0" w:leftChars="0" w:firstLine="0" w:firstLineChars="0"/>
              <w:textAlignment w:val="baseline"/>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4.太阳能集热管采用全玻璃真空太阳集热管，太阳选择性吸收涂层的太阳吸收比≥0.86（AM 1.5），太阳选择性吸收涂层的半球发射比≤0.080（80℃±5℃）。</w:t>
            </w:r>
          </w:p>
          <w:p>
            <w:pPr>
              <w:pStyle w:val="4"/>
              <w:spacing w:line="360" w:lineRule="auto"/>
              <w:ind w:left="0" w:leftChars="0" w:firstLine="0" w:firstLineChars="0"/>
              <w:textAlignment w:val="baseline"/>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5.设备性能</w:t>
            </w:r>
          </w:p>
          <w:p>
            <w:pPr>
              <w:pStyle w:val="4"/>
              <w:spacing w:line="360" w:lineRule="auto"/>
              <w:ind w:left="0" w:leftChars="0" w:firstLine="0" w:firstLineChars="0"/>
              <w:textAlignment w:val="baseline"/>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1）智能化霜功能：机组应具有智能化霜和手动化霜功能，极端天气下可实现主机和太阳能集热器直联互通或手动化霜进行主动增效，保证主机在极端天气下能够正常运行。</w:t>
            </w:r>
          </w:p>
          <w:p>
            <w:pPr>
              <w:pStyle w:val="4"/>
              <w:spacing w:line="360" w:lineRule="auto"/>
              <w:ind w:left="0" w:leftChars="0" w:firstLine="0" w:firstLineChars="0"/>
              <w:textAlignment w:val="baseline"/>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2）机组保护功能：包含但不限于通讯故障保护、传感器故障保护、缺介质保护、频繁启动保护、压缩机电流过大保护、压缩机电流过小保护、出水温度过高保护、相序保护、欠压保护、过载保护、自动防冻保护等多项保护功能，以保证机组高效稳定运行。</w:t>
            </w:r>
          </w:p>
          <w:p>
            <w:pPr>
              <w:pStyle w:val="4"/>
              <w:spacing w:line="360" w:lineRule="auto"/>
              <w:ind w:left="0" w:leftChars="0" w:firstLine="0" w:firstLineChars="0"/>
              <w:textAlignment w:val="baseline"/>
              <w:rPr>
                <w:rFonts w:hint="eastAsia" w:asciiTheme="minorEastAsia" w:hAnsiTheme="minorEastAsia" w:eastAsiaTheme="minorEastAsia" w:cstheme="minorEastAsia"/>
                <w:kern w:val="2"/>
                <w:sz w:val="21"/>
                <w:szCs w:val="21"/>
                <w:highlight w:val="none"/>
                <w:lang w:val="zh-TW" w:eastAsia="zh-TW" w:bidi="ar-SA"/>
              </w:rPr>
            </w:pPr>
            <w:r>
              <w:rPr>
                <w:rFonts w:hint="eastAsia" w:asciiTheme="minorEastAsia" w:hAnsiTheme="minorEastAsia" w:eastAsiaTheme="minorEastAsia" w:cstheme="minorEastAsia"/>
                <w:kern w:val="2"/>
                <w:sz w:val="21"/>
                <w:szCs w:val="21"/>
                <w:highlight w:val="none"/>
                <w:lang w:val="en-US" w:eastAsia="zh-CN" w:bidi="ar-SA"/>
              </w:rPr>
              <w:t>3）触摸屏具有方便用户设置相关参数的功能</w:t>
            </w:r>
          </w:p>
        </w:tc>
        <w:tc>
          <w:tcPr>
            <w:tcW w:w="444" w:type="dxa"/>
            <w:tcBorders>
              <w:top w:val="single" w:color="000000" w:sz="4" w:space="0"/>
              <w:left w:val="single" w:color="000000" w:sz="4" w:space="0"/>
              <w:bottom w:val="single" w:color="000000" w:sz="4" w:space="0"/>
              <w:right w:val="single" w:color="000000" w:sz="4" w:space="0"/>
            </w:tcBorders>
            <w:shd w:val="clear" w:color="auto" w:fill="CDD4E9"/>
            <w:noWrap w:val="0"/>
            <w:tcMar>
              <w:top w:w="80" w:type="dxa"/>
              <w:left w:w="80" w:type="dxa"/>
              <w:bottom w:w="80" w:type="dxa"/>
              <w:right w:w="80" w:type="dxa"/>
            </w:tcMar>
            <w:vAlign w:val="center"/>
          </w:tcPr>
          <w:p>
            <w:pPr>
              <w:pStyle w:val="4"/>
              <w:spacing w:line="360" w:lineRule="auto"/>
              <w:ind w:left="0" w:leftChars="0" w:firstLine="0" w:firstLineChars="0"/>
              <w:textAlignment w:val="baseline"/>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18</w:t>
            </w:r>
          </w:p>
        </w:tc>
        <w:tc>
          <w:tcPr>
            <w:tcW w:w="575" w:type="dxa"/>
            <w:tcBorders>
              <w:top w:val="single" w:color="000000" w:sz="4" w:space="0"/>
              <w:left w:val="single" w:color="000000" w:sz="4" w:space="0"/>
              <w:bottom w:val="single" w:color="000000" w:sz="4" w:space="0"/>
              <w:right w:val="single" w:color="000000" w:sz="4" w:space="0"/>
            </w:tcBorders>
            <w:shd w:val="clear" w:color="auto" w:fill="CDD4E9"/>
            <w:noWrap w:val="0"/>
            <w:tcMar>
              <w:top w:w="80" w:type="dxa"/>
              <w:left w:w="80" w:type="dxa"/>
              <w:bottom w:w="80" w:type="dxa"/>
              <w:right w:w="80" w:type="dxa"/>
            </w:tcMar>
            <w:vAlign w:val="center"/>
          </w:tcPr>
          <w:p>
            <w:pPr>
              <w:spacing w:line="360" w:lineRule="auto"/>
              <w:jc w:val="center"/>
              <w:rPr>
                <w:rFonts w:hint="eastAsia" w:asciiTheme="minorEastAsia" w:hAnsiTheme="minorEastAsia" w:eastAsiaTheme="minorEastAsia" w:cstheme="minorEastAsia"/>
                <w:szCs w:val="21"/>
                <w:highlight w:val="none"/>
                <w:lang w:val="zh-TW" w:eastAsia="zh-TW"/>
              </w:rPr>
            </w:pPr>
            <w:r>
              <w:rPr>
                <w:rFonts w:hint="eastAsia" w:asciiTheme="minorEastAsia" w:hAnsiTheme="minorEastAsia" w:eastAsiaTheme="minorEastAsia" w:cstheme="minorEastAsia"/>
                <w:szCs w:val="21"/>
                <w:highlight w:val="none"/>
                <w:lang w:val="zh-TW" w:eastAsia="zh-TW"/>
              </w:rPr>
              <w:t>套</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DD4E9"/>
          <w:tblCellMar>
            <w:top w:w="0" w:type="dxa"/>
            <w:left w:w="0" w:type="dxa"/>
            <w:bottom w:w="0" w:type="dxa"/>
            <w:right w:w="0" w:type="dxa"/>
          </w:tblCellMar>
        </w:tblPrEx>
        <w:trPr>
          <w:trHeight w:val="388" w:hRule="atLeast"/>
          <w:jc w:val="center"/>
        </w:trPr>
        <w:tc>
          <w:tcPr>
            <w:tcW w:w="705" w:type="dxa"/>
            <w:tcBorders>
              <w:top w:val="single" w:color="000000" w:sz="4" w:space="0"/>
              <w:left w:val="single" w:color="000000" w:sz="4" w:space="0"/>
              <w:bottom w:val="single" w:color="000000" w:sz="4" w:space="0"/>
              <w:right w:val="single" w:color="000000" w:sz="4" w:space="0"/>
            </w:tcBorders>
            <w:shd w:val="clear" w:color="auto" w:fill="CDD4E9"/>
            <w:noWrap w:val="0"/>
            <w:tcMar>
              <w:top w:w="80" w:type="dxa"/>
              <w:left w:w="80" w:type="dxa"/>
              <w:bottom w:w="80" w:type="dxa"/>
              <w:right w:w="80" w:type="dxa"/>
            </w:tcMar>
            <w:vAlign w:val="center"/>
          </w:tcPr>
          <w:p>
            <w:pPr>
              <w:spacing w:line="360" w:lineRule="auto"/>
              <w:jc w:val="center"/>
              <w:rPr>
                <w:rFonts w:hint="eastAsia" w:asciiTheme="minorEastAsia" w:hAnsiTheme="minorEastAsia" w:eastAsiaTheme="minorEastAsia" w:cstheme="minorEastAsia"/>
                <w:szCs w:val="21"/>
                <w:highlight w:val="none"/>
                <w:lang w:val="en-US" w:eastAsia="zh-CN"/>
              </w:rPr>
            </w:pPr>
            <w:r>
              <w:rPr>
                <w:rFonts w:hint="eastAsia" w:asciiTheme="minorEastAsia" w:hAnsiTheme="minorEastAsia" w:eastAsiaTheme="minorEastAsia" w:cstheme="minorEastAsia"/>
                <w:szCs w:val="21"/>
                <w:highlight w:val="none"/>
                <w:lang w:val="en-US" w:eastAsia="zh-CN"/>
              </w:rPr>
              <w:t>2</w:t>
            </w:r>
          </w:p>
        </w:tc>
        <w:tc>
          <w:tcPr>
            <w:tcW w:w="998" w:type="dxa"/>
            <w:tcBorders>
              <w:top w:val="single" w:color="000000" w:sz="4" w:space="0"/>
              <w:left w:val="single" w:color="000000" w:sz="4" w:space="0"/>
              <w:bottom w:val="single" w:color="000000" w:sz="4" w:space="0"/>
              <w:right w:val="single" w:color="000000" w:sz="4" w:space="0"/>
            </w:tcBorders>
            <w:shd w:val="clear" w:color="auto" w:fill="CDD4E9"/>
            <w:noWrap w:val="0"/>
            <w:tcMar>
              <w:top w:w="80" w:type="dxa"/>
              <w:left w:w="80" w:type="dxa"/>
              <w:bottom w:w="80" w:type="dxa"/>
              <w:right w:w="80" w:type="dxa"/>
            </w:tcMar>
            <w:vAlign w:val="center"/>
          </w:tcPr>
          <w:p>
            <w:pPr>
              <w:spacing w:line="360" w:lineRule="auto"/>
              <w:jc w:val="center"/>
              <w:rPr>
                <w:rFonts w:hint="eastAsia" w:asciiTheme="minorEastAsia" w:hAnsiTheme="minorEastAsia" w:eastAsiaTheme="minorEastAsia" w:cstheme="minorEastAsia"/>
                <w:szCs w:val="21"/>
                <w:highlight w:val="none"/>
                <w:lang w:val="zh-TW" w:eastAsia="zh-TW"/>
              </w:rPr>
            </w:pPr>
            <w:r>
              <w:rPr>
                <w:rFonts w:hint="eastAsia" w:asciiTheme="minorEastAsia" w:hAnsiTheme="minorEastAsia" w:eastAsiaTheme="minorEastAsia" w:cstheme="minorEastAsia"/>
                <w:highlight w:val="none"/>
                <w:lang w:val="zh-TW" w:eastAsia="zh-CN"/>
              </w:rPr>
              <w:t>电辅助应急加热装置</w:t>
            </w:r>
          </w:p>
        </w:tc>
        <w:tc>
          <w:tcPr>
            <w:tcW w:w="7008" w:type="dxa"/>
            <w:tcBorders>
              <w:top w:val="single" w:color="000000" w:sz="4" w:space="0"/>
              <w:left w:val="single" w:color="000000" w:sz="4" w:space="0"/>
              <w:bottom w:val="single" w:color="000000" w:sz="4" w:space="0"/>
              <w:right w:val="single" w:color="000000" w:sz="4" w:space="0"/>
            </w:tcBorders>
            <w:shd w:val="clear" w:color="auto" w:fill="CDD4E9"/>
            <w:noWrap w:val="0"/>
            <w:tcMar>
              <w:top w:w="80" w:type="dxa"/>
              <w:left w:w="80" w:type="dxa"/>
              <w:bottom w:w="80" w:type="dxa"/>
              <w:right w:w="80" w:type="dxa"/>
            </w:tcMar>
            <w:vAlign w:val="center"/>
          </w:tcPr>
          <w:p>
            <w:pPr>
              <w:pStyle w:val="4"/>
              <w:ind w:left="0" w:leftChars="0" w:firstLine="0" w:firstLineChars="0"/>
              <w:rPr>
                <w:rFonts w:hint="eastAsia" w:asciiTheme="minorEastAsia" w:hAnsiTheme="minorEastAsia" w:eastAsiaTheme="minorEastAsia" w:cstheme="minorEastAsia"/>
                <w:highlight w:val="none"/>
                <w:lang w:val="en-US" w:eastAsia="zh-CN"/>
              </w:rPr>
            </w:pPr>
            <w:r>
              <w:rPr>
                <w:rFonts w:hint="eastAsia" w:asciiTheme="minorEastAsia" w:hAnsiTheme="minorEastAsia" w:eastAsiaTheme="minorEastAsia" w:cstheme="minorEastAsia"/>
                <w:kern w:val="2"/>
                <w:sz w:val="21"/>
                <w:szCs w:val="21"/>
                <w:highlight w:val="none"/>
                <w:lang w:val="zh-TW" w:eastAsia="zh-CN" w:bidi="ar-SA"/>
              </w:rPr>
              <w:t>设计极寒天气下的电辅助应急加热装置，</w:t>
            </w:r>
            <w:r>
              <w:rPr>
                <w:rFonts w:hint="eastAsia" w:asciiTheme="minorEastAsia" w:hAnsiTheme="minorEastAsia" w:eastAsiaTheme="minorEastAsia" w:cstheme="minorEastAsia"/>
                <w:kern w:val="2"/>
                <w:sz w:val="21"/>
                <w:szCs w:val="21"/>
                <w:highlight w:val="none"/>
                <w:lang w:val="en-US" w:eastAsia="zh-CN" w:bidi="ar-SA"/>
              </w:rPr>
              <w:t>涉及两套系统，每套系统</w:t>
            </w:r>
            <w:r>
              <w:rPr>
                <w:rFonts w:hint="eastAsia" w:asciiTheme="minorEastAsia" w:hAnsiTheme="minorEastAsia" w:eastAsiaTheme="minorEastAsia" w:cstheme="minorEastAsia"/>
                <w:kern w:val="2"/>
                <w:sz w:val="21"/>
                <w:szCs w:val="21"/>
                <w:highlight w:val="none"/>
                <w:lang w:val="zh-TW" w:eastAsia="zh-CN" w:bidi="ar-SA"/>
              </w:rPr>
              <w:t>总功率</w:t>
            </w:r>
            <w:r>
              <w:rPr>
                <w:rFonts w:hint="eastAsia" w:asciiTheme="minorEastAsia" w:hAnsiTheme="minorEastAsia" w:eastAsiaTheme="minorEastAsia" w:cstheme="minorEastAsia"/>
                <w:kern w:val="2"/>
                <w:sz w:val="21"/>
                <w:szCs w:val="21"/>
                <w:highlight w:val="none"/>
                <w:lang w:val="zh-TW" w:eastAsia="zh-TW" w:bidi="ar-SA"/>
              </w:rPr>
              <w:t>≥</w:t>
            </w:r>
            <w:r>
              <w:rPr>
                <w:rFonts w:hint="eastAsia" w:asciiTheme="minorEastAsia" w:hAnsiTheme="minorEastAsia" w:eastAsiaTheme="minorEastAsia" w:cstheme="minorEastAsia"/>
                <w:kern w:val="2"/>
                <w:sz w:val="21"/>
                <w:szCs w:val="21"/>
                <w:highlight w:val="none"/>
                <w:lang w:val="en-US" w:eastAsia="zh-CN" w:bidi="ar-SA"/>
              </w:rPr>
              <w:t>400</w:t>
            </w:r>
            <w:r>
              <w:rPr>
                <w:rFonts w:hint="eastAsia" w:asciiTheme="minorEastAsia" w:hAnsiTheme="minorEastAsia" w:eastAsiaTheme="minorEastAsia" w:cstheme="minorEastAsia"/>
                <w:kern w:val="2"/>
                <w:sz w:val="21"/>
                <w:szCs w:val="21"/>
                <w:highlight w:val="none"/>
                <w:lang w:val="zh-TW" w:eastAsia="zh-TW" w:bidi="ar-SA"/>
              </w:rPr>
              <w:t>kW</w:t>
            </w:r>
            <w:r>
              <w:rPr>
                <w:rFonts w:hint="eastAsia" w:asciiTheme="minorEastAsia" w:hAnsiTheme="minorEastAsia" w:eastAsiaTheme="minorEastAsia" w:cstheme="minorEastAsia"/>
                <w:kern w:val="2"/>
                <w:sz w:val="21"/>
                <w:szCs w:val="21"/>
                <w:highlight w:val="none"/>
                <w:lang w:val="zh-TW" w:eastAsia="zh-CN" w:bidi="ar-SA"/>
              </w:rPr>
              <w:t>，</w:t>
            </w:r>
            <w:r>
              <w:rPr>
                <w:rFonts w:hint="eastAsia" w:asciiTheme="minorEastAsia" w:hAnsiTheme="minorEastAsia" w:eastAsiaTheme="minorEastAsia" w:cstheme="minorEastAsia"/>
                <w:kern w:val="2"/>
                <w:sz w:val="21"/>
                <w:szCs w:val="21"/>
                <w:highlight w:val="none"/>
                <w:lang w:val="en-US" w:eastAsia="zh-CN" w:bidi="ar-SA"/>
              </w:rPr>
              <w:t>且每套系统采用的是二用一备，单台功率</w:t>
            </w:r>
            <w:r>
              <w:rPr>
                <w:rFonts w:hint="eastAsia" w:asciiTheme="minorEastAsia" w:hAnsiTheme="minorEastAsia" w:eastAsiaTheme="minorEastAsia" w:cstheme="minorEastAsia"/>
                <w:kern w:val="2"/>
                <w:sz w:val="21"/>
                <w:szCs w:val="21"/>
                <w:highlight w:val="none"/>
                <w:lang w:val="zh-TW" w:eastAsia="zh-TW" w:bidi="ar-SA"/>
              </w:rPr>
              <w:t>≥</w:t>
            </w:r>
            <w:r>
              <w:rPr>
                <w:rFonts w:hint="eastAsia" w:asciiTheme="minorEastAsia" w:hAnsiTheme="minorEastAsia" w:eastAsiaTheme="minorEastAsia" w:cstheme="minorEastAsia"/>
                <w:kern w:val="2"/>
                <w:sz w:val="21"/>
                <w:szCs w:val="21"/>
                <w:highlight w:val="none"/>
                <w:lang w:val="en-US" w:eastAsia="zh-CN" w:bidi="ar-SA"/>
              </w:rPr>
              <w:t>200</w:t>
            </w:r>
            <w:r>
              <w:rPr>
                <w:rFonts w:hint="eastAsia" w:asciiTheme="minorEastAsia" w:hAnsiTheme="minorEastAsia" w:eastAsiaTheme="minorEastAsia" w:cstheme="minorEastAsia"/>
                <w:kern w:val="2"/>
                <w:sz w:val="21"/>
                <w:szCs w:val="21"/>
                <w:highlight w:val="none"/>
                <w:lang w:val="zh-TW" w:eastAsia="zh-TW" w:bidi="ar-SA"/>
              </w:rPr>
              <w:t>kW</w:t>
            </w:r>
          </w:p>
        </w:tc>
        <w:tc>
          <w:tcPr>
            <w:tcW w:w="444" w:type="dxa"/>
            <w:tcBorders>
              <w:top w:val="single" w:color="000000" w:sz="4" w:space="0"/>
              <w:left w:val="single" w:color="000000" w:sz="4" w:space="0"/>
              <w:bottom w:val="single" w:color="000000" w:sz="4" w:space="0"/>
              <w:right w:val="single" w:color="000000" w:sz="4" w:space="0"/>
            </w:tcBorders>
            <w:shd w:val="clear" w:color="auto" w:fill="CDD4E9"/>
            <w:noWrap w:val="0"/>
            <w:tcMar>
              <w:top w:w="80" w:type="dxa"/>
              <w:left w:w="80" w:type="dxa"/>
              <w:bottom w:w="80" w:type="dxa"/>
              <w:right w:w="80" w:type="dxa"/>
            </w:tcMar>
            <w:vAlign w:val="center"/>
          </w:tcPr>
          <w:p>
            <w:pPr>
              <w:spacing w:line="360" w:lineRule="auto"/>
              <w:jc w:val="center"/>
              <w:rPr>
                <w:rFonts w:hint="eastAsia" w:asciiTheme="minorEastAsia" w:hAnsiTheme="minorEastAsia" w:eastAsiaTheme="minorEastAsia" w:cstheme="minorEastAsia"/>
                <w:szCs w:val="21"/>
                <w:highlight w:val="none"/>
                <w:lang w:val="en-US" w:eastAsia="zh-CN"/>
              </w:rPr>
            </w:pPr>
            <w:r>
              <w:rPr>
                <w:rFonts w:hint="eastAsia" w:asciiTheme="minorEastAsia" w:hAnsiTheme="minorEastAsia" w:eastAsiaTheme="minorEastAsia" w:cstheme="minorEastAsia"/>
                <w:szCs w:val="21"/>
                <w:highlight w:val="none"/>
                <w:lang w:val="en-US" w:eastAsia="zh-CN"/>
              </w:rPr>
              <w:t>6</w:t>
            </w:r>
          </w:p>
        </w:tc>
        <w:tc>
          <w:tcPr>
            <w:tcW w:w="575" w:type="dxa"/>
            <w:tcBorders>
              <w:top w:val="single" w:color="000000" w:sz="4" w:space="0"/>
              <w:left w:val="single" w:color="000000" w:sz="4" w:space="0"/>
              <w:bottom w:val="single" w:color="000000" w:sz="4" w:space="0"/>
              <w:right w:val="single" w:color="000000" w:sz="4" w:space="0"/>
            </w:tcBorders>
            <w:shd w:val="clear" w:color="auto" w:fill="CDD4E9"/>
            <w:noWrap w:val="0"/>
            <w:tcMar>
              <w:top w:w="80" w:type="dxa"/>
              <w:left w:w="80" w:type="dxa"/>
              <w:bottom w:w="80" w:type="dxa"/>
              <w:right w:w="80" w:type="dxa"/>
            </w:tcMar>
            <w:vAlign w:val="center"/>
          </w:tcPr>
          <w:p>
            <w:pPr>
              <w:spacing w:line="360" w:lineRule="auto"/>
              <w:jc w:val="center"/>
              <w:rPr>
                <w:rFonts w:hint="eastAsia" w:asciiTheme="minorEastAsia" w:hAnsiTheme="minorEastAsia" w:eastAsiaTheme="minorEastAsia" w:cstheme="minorEastAsia"/>
                <w:szCs w:val="21"/>
                <w:highlight w:val="none"/>
                <w:lang w:val="en-US" w:eastAsia="zh-CN"/>
              </w:rPr>
            </w:pPr>
            <w:r>
              <w:rPr>
                <w:rFonts w:hint="eastAsia" w:asciiTheme="minorEastAsia" w:hAnsiTheme="minorEastAsia" w:eastAsiaTheme="minorEastAsia" w:cstheme="minorEastAsia"/>
                <w:szCs w:val="21"/>
                <w:highlight w:val="none"/>
                <w:lang w:val="en-US" w:eastAsia="zh-CN"/>
              </w:rPr>
              <w:t>台</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388" w:hRule="atLeast"/>
          <w:jc w:val="center"/>
        </w:trPr>
        <w:tc>
          <w:tcPr>
            <w:tcW w:w="705" w:type="dxa"/>
            <w:tcBorders>
              <w:top w:val="single" w:color="000000" w:sz="4" w:space="0"/>
              <w:left w:val="single" w:color="000000" w:sz="4" w:space="0"/>
              <w:bottom w:val="single" w:color="000000" w:sz="4" w:space="0"/>
              <w:right w:val="single" w:color="000000" w:sz="4" w:space="0"/>
            </w:tcBorders>
            <w:shd w:val="clear" w:color="auto" w:fill="CDD4E9"/>
            <w:noWrap w:val="0"/>
            <w:tcMar>
              <w:top w:w="80" w:type="dxa"/>
              <w:left w:w="80" w:type="dxa"/>
              <w:bottom w:w="80" w:type="dxa"/>
              <w:right w:w="80" w:type="dxa"/>
            </w:tcMar>
            <w:vAlign w:val="center"/>
          </w:tcPr>
          <w:p>
            <w:pPr>
              <w:spacing w:line="360" w:lineRule="auto"/>
              <w:jc w:val="center"/>
              <w:rPr>
                <w:rFonts w:hint="eastAsia" w:asciiTheme="minorEastAsia" w:hAnsiTheme="minorEastAsia" w:eastAsiaTheme="minorEastAsia" w:cstheme="minorEastAsia"/>
                <w:szCs w:val="21"/>
                <w:highlight w:val="none"/>
                <w:lang w:val="en-US" w:eastAsia="zh-CN"/>
              </w:rPr>
            </w:pPr>
            <w:r>
              <w:rPr>
                <w:rFonts w:hint="eastAsia" w:asciiTheme="minorEastAsia" w:hAnsiTheme="minorEastAsia" w:eastAsiaTheme="minorEastAsia" w:cstheme="minorEastAsia"/>
                <w:szCs w:val="21"/>
                <w:highlight w:val="none"/>
                <w:lang w:val="en-US" w:eastAsia="zh-CN"/>
              </w:rPr>
              <w:t>3</w:t>
            </w:r>
          </w:p>
        </w:tc>
        <w:tc>
          <w:tcPr>
            <w:tcW w:w="998" w:type="dxa"/>
            <w:tcBorders>
              <w:top w:val="single" w:color="000000" w:sz="4" w:space="0"/>
              <w:left w:val="single" w:color="000000" w:sz="4" w:space="0"/>
              <w:bottom w:val="single" w:color="000000" w:sz="4" w:space="0"/>
              <w:right w:val="single" w:color="000000" w:sz="4" w:space="0"/>
            </w:tcBorders>
            <w:shd w:val="clear" w:color="auto" w:fill="CDD4E9"/>
            <w:noWrap w:val="0"/>
            <w:tcMar>
              <w:top w:w="80" w:type="dxa"/>
              <w:left w:w="80" w:type="dxa"/>
              <w:bottom w:w="80" w:type="dxa"/>
              <w:right w:w="80" w:type="dxa"/>
            </w:tcMar>
            <w:vAlign w:val="center"/>
          </w:tcPr>
          <w:p>
            <w:pPr>
              <w:spacing w:line="360" w:lineRule="auto"/>
              <w:jc w:val="center"/>
              <w:rPr>
                <w:rFonts w:hint="eastAsia" w:asciiTheme="minorEastAsia" w:hAnsiTheme="minorEastAsia" w:eastAsiaTheme="minorEastAsia" w:cstheme="minorEastAsia"/>
                <w:highlight w:val="none"/>
                <w:lang w:val="zh-TW" w:eastAsia="zh-CN"/>
              </w:rPr>
            </w:pPr>
            <w:r>
              <w:rPr>
                <w:rFonts w:hint="eastAsia" w:asciiTheme="minorEastAsia" w:hAnsiTheme="minorEastAsia" w:eastAsiaTheme="minorEastAsia" w:cstheme="minorEastAsia"/>
                <w:highlight w:val="none"/>
                <w:lang w:val="zh-TW" w:eastAsia="zh-CN"/>
              </w:rPr>
              <w:t>循环水泵</w:t>
            </w:r>
          </w:p>
        </w:tc>
        <w:tc>
          <w:tcPr>
            <w:tcW w:w="7008" w:type="dxa"/>
            <w:tcBorders>
              <w:top w:val="single" w:color="000000" w:sz="4" w:space="0"/>
              <w:left w:val="single" w:color="000000" w:sz="4" w:space="0"/>
              <w:bottom w:val="single" w:color="000000" w:sz="4" w:space="0"/>
              <w:right w:val="single" w:color="000000" w:sz="4" w:space="0"/>
            </w:tcBorders>
            <w:shd w:val="clear" w:color="auto" w:fill="CDD4E9"/>
            <w:noWrap w:val="0"/>
            <w:tcMar>
              <w:top w:w="80" w:type="dxa"/>
              <w:left w:w="80" w:type="dxa"/>
              <w:bottom w:w="80" w:type="dxa"/>
              <w:right w:w="80" w:type="dxa"/>
            </w:tcMar>
            <w:vAlign w:val="center"/>
          </w:tcPr>
          <w:p>
            <w:pPr>
              <w:spacing w:line="360" w:lineRule="auto"/>
              <w:jc w:val="center"/>
              <w:rPr>
                <w:rFonts w:hint="eastAsia" w:asciiTheme="minorEastAsia" w:hAnsiTheme="minorEastAsia" w:eastAsiaTheme="minorEastAsia" w:cstheme="minorEastAsia"/>
                <w:highlight w:val="none"/>
                <w:lang w:val="zh-TW" w:eastAsia="zh-CN"/>
              </w:rPr>
            </w:pPr>
            <w:r>
              <w:rPr>
                <w:rFonts w:hint="eastAsia" w:asciiTheme="minorEastAsia" w:hAnsiTheme="minorEastAsia" w:eastAsiaTheme="minorEastAsia" w:cstheme="minorEastAsia"/>
                <w:kern w:val="2"/>
                <w:sz w:val="21"/>
                <w:szCs w:val="21"/>
                <w:highlight w:val="none"/>
                <w:lang w:val="zh-TW" w:eastAsia="zh-CN" w:bidi="ar-SA"/>
              </w:rPr>
              <w:t>所提供的循环水泵应满足</w:t>
            </w:r>
            <w:r>
              <w:rPr>
                <w:rFonts w:hint="eastAsia" w:asciiTheme="minorEastAsia" w:hAnsiTheme="minorEastAsia" w:eastAsiaTheme="minorEastAsia" w:cstheme="minorEastAsia"/>
                <w:kern w:val="2"/>
                <w:sz w:val="21"/>
                <w:szCs w:val="21"/>
                <w:highlight w:val="none"/>
                <w:lang w:val="en-US" w:eastAsia="zh-CN" w:bidi="ar-SA"/>
              </w:rPr>
              <w:t>系统</w:t>
            </w:r>
            <w:r>
              <w:rPr>
                <w:rFonts w:hint="eastAsia" w:asciiTheme="minorEastAsia" w:hAnsiTheme="minorEastAsia" w:eastAsiaTheme="minorEastAsia" w:cstheme="minorEastAsia"/>
                <w:kern w:val="2"/>
                <w:sz w:val="21"/>
                <w:szCs w:val="21"/>
                <w:highlight w:val="none"/>
                <w:lang w:val="zh-TW" w:eastAsia="zh-CN" w:bidi="ar-SA"/>
              </w:rPr>
              <w:t>设计要求，节能、高效、静音产品，所有水泵均设备用。</w:t>
            </w:r>
          </w:p>
        </w:tc>
        <w:tc>
          <w:tcPr>
            <w:tcW w:w="444" w:type="dxa"/>
            <w:tcBorders>
              <w:top w:val="single" w:color="000000" w:sz="4" w:space="0"/>
              <w:left w:val="single" w:color="000000" w:sz="4" w:space="0"/>
              <w:bottom w:val="single" w:color="000000" w:sz="4" w:space="0"/>
              <w:right w:val="single" w:color="000000" w:sz="4" w:space="0"/>
            </w:tcBorders>
            <w:shd w:val="clear" w:color="auto" w:fill="CDD4E9"/>
            <w:noWrap w:val="0"/>
            <w:tcMar>
              <w:top w:w="80" w:type="dxa"/>
              <w:left w:w="80" w:type="dxa"/>
              <w:bottom w:w="80" w:type="dxa"/>
              <w:right w:w="80" w:type="dxa"/>
            </w:tcMar>
            <w:vAlign w:val="center"/>
          </w:tcPr>
          <w:p>
            <w:pPr>
              <w:spacing w:line="360" w:lineRule="auto"/>
              <w:jc w:val="center"/>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szCs w:val="21"/>
                <w:highlight w:val="none"/>
                <w:lang w:val="en-US" w:eastAsia="zh-CN"/>
              </w:rPr>
              <w:t>4</w:t>
            </w:r>
          </w:p>
        </w:tc>
        <w:tc>
          <w:tcPr>
            <w:tcW w:w="575" w:type="dxa"/>
            <w:tcBorders>
              <w:top w:val="single" w:color="000000" w:sz="4" w:space="0"/>
              <w:left w:val="single" w:color="000000" w:sz="4" w:space="0"/>
              <w:bottom w:val="single" w:color="000000" w:sz="4" w:space="0"/>
              <w:right w:val="single" w:color="000000" w:sz="4" w:space="0"/>
            </w:tcBorders>
            <w:shd w:val="clear" w:color="auto" w:fill="CDD4E9"/>
            <w:noWrap w:val="0"/>
            <w:tcMar>
              <w:top w:w="80" w:type="dxa"/>
              <w:left w:w="80" w:type="dxa"/>
              <w:bottom w:w="80" w:type="dxa"/>
              <w:right w:w="80" w:type="dxa"/>
            </w:tcMar>
            <w:vAlign w:val="center"/>
          </w:tcPr>
          <w:p>
            <w:pPr>
              <w:spacing w:line="360" w:lineRule="auto"/>
              <w:jc w:val="center"/>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szCs w:val="21"/>
                <w:highlight w:val="none"/>
                <w:lang w:val="en-US" w:eastAsia="zh-CN"/>
              </w:rPr>
              <w:t>台</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388" w:hRule="atLeast"/>
          <w:jc w:val="center"/>
        </w:trPr>
        <w:tc>
          <w:tcPr>
            <w:tcW w:w="705" w:type="dxa"/>
            <w:tcBorders>
              <w:top w:val="single" w:color="000000" w:sz="4" w:space="0"/>
              <w:left w:val="single" w:color="000000" w:sz="4" w:space="0"/>
              <w:bottom w:val="single" w:color="000000" w:sz="4" w:space="0"/>
              <w:right w:val="single" w:color="000000" w:sz="4" w:space="0"/>
            </w:tcBorders>
            <w:shd w:val="clear" w:color="auto" w:fill="CDD4E9"/>
            <w:noWrap w:val="0"/>
            <w:tcMar>
              <w:top w:w="80" w:type="dxa"/>
              <w:left w:w="80" w:type="dxa"/>
              <w:bottom w:w="80" w:type="dxa"/>
              <w:right w:w="80" w:type="dxa"/>
            </w:tcMar>
            <w:vAlign w:val="center"/>
          </w:tcPr>
          <w:p>
            <w:pPr>
              <w:spacing w:line="360" w:lineRule="auto"/>
              <w:jc w:val="center"/>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szCs w:val="21"/>
                <w:highlight w:val="none"/>
                <w:lang w:val="en-US" w:eastAsia="zh-CN"/>
              </w:rPr>
              <w:t>4</w:t>
            </w:r>
          </w:p>
        </w:tc>
        <w:tc>
          <w:tcPr>
            <w:tcW w:w="998" w:type="dxa"/>
            <w:tcBorders>
              <w:top w:val="single" w:color="000000" w:sz="4" w:space="0"/>
              <w:left w:val="single" w:color="000000" w:sz="4" w:space="0"/>
              <w:bottom w:val="single" w:color="000000" w:sz="4" w:space="0"/>
              <w:right w:val="single" w:color="000000" w:sz="4" w:space="0"/>
            </w:tcBorders>
            <w:shd w:val="clear" w:color="auto" w:fill="CDD4E9"/>
            <w:noWrap w:val="0"/>
            <w:tcMar>
              <w:top w:w="80" w:type="dxa"/>
              <w:left w:w="80" w:type="dxa"/>
              <w:bottom w:w="80" w:type="dxa"/>
              <w:right w:w="80" w:type="dxa"/>
            </w:tcMar>
            <w:vAlign w:val="center"/>
          </w:tcPr>
          <w:p>
            <w:pPr>
              <w:spacing w:line="360" w:lineRule="auto"/>
              <w:jc w:val="center"/>
              <w:rPr>
                <w:rFonts w:hint="eastAsia" w:asciiTheme="minorEastAsia" w:hAnsiTheme="minorEastAsia" w:eastAsiaTheme="minorEastAsia" w:cstheme="minorEastAsia"/>
                <w:kern w:val="2"/>
                <w:sz w:val="21"/>
                <w:szCs w:val="24"/>
                <w:highlight w:val="none"/>
                <w:lang w:val="zh-TW" w:eastAsia="zh-CN" w:bidi="ar-SA"/>
              </w:rPr>
            </w:pPr>
            <w:r>
              <w:rPr>
                <w:rFonts w:hint="eastAsia" w:asciiTheme="minorEastAsia" w:hAnsiTheme="minorEastAsia" w:eastAsiaTheme="minorEastAsia" w:cstheme="minorEastAsia"/>
                <w:highlight w:val="none"/>
                <w:lang w:val="en-US" w:eastAsia="zh-CN"/>
              </w:rPr>
              <w:t>防冻</w:t>
            </w:r>
            <w:r>
              <w:rPr>
                <w:rFonts w:hint="eastAsia" w:asciiTheme="minorEastAsia" w:hAnsiTheme="minorEastAsia" w:eastAsiaTheme="minorEastAsia" w:cstheme="minorEastAsia"/>
                <w:highlight w:val="none"/>
                <w:lang w:val="zh-TW" w:eastAsia="zh-CN"/>
              </w:rPr>
              <w:t>水泵</w:t>
            </w:r>
          </w:p>
        </w:tc>
        <w:tc>
          <w:tcPr>
            <w:tcW w:w="7008" w:type="dxa"/>
            <w:tcBorders>
              <w:top w:val="single" w:color="000000" w:sz="4" w:space="0"/>
              <w:left w:val="single" w:color="000000" w:sz="4" w:space="0"/>
              <w:bottom w:val="single" w:color="000000" w:sz="4" w:space="0"/>
              <w:right w:val="single" w:color="000000" w:sz="4" w:space="0"/>
            </w:tcBorders>
            <w:shd w:val="clear" w:color="auto" w:fill="CDD4E9"/>
            <w:noWrap w:val="0"/>
            <w:tcMar>
              <w:top w:w="80" w:type="dxa"/>
              <w:left w:w="80" w:type="dxa"/>
              <w:bottom w:w="80" w:type="dxa"/>
              <w:right w:w="80" w:type="dxa"/>
            </w:tcMar>
            <w:vAlign w:val="center"/>
          </w:tcPr>
          <w:p>
            <w:pPr>
              <w:spacing w:line="360" w:lineRule="auto"/>
              <w:jc w:val="center"/>
              <w:rPr>
                <w:rFonts w:hint="eastAsia" w:asciiTheme="minorEastAsia" w:hAnsiTheme="minorEastAsia" w:eastAsiaTheme="minorEastAsia" w:cstheme="minorEastAsia"/>
                <w:kern w:val="2"/>
                <w:sz w:val="21"/>
                <w:szCs w:val="24"/>
                <w:highlight w:val="none"/>
                <w:lang w:val="zh-TW" w:eastAsia="zh-CN" w:bidi="ar-SA"/>
              </w:rPr>
            </w:pPr>
            <w:r>
              <w:rPr>
                <w:rFonts w:hint="eastAsia" w:asciiTheme="minorEastAsia" w:hAnsiTheme="minorEastAsia" w:eastAsiaTheme="minorEastAsia" w:cstheme="minorEastAsia"/>
                <w:kern w:val="2"/>
                <w:sz w:val="21"/>
                <w:szCs w:val="21"/>
                <w:highlight w:val="none"/>
                <w:lang w:val="zh-TW" w:eastAsia="zh-CN" w:bidi="ar-SA"/>
              </w:rPr>
              <w:t>所提供的</w:t>
            </w:r>
            <w:r>
              <w:rPr>
                <w:rFonts w:hint="eastAsia" w:asciiTheme="minorEastAsia" w:hAnsiTheme="minorEastAsia" w:eastAsiaTheme="minorEastAsia" w:cstheme="minorEastAsia"/>
                <w:kern w:val="2"/>
                <w:sz w:val="21"/>
                <w:szCs w:val="21"/>
                <w:highlight w:val="none"/>
                <w:lang w:val="en-US" w:eastAsia="zh-CN" w:bidi="ar-SA"/>
              </w:rPr>
              <w:t>防冻</w:t>
            </w:r>
            <w:r>
              <w:rPr>
                <w:rFonts w:hint="eastAsia" w:asciiTheme="minorEastAsia" w:hAnsiTheme="minorEastAsia" w:eastAsiaTheme="minorEastAsia" w:cstheme="minorEastAsia"/>
                <w:kern w:val="2"/>
                <w:sz w:val="21"/>
                <w:szCs w:val="21"/>
                <w:highlight w:val="none"/>
                <w:lang w:val="zh-TW" w:eastAsia="zh-CN" w:bidi="ar-SA"/>
              </w:rPr>
              <w:t>水泵应满足</w:t>
            </w:r>
            <w:r>
              <w:rPr>
                <w:rFonts w:hint="eastAsia" w:asciiTheme="minorEastAsia" w:hAnsiTheme="minorEastAsia" w:eastAsiaTheme="minorEastAsia" w:cstheme="minorEastAsia"/>
                <w:kern w:val="2"/>
                <w:sz w:val="21"/>
                <w:szCs w:val="21"/>
                <w:highlight w:val="none"/>
                <w:lang w:val="en-US" w:eastAsia="zh-CN" w:bidi="ar-SA"/>
              </w:rPr>
              <w:t>系统</w:t>
            </w:r>
            <w:r>
              <w:rPr>
                <w:rFonts w:hint="eastAsia" w:asciiTheme="minorEastAsia" w:hAnsiTheme="minorEastAsia" w:eastAsiaTheme="minorEastAsia" w:cstheme="minorEastAsia"/>
                <w:kern w:val="2"/>
                <w:sz w:val="21"/>
                <w:szCs w:val="21"/>
                <w:highlight w:val="none"/>
                <w:lang w:val="zh-TW" w:eastAsia="zh-CN" w:bidi="ar-SA"/>
              </w:rPr>
              <w:t>设计要求，节能、高效、静音产品，所有水泵均设备用。</w:t>
            </w:r>
          </w:p>
        </w:tc>
        <w:tc>
          <w:tcPr>
            <w:tcW w:w="444" w:type="dxa"/>
            <w:tcBorders>
              <w:top w:val="single" w:color="000000" w:sz="4" w:space="0"/>
              <w:left w:val="single" w:color="000000" w:sz="4" w:space="0"/>
              <w:bottom w:val="single" w:color="000000" w:sz="4" w:space="0"/>
              <w:right w:val="single" w:color="000000" w:sz="4" w:space="0"/>
            </w:tcBorders>
            <w:shd w:val="clear" w:color="auto" w:fill="CDD4E9"/>
            <w:noWrap w:val="0"/>
            <w:tcMar>
              <w:top w:w="80" w:type="dxa"/>
              <w:left w:w="80" w:type="dxa"/>
              <w:bottom w:w="80" w:type="dxa"/>
              <w:right w:w="80" w:type="dxa"/>
            </w:tcMar>
            <w:vAlign w:val="center"/>
          </w:tcPr>
          <w:p>
            <w:pPr>
              <w:spacing w:line="360" w:lineRule="auto"/>
              <w:jc w:val="center"/>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szCs w:val="21"/>
                <w:highlight w:val="none"/>
                <w:lang w:val="en-US" w:eastAsia="zh-CN"/>
              </w:rPr>
              <w:t>2</w:t>
            </w:r>
          </w:p>
        </w:tc>
        <w:tc>
          <w:tcPr>
            <w:tcW w:w="575" w:type="dxa"/>
            <w:tcBorders>
              <w:top w:val="single" w:color="000000" w:sz="4" w:space="0"/>
              <w:left w:val="single" w:color="000000" w:sz="4" w:space="0"/>
              <w:bottom w:val="single" w:color="000000" w:sz="4" w:space="0"/>
              <w:right w:val="single" w:color="000000" w:sz="4" w:space="0"/>
            </w:tcBorders>
            <w:shd w:val="clear" w:color="auto" w:fill="CDD4E9"/>
            <w:noWrap w:val="0"/>
            <w:tcMar>
              <w:top w:w="80" w:type="dxa"/>
              <w:left w:w="80" w:type="dxa"/>
              <w:bottom w:w="80" w:type="dxa"/>
              <w:right w:w="80" w:type="dxa"/>
            </w:tcMar>
            <w:vAlign w:val="center"/>
          </w:tcPr>
          <w:p>
            <w:pPr>
              <w:spacing w:line="360" w:lineRule="auto"/>
              <w:jc w:val="center"/>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szCs w:val="21"/>
                <w:highlight w:val="none"/>
                <w:lang w:val="en-US" w:eastAsia="zh-CN"/>
              </w:rPr>
              <w:t>台</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388" w:hRule="atLeast"/>
          <w:jc w:val="center"/>
        </w:trPr>
        <w:tc>
          <w:tcPr>
            <w:tcW w:w="705" w:type="dxa"/>
            <w:tcBorders>
              <w:top w:val="single" w:color="000000" w:sz="4" w:space="0"/>
              <w:left w:val="single" w:color="000000" w:sz="4" w:space="0"/>
              <w:bottom w:val="single" w:color="000000" w:sz="4" w:space="0"/>
              <w:right w:val="single" w:color="000000" w:sz="4" w:space="0"/>
            </w:tcBorders>
            <w:shd w:val="clear" w:color="auto" w:fill="CDD4E9"/>
            <w:noWrap w:val="0"/>
            <w:tcMar>
              <w:top w:w="80" w:type="dxa"/>
              <w:left w:w="80" w:type="dxa"/>
              <w:bottom w:w="80" w:type="dxa"/>
              <w:right w:w="80" w:type="dxa"/>
            </w:tcMar>
            <w:vAlign w:val="center"/>
          </w:tcPr>
          <w:p>
            <w:pPr>
              <w:spacing w:line="360" w:lineRule="auto"/>
              <w:jc w:val="center"/>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szCs w:val="21"/>
                <w:highlight w:val="none"/>
                <w:lang w:val="en-US" w:eastAsia="zh-CN"/>
              </w:rPr>
              <w:t>5</w:t>
            </w:r>
          </w:p>
        </w:tc>
        <w:tc>
          <w:tcPr>
            <w:tcW w:w="998" w:type="dxa"/>
            <w:tcBorders>
              <w:top w:val="single" w:color="000000" w:sz="4" w:space="0"/>
              <w:left w:val="single" w:color="000000" w:sz="4" w:space="0"/>
              <w:bottom w:val="single" w:color="000000" w:sz="4" w:space="0"/>
              <w:right w:val="single" w:color="000000" w:sz="4" w:space="0"/>
            </w:tcBorders>
            <w:shd w:val="clear" w:color="auto" w:fill="CDD4E9"/>
            <w:noWrap w:val="0"/>
            <w:tcMar>
              <w:top w:w="80" w:type="dxa"/>
              <w:left w:w="80" w:type="dxa"/>
              <w:bottom w:w="80" w:type="dxa"/>
              <w:right w:w="80" w:type="dxa"/>
            </w:tcMar>
            <w:vAlign w:val="center"/>
          </w:tcPr>
          <w:p>
            <w:pPr>
              <w:spacing w:line="360" w:lineRule="auto"/>
              <w:jc w:val="center"/>
              <w:rPr>
                <w:rFonts w:hint="eastAsia" w:asciiTheme="minorEastAsia" w:hAnsiTheme="minorEastAsia" w:eastAsiaTheme="minorEastAsia" w:cstheme="minorEastAsia"/>
                <w:kern w:val="2"/>
                <w:sz w:val="21"/>
                <w:szCs w:val="24"/>
                <w:highlight w:val="none"/>
                <w:lang w:val="en-US" w:eastAsia="zh-CN" w:bidi="ar-SA"/>
              </w:rPr>
            </w:pPr>
            <w:r>
              <w:rPr>
                <w:rFonts w:hint="eastAsia" w:asciiTheme="minorEastAsia" w:hAnsiTheme="minorEastAsia" w:eastAsiaTheme="minorEastAsia" w:cstheme="minorEastAsia"/>
                <w:highlight w:val="none"/>
                <w:lang w:val="en-US" w:eastAsia="zh-CN"/>
              </w:rPr>
              <w:t>定压补水装置</w:t>
            </w:r>
          </w:p>
        </w:tc>
        <w:tc>
          <w:tcPr>
            <w:tcW w:w="7008" w:type="dxa"/>
            <w:tcBorders>
              <w:top w:val="single" w:color="000000" w:sz="4" w:space="0"/>
              <w:left w:val="single" w:color="000000" w:sz="4" w:space="0"/>
              <w:bottom w:val="single" w:color="000000" w:sz="4" w:space="0"/>
              <w:right w:val="single" w:color="000000" w:sz="4" w:space="0"/>
            </w:tcBorders>
            <w:shd w:val="clear" w:color="auto" w:fill="CDD4E9"/>
            <w:noWrap w:val="0"/>
            <w:tcMar>
              <w:top w:w="80" w:type="dxa"/>
              <w:left w:w="80" w:type="dxa"/>
              <w:bottom w:w="80" w:type="dxa"/>
              <w:right w:w="80" w:type="dxa"/>
            </w:tcMar>
            <w:vAlign w:val="center"/>
          </w:tcPr>
          <w:p>
            <w:pPr>
              <w:spacing w:line="360" w:lineRule="auto"/>
              <w:jc w:val="center"/>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定制，</w:t>
            </w:r>
            <w:r>
              <w:rPr>
                <w:rFonts w:hint="eastAsia" w:asciiTheme="minorEastAsia" w:hAnsiTheme="minorEastAsia" w:eastAsiaTheme="minorEastAsia" w:cstheme="minorEastAsia"/>
                <w:kern w:val="2"/>
                <w:sz w:val="21"/>
                <w:szCs w:val="21"/>
                <w:highlight w:val="none"/>
                <w:lang w:val="zh-TW" w:eastAsia="zh-CN" w:bidi="ar-SA"/>
              </w:rPr>
              <w:t>应满足</w:t>
            </w:r>
            <w:r>
              <w:rPr>
                <w:rFonts w:hint="eastAsia" w:asciiTheme="minorEastAsia" w:hAnsiTheme="minorEastAsia" w:eastAsiaTheme="minorEastAsia" w:cstheme="minorEastAsia"/>
                <w:kern w:val="2"/>
                <w:sz w:val="21"/>
                <w:szCs w:val="21"/>
                <w:highlight w:val="none"/>
                <w:lang w:val="en-US" w:eastAsia="zh-CN" w:bidi="ar-SA"/>
              </w:rPr>
              <w:t>系统</w:t>
            </w:r>
            <w:r>
              <w:rPr>
                <w:rFonts w:hint="eastAsia" w:asciiTheme="minorEastAsia" w:hAnsiTheme="minorEastAsia" w:eastAsiaTheme="minorEastAsia" w:cstheme="minorEastAsia"/>
                <w:kern w:val="2"/>
                <w:sz w:val="21"/>
                <w:szCs w:val="21"/>
                <w:highlight w:val="none"/>
                <w:lang w:val="zh-TW" w:eastAsia="zh-CN" w:bidi="ar-SA"/>
              </w:rPr>
              <w:t>设计要求</w:t>
            </w:r>
          </w:p>
        </w:tc>
        <w:tc>
          <w:tcPr>
            <w:tcW w:w="444" w:type="dxa"/>
            <w:tcBorders>
              <w:top w:val="single" w:color="000000" w:sz="4" w:space="0"/>
              <w:left w:val="single" w:color="000000" w:sz="4" w:space="0"/>
              <w:bottom w:val="single" w:color="000000" w:sz="4" w:space="0"/>
              <w:right w:val="single" w:color="000000" w:sz="4" w:space="0"/>
            </w:tcBorders>
            <w:shd w:val="clear" w:color="auto" w:fill="CDD4E9"/>
            <w:noWrap w:val="0"/>
            <w:tcMar>
              <w:top w:w="80" w:type="dxa"/>
              <w:left w:w="80" w:type="dxa"/>
              <w:bottom w:w="80" w:type="dxa"/>
              <w:right w:w="80" w:type="dxa"/>
            </w:tcMar>
            <w:vAlign w:val="center"/>
          </w:tcPr>
          <w:p>
            <w:pPr>
              <w:spacing w:line="360" w:lineRule="auto"/>
              <w:jc w:val="center"/>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szCs w:val="21"/>
                <w:highlight w:val="none"/>
                <w:lang w:val="en-US" w:eastAsia="zh-CN"/>
              </w:rPr>
              <w:t>2</w:t>
            </w:r>
          </w:p>
        </w:tc>
        <w:tc>
          <w:tcPr>
            <w:tcW w:w="575" w:type="dxa"/>
            <w:tcBorders>
              <w:top w:val="single" w:color="000000" w:sz="4" w:space="0"/>
              <w:left w:val="single" w:color="000000" w:sz="4" w:space="0"/>
              <w:bottom w:val="single" w:color="000000" w:sz="4" w:space="0"/>
              <w:right w:val="single" w:color="000000" w:sz="4" w:space="0"/>
            </w:tcBorders>
            <w:shd w:val="clear" w:color="auto" w:fill="CDD4E9"/>
            <w:noWrap w:val="0"/>
            <w:tcMar>
              <w:top w:w="80" w:type="dxa"/>
              <w:left w:w="80" w:type="dxa"/>
              <w:bottom w:w="80" w:type="dxa"/>
              <w:right w:w="80" w:type="dxa"/>
            </w:tcMar>
            <w:vAlign w:val="center"/>
          </w:tcPr>
          <w:p>
            <w:pPr>
              <w:spacing w:line="360" w:lineRule="auto"/>
              <w:jc w:val="center"/>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szCs w:val="21"/>
                <w:highlight w:val="none"/>
                <w:lang w:val="en-US" w:eastAsia="zh-CN"/>
              </w:rPr>
              <w:t>套</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388" w:hRule="atLeast"/>
          <w:jc w:val="center"/>
        </w:trPr>
        <w:tc>
          <w:tcPr>
            <w:tcW w:w="705" w:type="dxa"/>
            <w:tcBorders>
              <w:top w:val="single" w:color="000000" w:sz="4" w:space="0"/>
              <w:left w:val="single" w:color="000000" w:sz="4" w:space="0"/>
              <w:bottom w:val="single" w:color="000000" w:sz="4" w:space="0"/>
              <w:right w:val="single" w:color="000000" w:sz="4" w:space="0"/>
            </w:tcBorders>
            <w:shd w:val="clear" w:color="auto" w:fill="CDD4E9"/>
            <w:noWrap w:val="0"/>
            <w:tcMar>
              <w:top w:w="80" w:type="dxa"/>
              <w:left w:w="80" w:type="dxa"/>
              <w:bottom w:w="80" w:type="dxa"/>
              <w:right w:w="80" w:type="dxa"/>
            </w:tcMar>
            <w:vAlign w:val="center"/>
          </w:tcPr>
          <w:p>
            <w:pPr>
              <w:spacing w:line="360" w:lineRule="auto"/>
              <w:jc w:val="center"/>
              <w:rPr>
                <w:rFonts w:hint="eastAsia" w:asciiTheme="minorEastAsia" w:hAnsiTheme="minorEastAsia" w:eastAsiaTheme="minorEastAsia" w:cstheme="minorEastAsia"/>
                <w:szCs w:val="21"/>
                <w:highlight w:val="none"/>
                <w:lang w:val="en-US" w:eastAsia="zh-CN"/>
              </w:rPr>
            </w:pPr>
            <w:r>
              <w:rPr>
                <w:rFonts w:hint="eastAsia" w:asciiTheme="minorEastAsia" w:hAnsiTheme="minorEastAsia" w:eastAsiaTheme="minorEastAsia" w:cstheme="minorEastAsia"/>
                <w:szCs w:val="21"/>
                <w:highlight w:val="none"/>
                <w:lang w:val="en-US" w:eastAsia="zh-CN"/>
              </w:rPr>
              <w:t>6</w:t>
            </w:r>
          </w:p>
        </w:tc>
        <w:tc>
          <w:tcPr>
            <w:tcW w:w="998" w:type="dxa"/>
            <w:tcBorders>
              <w:top w:val="single" w:color="000000" w:sz="4" w:space="0"/>
              <w:left w:val="single" w:color="000000" w:sz="4" w:space="0"/>
              <w:bottom w:val="single" w:color="000000" w:sz="4" w:space="0"/>
              <w:right w:val="single" w:color="000000" w:sz="4" w:space="0"/>
            </w:tcBorders>
            <w:shd w:val="clear" w:color="auto" w:fill="CDD4E9"/>
            <w:noWrap w:val="0"/>
            <w:tcMar>
              <w:top w:w="80" w:type="dxa"/>
              <w:left w:w="80" w:type="dxa"/>
              <w:bottom w:w="80" w:type="dxa"/>
              <w:right w:w="80" w:type="dxa"/>
            </w:tcMar>
            <w:vAlign w:val="center"/>
          </w:tcPr>
          <w:p>
            <w:pPr>
              <w:spacing w:line="360" w:lineRule="auto"/>
              <w:jc w:val="center"/>
              <w:rPr>
                <w:rFonts w:hint="eastAsia" w:asciiTheme="minorEastAsia" w:hAnsiTheme="minorEastAsia" w:eastAsiaTheme="minorEastAsia" w:cstheme="minorEastAsia"/>
                <w:highlight w:val="none"/>
                <w:lang w:val="en-US" w:eastAsia="zh-CN"/>
              </w:rPr>
            </w:pPr>
            <w:r>
              <w:rPr>
                <w:rFonts w:hint="eastAsia" w:asciiTheme="minorEastAsia" w:hAnsiTheme="minorEastAsia" w:eastAsiaTheme="minorEastAsia" w:cstheme="minorEastAsia"/>
                <w:highlight w:val="none"/>
                <w:lang w:val="en-US" w:eastAsia="zh-CN"/>
              </w:rPr>
              <w:t>设备机房</w:t>
            </w:r>
          </w:p>
        </w:tc>
        <w:tc>
          <w:tcPr>
            <w:tcW w:w="7008" w:type="dxa"/>
            <w:tcBorders>
              <w:top w:val="single" w:color="000000" w:sz="4" w:space="0"/>
              <w:left w:val="single" w:color="000000" w:sz="4" w:space="0"/>
              <w:bottom w:val="single" w:color="000000" w:sz="4" w:space="0"/>
              <w:right w:val="single" w:color="000000" w:sz="4" w:space="0"/>
            </w:tcBorders>
            <w:shd w:val="clear" w:color="auto" w:fill="CDD4E9"/>
            <w:noWrap w:val="0"/>
            <w:tcMar>
              <w:top w:w="80" w:type="dxa"/>
              <w:left w:w="80" w:type="dxa"/>
              <w:bottom w:w="80" w:type="dxa"/>
              <w:right w:w="80" w:type="dxa"/>
            </w:tcMar>
            <w:vAlign w:val="center"/>
          </w:tcPr>
          <w:p>
            <w:pPr>
              <w:spacing w:line="360" w:lineRule="auto"/>
              <w:jc w:val="center"/>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机房内装有</w:t>
            </w:r>
            <w:r>
              <w:rPr>
                <w:rFonts w:hint="eastAsia" w:asciiTheme="minorEastAsia" w:hAnsiTheme="minorEastAsia" w:eastAsiaTheme="minorEastAsia" w:cstheme="minorEastAsia"/>
                <w:kern w:val="2"/>
                <w:sz w:val="21"/>
                <w:szCs w:val="21"/>
                <w:highlight w:val="none"/>
                <w:lang w:val="zh-TW" w:eastAsia="zh-CN" w:bidi="ar-SA"/>
              </w:rPr>
              <w:t>电辅助应急加热装置、</w:t>
            </w:r>
            <w:r>
              <w:rPr>
                <w:rFonts w:hint="eastAsia" w:asciiTheme="minorEastAsia" w:hAnsiTheme="minorEastAsia" w:eastAsiaTheme="minorEastAsia" w:cstheme="minorEastAsia"/>
                <w:kern w:val="2"/>
                <w:sz w:val="21"/>
                <w:szCs w:val="21"/>
                <w:highlight w:val="none"/>
                <w:lang w:val="en-US" w:eastAsia="zh-CN" w:bidi="ar-SA"/>
              </w:rPr>
              <w:t>水泵、定压补水装置、柴油发电机、电箱等（</w:t>
            </w:r>
            <w:r>
              <w:rPr>
                <w:rFonts w:hint="eastAsia" w:asciiTheme="minorEastAsia" w:hAnsiTheme="minorEastAsia" w:eastAsiaTheme="minorEastAsia" w:cstheme="minorEastAsia"/>
                <w:kern w:val="2"/>
                <w:sz w:val="21"/>
                <w:szCs w:val="21"/>
                <w:highlight w:val="none"/>
                <w:lang w:val="zh-TW" w:eastAsia="zh-CN" w:bidi="ar-SA"/>
              </w:rPr>
              <w:t>应满足</w:t>
            </w:r>
            <w:r>
              <w:rPr>
                <w:rFonts w:hint="eastAsia" w:asciiTheme="minorEastAsia" w:hAnsiTheme="minorEastAsia" w:eastAsiaTheme="minorEastAsia" w:cstheme="minorEastAsia"/>
                <w:kern w:val="2"/>
                <w:sz w:val="21"/>
                <w:szCs w:val="21"/>
                <w:highlight w:val="none"/>
                <w:lang w:val="en-US" w:eastAsia="zh-CN" w:bidi="ar-SA"/>
              </w:rPr>
              <w:t>系统</w:t>
            </w:r>
            <w:r>
              <w:rPr>
                <w:rFonts w:hint="eastAsia" w:asciiTheme="minorEastAsia" w:hAnsiTheme="minorEastAsia" w:eastAsiaTheme="minorEastAsia" w:cstheme="minorEastAsia"/>
                <w:kern w:val="2"/>
                <w:sz w:val="21"/>
                <w:szCs w:val="21"/>
                <w:highlight w:val="none"/>
                <w:lang w:val="zh-TW" w:eastAsia="zh-CN" w:bidi="ar-SA"/>
              </w:rPr>
              <w:t>设计要求</w:t>
            </w:r>
            <w:r>
              <w:rPr>
                <w:rFonts w:hint="eastAsia" w:asciiTheme="minorEastAsia" w:hAnsiTheme="minorEastAsia" w:eastAsiaTheme="minorEastAsia" w:cstheme="minorEastAsia"/>
                <w:kern w:val="2"/>
                <w:sz w:val="21"/>
                <w:szCs w:val="21"/>
                <w:highlight w:val="none"/>
                <w:lang w:val="en-US" w:eastAsia="zh-CN" w:bidi="ar-SA"/>
              </w:rPr>
              <w:t>）</w:t>
            </w:r>
          </w:p>
        </w:tc>
        <w:tc>
          <w:tcPr>
            <w:tcW w:w="444" w:type="dxa"/>
            <w:tcBorders>
              <w:top w:val="single" w:color="000000" w:sz="4" w:space="0"/>
              <w:left w:val="single" w:color="000000" w:sz="4" w:space="0"/>
              <w:bottom w:val="single" w:color="000000" w:sz="4" w:space="0"/>
              <w:right w:val="single" w:color="000000" w:sz="4" w:space="0"/>
            </w:tcBorders>
            <w:shd w:val="clear" w:color="auto" w:fill="CDD4E9"/>
            <w:noWrap w:val="0"/>
            <w:tcMar>
              <w:top w:w="80" w:type="dxa"/>
              <w:left w:w="80" w:type="dxa"/>
              <w:bottom w:w="80" w:type="dxa"/>
              <w:right w:w="80" w:type="dxa"/>
            </w:tcMar>
            <w:vAlign w:val="center"/>
          </w:tcPr>
          <w:p>
            <w:pPr>
              <w:spacing w:line="360" w:lineRule="auto"/>
              <w:jc w:val="center"/>
              <w:rPr>
                <w:rFonts w:hint="eastAsia" w:asciiTheme="minorEastAsia" w:hAnsiTheme="minorEastAsia" w:eastAsiaTheme="minorEastAsia" w:cstheme="minorEastAsia"/>
                <w:szCs w:val="21"/>
                <w:highlight w:val="none"/>
                <w:lang w:val="en-US" w:eastAsia="zh-CN"/>
              </w:rPr>
            </w:pPr>
            <w:r>
              <w:rPr>
                <w:rFonts w:hint="eastAsia" w:asciiTheme="minorEastAsia" w:hAnsiTheme="minorEastAsia" w:eastAsiaTheme="minorEastAsia" w:cstheme="minorEastAsia"/>
                <w:szCs w:val="21"/>
                <w:highlight w:val="none"/>
                <w:lang w:val="en-US" w:eastAsia="zh-CN"/>
              </w:rPr>
              <w:t>2</w:t>
            </w:r>
          </w:p>
        </w:tc>
        <w:tc>
          <w:tcPr>
            <w:tcW w:w="575" w:type="dxa"/>
            <w:tcBorders>
              <w:top w:val="single" w:color="000000" w:sz="4" w:space="0"/>
              <w:left w:val="single" w:color="000000" w:sz="4" w:space="0"/>
              <w:bottom w:val="single" w:color="000000" w:sz="4" w:space="0"/>
              <w:right w:val="single" w:color="000000" w:sz="4" w:space="0"/>
            </w:tcBorders>
            <w:shd w:val="clear" w:color="auto" w:fill="CDD4E9"/>
            <w:noWrap w:val="0"/>
            <w:tcMar>
              <w:top w:w="80" w:type="dxa"/>
              <w:left w:w="80" w:type="dxa"/>
              <w:bottom w:w="80" w:type="dxa"/>
              <w:right w:w="80" w:type="dxa"/>
            </w:tcMar>
            <w:vAlign w:val="center"/>
          </w:tcPr>
          <w:p>
            <w:pPr>
              <w:spacing w:line="360" w:lineRule="auto"/>
              <w:jc w:val="center"/>
              <w:rPr>
                <w:rFonts w:hint="eastAsia" w:asciiTheme="minorEastAsia" w:hAnsiTheme="minorEastAsia" w:eastAsiaTheme="minorEastAsia" w:cstheme="minorEastAsia"/>
                <w:szCs w:val="21"/>
                <w:highlight w:val="none"/>
                <w:lang w:val="en-US" w:eastAsia="zh-CN"/>
              </w:rPr>
            </w:pPr>
            <w:r>
              <w:rPr>
                <w:rFonts w:hint="eastAsia" w:asciiTheme="minorEastAsia" w:hAnsiTheme="minorEastAsia" w:eastAsiaTheme="minorEastAsia" w:cstheme="minorEastAsia"/>
                <w:szCs w:val="21"/>
                <w:highlight w:val="none"/>
                <w:lang w:val="en-US" w:eastAsia="zh-CN"/>
              </w:rPr>
              <w:t>套</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388" w:hRule="atLeast"/>
          <w:jc w:val="center"/>
        </w:trPr>
        <w:tc>
          <w:tcPr>
            <w:tcW w:w="705" w:type="dxa"/>
            <w:tcBorders>
              <w:top w:val="single" w:color="000000" w:sz="4" w:space="0"/>
              <w:left w:val="single" w:color="000000" w:sz="4" w:space="0"/>
              <w:bottom w:val="single" w:color="000000" w:sz="4" w:space="0"/>
              <w:right w:val="single" w:color="000000" w:sz="4" w:space="0"/>
            </w:tcBorders>
            <w:shd w:val="clear" w:color="auto" w:fill="CDD4E9"/>
            <w:noWrap w:val="0"/>
            <w:tcMar>
              <w:top w:w="80" w:type="dxa"/>
              <w:left w:w="80" w:type="dxa"/>
              <w:bottom w:w="80" w:type="dxa"/>
              <w:right w:w="80" w:type="dxa"/>
            </w:tcMar>
            <w:vAlign w:val="center"/>
          </w:tcPr>
          <w:p>
            <w:pPr>
              <w:spacing w:line="360" w:lineRule="auto"/>
              <w:jc w:val="center"/>
              <w:rPr>
                <w:rFonts w:hint="eastAsia" w:asciiTheme="minorEastAsia" w:hAnsiTheme="minorEastAsia" w:eastAsiaTheme="minorEastAsia" w:cstheme="minorEastAsia"/>
                <w:szCs w:val="21"/>
                <w:highlight w:val="none"/>
                <w:lang w:val="en-US" w:eastAsia="zh-CN"/>
              </w:rPr>
            </w:pPr>
            <w:r>
              <w:rPr>
                <w:rFonts w:hint="eastAsia" w:asciiTheme="minorEastAsia" w:hAnsiTheme="minorEastAsia" w:eastAsiaTheme="minorEastAsia" w:cstheme="minorEastAsia"/>
                <w:szCs w:val="21"/>
                <w:highlight w:val="none"/>
                <w:lang w:val="en-US" w:eastAsia="zh-CN"/>
              </w:rPr>
              <w:t>7</w:t>
            </w:r>
          </w:p>
        </w:tc>
        <w:tc>
          <w:tcPr>
            <w:tcW w:w="998" w:type="dxa"/>
            <w:tcBorders>
              <w:top w:val="single" w:color="000000" w:sz="4" w:space="0"/>
              <w:left w:val="single" w:color="000000" w:sz="4" w:space="0"/>
              <w:bottom w:val="single" w:color="000000" w:sz="4" w:space="0"/>
              <w:right w:val="single" w:color="000000" w:sz="4" w:space="0"/>
            </w:tcBorders>
            <w:shd w:val="clear" w:color="auto" w:fill="CDD4E9"/>
            <w:noWrap w:val="0"/>
            <w:tcMar>
              <w:top w:w="80" w:type="dxa"/>
              <w:left w:w="80" w:type="dxa"/>
              <w:bottom w:w="80" w:type="dxa"/>
              <w:right w:w="80" w:type="dxa"/>
            </w:tcMar>
            <w:vAlign w:val="center"/>
          </w:tcPr>
          <w:p>
            <w:pPr>
              <w:spacing w:line="360" w:lineRule="auto"/>
              <w:jc w:val="center"/>
              <w:rPr>
                <w:rFonts w:hint="eastAsia" w:asciiTheme="minorEastAsia" w:hAnsiTheme="minorEastAsia" w:eastAsiaTheme="minorEastAsia" w:cstheme="minorEastAsia"/>
                <w:highlight w:val="none"/>
                <w:lang w:val="en-US" w:eastAsia="zh-CN"/>
              </w:rPr>
            </w:pPr>
            <w:r>
              <w:rPr>
                <w:rFonts w:hint="eastAsia" w:asciiTheme="minorEastAsia" w:hAnsiTheme="minorEastAsia" w:eastAsiaTheme="minorEastAsia" w:cstheme="minorEastAsia"/>
                <w:highlight w:val="none"/>
                <w:lang w:val="en-US" w:eastAsia="zh-CN"/>
              </w:rPr>
              <w:t>柴油发电机</w:t>
            </w:r>
          </w:p>
        </w:tc>
        <w:tc>
          <w:tcPr>
            <w:tcW w:w="7008" w:type="dxa"/>
            <w:tcBorders>
              <w:top w:val="single" w:color="000000" w:sz="4" w:space="0"/>
              <w:left w:val="single" w:color="000000" w:sz="4" w:space="0"/>
              <w:bottom w:val="single" w:color="000000" w:sz="4" w:space="0"/>
              <w:right w:val="single" w:color="000000" w:sz="4" w:space="0"/>
            </w:tcBorders>
            <w:shd w:val="clear" w:color="auto" w:fill="CDD4E9"/>
            <w:noWrap w:val="0"/>
            <w:tcMar>
              <w:top w:w="80" w:type="dxa"/>
              <w:left w:w="80" w:type="dxa"/>
              <w:bottom w:w="80" w:type="dxa"/>
              <w:right w:w="80" w:type="dxa"/>
            </w:tcMar>
            <w:vAlign w:val="center"/>
          </w:tcPr>
          <w:p>
            <w:pPr>
              <w:spacing w:line="360" w:lineRule="auto"/>
              <w:jc w:val="center"/>
              <w:rPr>
                <w:rFonts w:hint="eastAsia" w:asciiTheme="minorEastAsia" w:hAnsiTheme="minorEastAsia" w:eastAsiaTheme="minorEastAsia" w:cstheme="minorEastAsia"/>
                <w:highlight w:val="none"/>
                <w:lang w:val="en-US" w:eastAsia="zh-CN"/>
              </w:rPr>
            </w:pPr>
            <w:r>
              <w:rPr>
                <w:rFonts w:hint="eastAsia" w:asciiTheme="minorEastAsia" w:hAnsiTheme="minorEastAsia" w:eastAsiaTheme="minorEastAsia" w:cstheme="minorEastAsia"/>
                <w:kern w:val="2"/>
                <w:sz w:val="21"/>
                <w:szCs w:val="21"/>
                <w:highlight w:val="none"/>
                <w:lang w:val="en-US" w:eastAsia="zh-CN" w:bidi="ar-SA"/>
              </w:rPr>
              <w:t>设置在防冻系统中（</w:t>
            </w:r>
            <w:r>
              <w:rPr>
                <w:rFonts w:hint="eastAsia" w:asciiTheme="minorEastAsia" w:hAnsiTheme="minorEastAsia" w:eastAsiaTheme="minorEastAsia" w:cstheme="minorEastAsia"/>
                <w:kern w:val="2"/>
                <w:sz w:val="21"/>
                <w:szCs w:val="21"/>
                <w:highlight w:val="none"/>
                <w:lang w:val="zh-TW" w:eastAsia="zh-CN" w:bidi="ar-SA"/>
              </w:rPr>
              <w:t>应满足</w:t>
            </w:r>
            <w:r>
              <w:rPr>
                <w:rFonts w:hint="eastAsia" w:asciiTheme="minorEastAsia" w:hAnsiTheme="minorEastAsia" w:eastAsiaTheme="minorEastAsia" w:cstheme="minorEastAsia"/>
                <w:kern w:val="2"/>
                <w:sz w:val="21"/>
                <w:szCs w:val="21"/>
                <w:highlight w:val="none"/>
                <w:lang w:val="en-US" w:eastAsia="zh-CN" w:bidi="ar-SA"/>
              </w:rPr>
              <w:t>系统</w:t>
            </w:r>
            <w:r>
              <w:rPr>
                <w:rFonts w:hint="eastAsia" w:asciiTheme="minorEastAsia" w:hAnsiTheme="minorEastAsia" w:eastAsiaTheme="minorEastAsia" w:cstheme="minorEastAsia"/>
                <w:kern w:val="2"/>
                <w:sz w:val="21"/>
                <w:szCs w:val="21"/>
                <w:highlight w:val="none"/>
                <w:lang w:val="zh-TW" w:eastAsia="zh-CN" w:bidi="ar-SA"/>
              </w:rPr>
              <w:t>设计要求</w:t>
            </w:r>
            <w:r>
              <w:rPr>
                <w:rFonts w:hint="eastAsia" w:asciiTheme="minorEastAsia" w:hAnsiTheme="minorEastAsia" w:eastAsiaTheme="minorEastAsia" w:cstheme="minorEastAsia"/>
                <w:kern w:val="2"/>
                <w:sz w:val="21"/>
                <w:szCs w:val="21"/>
                <w:highlight w:val="none"/>
                <w:lang w:val="en-US" w:eastAsia="zh-CN" w:bidi="ar-SA"/>
              </w:rPr>
              <w:t>）</w:t>
            </w:r>
          </w:p>
        </w:tc>
        <w:tc>
          <w:tcPr>
            <w:tcW w:w="444" w:type="dxa"/>
            <w:tcBorders>
              <w:top w:val="single" w:color="000000" w:sz="4" w:space="0"/>
              <w:left w:val="single" w:color="000000" w:sz="4" w:space="0"/>
              <w:bottom w:val="single" w:color="000000" w:sz="4" w:space="0"/>
              <w:right w:val="single" w:color="000000" w:sz="4" w:space="0"/>
            </w:tcBorders>
            <w:shd w:val="clear" w:color="auto" w:fill="CDD4E9"/>
            <w:noWrap w:val="0"/>
            <w:tcMar>
              <w:top w:w="80" w:type="dxa"/>
              <w:left w:w="80" w:type="dxa"/>
              <w:bottom w:w="80" w:type="dxa"/>
              <w:right w:w="80" w:type="dxa"/>
            </w:tcMar>
            <w:vAlign w:val="center"/>
          </w:tcPr>
          <w:p>
            <w:pPr>
              <w:spacing w:line="360" w:lineRule="auto"/>
              <w:jc w:val="center"/>
              <w:rPr>
                <w:rFonts w:hint="eastAsia" w:asciiTheme="minorEastAsia" w:hAnsiTheme="minorEastAsia" w:eastAsiaTheme="minorEastAsia" w:cstheme="minorEastAsia"/>
                <w:szCs w:val="21"/>
                <w:highlight w:val="none"/>
                <w:lang w:val="en-US" w:eastAsia="zh-CN"/>
              </w:rPr>
            </w:pPr>
            <w:r>
              <w:rPr>
                <w:rFonts w:hint="eastAsia" w:asciiTheme="minorEastAsia" w:hAnsiTheme="minorEastAsia" w:eastAsiaTheme="minorEastAsia" w:cstheme="minorEastAsia"/>
                <w:szCs w:val="21"/>
                <w:highlight w:val="none"/>
                <w:lang w:val="en-US" w:eastAsia="zh-CN"/>
              </w:rPr>
              <w:t>2</w:t>
            </w:r>
          </w:p>
        </w:tc>
        <w:tc>
          <w:tcPr>
            <w:tcW w:w="575" w:type="dxa"/>
            <w:tcBorders>
              <w:top w:val="single" w:color="000000" w:sz="4" w:space="0"/>
              <w:left w:val="single" w:color="000000" w:sz="4" w:space="0"/>
              <w:bottom w:val="single" w:color="000000" w:sz="4" w:space="0"/>
              <w:right w:val="single" w:color="000000" w:sz="4" w:space="0"/>
            </w:tcBorders>
            <w:shd w:val="clear" w:color="auto" w:fill="CDD4E9"/>
            <w:noWrap w:val="0"/>
            <w:tcMar>
              <w:top w:w="80" w:type="dxa"/>
              <w:left w:w="80" w:type="dxa"/>
              <w:bottom w:w="80" w:type="dxa"/>
              <w:right w:w="80" w:type="dxa"/>
            </w:tcMar>
            <w:vAlign w:val="center"/>
          </w:tcPr>
          <w:p>
            <w:pPr>
              <w:spacing w:line="360" w:lineRule="auto"/>
              <w:jc w:val="center"/>
              <w:rPr>
                <w:rFonts w:hint="eastAsia" w:asciiTheme="minorEastAsia" w:hAnsiTheme="minorEastAsia" w:eastAsiaTheme="minorEastAsia" w:cstheme="minorEastAsia"/>
                <w:szCs w:val="21"/>
                <w:highlight w:val="none"/>
                <w:lang w:val="en-US" w:eastAsia="zh-CN"/>
              </w:rPr>
            </w:pPr>
            <w:r>
              <w:rPr>
                <w:rFonts w:hint="eastAsia" w:asciiTheme="minorEastAsia" w:hAnsiTheme="minorEastAsia" w:eastAsiaTheme="minorEastAsia" w:cstheme="minorEastAsia"/>
                <w:szCs w:val="21"/>
                <w:highlight w:val="none"/>
                <w:lang w:val="en-US" w:eastAsia="zh-CN"/>
              </w:rPr>
              <w:t>套</w:t>
            </w:r>
          </w:p>
        </w:tc>
      </w:tr>
    </w:tbl>
    <w:p>
      <w:pPr>
        <w:pStyle w:val="4"/>
        <w:spacing w:line="360" w:lineRule="auto"/>
        <w:ind w:left="0" w:leftChars="0" w:firstLine="0" w:firstLineChars="0"/>
        <w:jc w:val="left"/>
        <w:textAlignment w:val="baseline"/>
        <w:rPr>
          <w:rFonts w:ascii="宋体" w:hAnsi="宋体"/>
          <w:kern w:val="0"/>
          <w:szCs w:val="22"/>
          <w:highlight w:val="none"/>
        </w:rPr>
      </w:pPr>
    </w:p>
    <w:p>
      <w:pPr>
        <w:spacing w:line="360" w:lineRule="auto"/>
        <w:outlineLvl w:val="0"/>
        <w:rPr>
          <w:rFonts w:ascii="仿宋" w:hAnsi="仿宋" w:eastAsia="仿宋" w:cs="仿宋"/>
          <w:b/>
          <w:bCs/>
          <w:sz w:val="24"/>
          <w:szCs w:val="24"/>
          <w:highlight w:val="none"/>
        </w:rPr>
      </w:pPr>
      <w:r>
        <w:rPr>
          <w:rFonts w:hint="eastAsia" w:ascii="仿宋" w:hAnsi="仿宋" w:eastAsia="仿宋" w:cs="仿宋"/>
          <w:b/>
          <w:bCs/>
          <w:sz w:val="24"/>
          <w:szCs w:val="24"/>
          <w:highlight w:val="none"/>
        </w:rPr>
        <w:t>一、设备技术要求</w:t>
      </w:r>
    </w:p>
    <w:p>
      <w:pPr>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1.主要设备参数满足招标清单要求及国家相关规范标准的要求，空气源热泵机组能在-</w:t>
      </w:r>
      <w:r>
        <w:rPr>
          <w:rFonts w:ascii="仿宋" w:hAnsi="仿宋" w:eastAsia="仿宋" w:cs="仿宋"/>
          <w:sz w:val="24"/>
          <w:szCs w:val="24"/>
          <w:highlight w:val="none"/>
        </w:rPr>
        <w:t>30</w:t>
      </w:r>
      <w:r>
        <w:rPr>
          <w:rFonts w:hint="eastAsia" w:ascii="仿宋" w:hAnsi="仿宋" w:eastAsia="仿宋" w:cs="仿宋"/>
          <w:sz w:val="24"/>
          <w:szCs w:val="24"/>
          <w:highlight w:val="none"/>
        </w:rPr>
        <w:t>℃正常制热。</w:t>
      </w:r>
    </w:p>
    <w:p>
      <w:pPr>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2.空气源热泵机组换热器采用大V型结构，确保模块可以灵活组合拼装，确保过风均匀且无涡流区，符合空气动力学原理，更容易实现风速的均匀，并使风道更加合理，充分利用翅片式冷凝器的热交面积。</w:t>
      </w:r>
    </w:p>
    <w:p>
      <w:pPr>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3.机组电器部分应安装在便于维修的位置。</w:t>
      </w:r>
    </w:p>
    <w:p>
      <w:pPr>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4.应具备温度调节功能，智能除霜（自动/手动）控制功能，定时开关机功能，故障自诊断功能，自动防冻功能，能量调节控制，压缩机轮值功能，远程开关机功能，掉电记忆功能，灵活组合群控功能。</w:t>
      </w:r>
    </w:p>
    <w:p>
      <w:pPr>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5.机组采用便携式控制器，使用直观方便。</w:t>
      </w:r>
    </w:p>
    <w:p>
      <w:pPr>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6.机组所有紧固件均进行防腐处理，避免在机组使用过程中生锈。机组要有保护措施。</w:t>
      </w:r>
    </w:p>
    <w:p>
      <w:pPr>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7.机组可根据用户负荷实时进行调整所需机组数量，实现智能控制，减少人工干预。机组控制器可实时显示系统温度、故障报警信息等参数信息。</w:t>
      </w:r>
    </w:p>
    <w:p>
      <w:pPr>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8.噪声：单台空气源热泵机组噪声应≤80dB(A)。</w:t>
      </w:r>
    </w:p>
    <w:p>
      <w:pPr>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9.机组散热器风扇采用优化设计的低噪音风机。</w:t>
      </w:r>
    </w:p>
    <w:p>
      <w:pPr>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10.除霜系统：须有稳定可靠的自动除霜系统且当多台机组组合后不增加耗能的辅助除霜设备（如电加热除霜）。</w:t>
      </w:r>
    </w:p>
    <w:p>
      <w:pPr>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11.空气源热泵机组应具备以下保护功能及故障报警功能：压缩机/风机过载保护、高低压保护、进出水温度过低保护、排气温度过高保护、水流保护、电源保护、冬季防冻保护、温度传感器故障报警。</w:t>
      </w:r>
    </w:p>
    <w:p>
      <w:pPr>
        <w:shd w:val="clear" w:color="auto" w:fill="FFFFFF"/>
        <w:adjustRightInd w:val="0"/>
        <w:snapToGrid w:val="0"/>
        <w:spacing w:line="360" w:lineRule="auto"/>
        <w:outlineLvl w:val="0"/>
        <w:rPr>
          <w:rFonts w:ascii="仿宋" w:hAnsi="仿宋" w:eastAsia="仿宋" w:cs="仿宋"/>
          <w:b/>
          <w:bCs/>
          <w:sz w:val="24"/>
          <w:szCs w:val="24"/>
          <w:highlight w:val="none"/>
        </w:rPr>
      </w:pPr>
      <w:r>
        <w:rPr>
          <w:rFonts w:hint="eastAsia" w:ascii="仿宋" w:hAnsi="仿宋" w:eastAsia="仿宋" w:cs="仿宋"/>
          <w:b/>
          <w:bCs/>
          <w:sz w:val="24"/>
          <w:szCs w:val="24"/>
          <w:highlight w:val="none"/>
        </w:rPr>
        <w:t>二、安装标准</w:t>
      </w:r>
    </w:p>
    <w:p>
      <w:pPr>
        <w:adjustRightInd w:val="0"/>
        <w:snapToGrid w:val="0"/>
        <w:outlineLvl w:val="1"/>
        <w:rPr>
          <w:rFonts w:ascii="仿宋" w:hAnsi="仿宋" w:eastAsia="仿宋" w:cs="仿宋"/>
          <w:sz w:val="24"/>
          <w:szCs w:val="24"/>
          <w:highlight w:val="none"/>
        </w:rPr>
      </w:pPr>
      <w:r>
        <w:rPr>
          <w:rFonts w:hint="eastAsia" w:ascii="仿宋" w:hAnsi="仿宋" w:eastAsia="仿宋" w:cs="仿宋"/>
          <w:sz w:val="24"/>
          <w:szCs w:val="24"/>
          <w:highlight w:val="none"/>
        </w:rPr>
        <w:t>（一）能源站技术要求</w:t>
      </w:r>
    </w:p>
    <w:p>
      <w:pPr>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所有空气源热泵机组均靠近锅炉房安装，或按照采购人要求进行调整，空气源热泵机组与锅炉房距离≥1200mm，除空气源热泵机组之外的设备及配套设施尽量安装在原有锅炉房内。</w:t>
      </w:r>
    </w:p>
    <w:p>
      <w:pPr>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若系统距离锅炉房较远，则须将循环水泵、补水、定压装置、电控柜等设施集成布置在集装箱或板房等具有防护和遮挡的构筑物内，构筑物外敷设≥30mm厚发泡或其他形式的保温。</w:t>
      </w:r>
    </w:p>
    <w:p>
      <w:pPr>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集装箱或板房要具有通风、排水等设施，集装箱或板房用槽钢基础或混凝土基础支撑，高于地面完成面100mm。</w:t>
      </w:r>
    </w:p>
    <w:p>
      <w:pPr>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空气源热泵机组间安装距离应≥1500mm，安装位置受限区域设备间距不得＜1000mm，空气源热泵机组距离集装箱或板房机房距离≥1200mm。</w:t>
      </w:r>
    </w:p>
    <w:p>
      <w:pPr>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所有水泵、水箱、膨胀罐等配套动力设施要用槽钢支撑高于板房地面或锅炉房地面200mm。</w:t>
      </w:r>
    </w:p>
    <w:p>
      <w:pPr>
        <w:shd w:val="clear" w:color="auto" w:fill="FFFFFF"/>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空气源热泵机组基础高出地面完成面≥500mm，基础规格根据机组重量进行调整，应能承受机组及管道的运行重量。</w:t>
      </w:r>
    </w:p>
    <w:p>
      <w:pPr>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空气源热泵机组所有露天管道均应在橡塑保温外加设保护壳。</w:t>
      </w:r>
    </w:p>
    <w:p>
      <w:pPr>
        <w:shd w:val="clear" w:color="auto" w:fill="FFFFFF"/>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所有空气源热泵机组占用区域地面应进行平整夯实处理。</w:t>
      </w:r>
    </w:p>
    <w:p>
      <w:pPr>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空气源热泵机组与基础间要有橡胶减震垫做缓冲，减震区域最少为机组四角，如有必要可增设或叠加，保证机组减震和降噪。</w:t>
      </w:r>
    </w:p>
    <w:p>
      <w:pPr>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动力机房内水泵等附属设备安装位置距离维护结构边缘应≥300mm，留有充足检修空间。</w:t>
      </w:r>
    </w:p>
    <w:p>
      <w:pPr>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在能源站系统管路的高点设自动排气阀及配套球阀，在机组进口、水泵进口及系统低点设泄水阀。</w:t>
      </w:r>
    </w:p>
    <w:p>
      <w:pPr>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管径≤DN50的采用镀锌钢管，螺纹连接；</w:t>
      </w:r>
      <w:r>
        <w:rPr>
          <w:rFonts w:hint="eastAsia" w:ascii="仿宋" w:hAnsi="仿宋" w:eastAsia="仿宋" w:cs="仿宋"/>
          <w:sz w:val="24"/>
          <w:szCs w:val="24"/>
          <w:highlight w:val="none"/>
          <w:lang w:val="en-US" w:eastAsia="zh-CN"/>
        </w:rPr>
        <w:t>65</w:t>
      </w:r>
      <w:r>
        <w:rPr>
          <w:rFonts w:hint="eastAsia" w:ascii="仿宋" w:hAnsi="仿宋" w:eastAsia="仿宋" w:cs="仿宋"/>
          <w:sz w:val="24"/>
          <w:szCs w:val="24"/>
          <w:highlight w:val="none"/>
        </w:rPr>
        <w:t>≤管径≤DN200的采用焊接钢管或无缝钢管，焊接连接；所有焊缝均应做防锈处理，系统管道及阀门承压≥1.0MPa。 管道厚度满足国标要求。</w:t>
      </w:r>
    </w:p>
    <w:p>
      <w:pPr>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管道采用槽钢或角钢进行支撑，管道支吊架应安装牢固，预埋件应紧固结实，与管道接触处须垫经过防腐处理的硬木衬垫隔热，木衬垫厚度与保温厚度相同，宽度与支吊架一致，表面平整。</w:t>
      </w:r>
    </w:p>
    <w:p>
      <w:pPr>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管道安装前应进行清理、除污、防锈、刷漆等处理。</w:t>
      </w:r>
    </w:p>
    <w:p>
      <w:pPr>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空气源热泵机组及水泵前设过Y型滤器，后设泄水阀，水泵后设止回阀，适当位置设温度计及压力表，在适当高处设自动排气阀及配套球阀。</w:t>
      </w:r>
    </w:p>
    <w:p>
      <w:pPr>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所有管道敷设坡度≥0.003，坡向遵循供水管抬头坡的原则。</w:t>
      </w:r>
    </w:p>
    <w:p>
      <w:pPr>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管道穿锅炉房或板房处要设套管，套管两端与墙面齐平，套管规格高于所穿管道一个型号，空隙塞紧，墙面与套管两端做好封堵美化。</w:t>
      </w:r>
    </w:p>
    <w:p>
      <w:pPr>
        <w:adjustRightInd w:val="0"/>
        <w:snapToGrid w:val="0"/>
        <w:outlineLvl w:val="1"/>
        <w:rPr>
          <w:rFonts w:ascii="仿宋" w:hAnsi="仿宋" w:eastAsia="仿宋" w:cs="仿宋"/>
          <w:sz w:val="24"/>
          <w:szCs w:val="24"/>
          <w:highlight w:val="none"/>
        </w:rPr>
      </w:pPr>
      <w:r>
        <w:rPr>
          <w:rFonts w:hint="eastAsia" w:ascii="仿宋" w:hAnsi="仿宋" w:eastAsia="仿宋" w:cs="仿宋"/>
          <w:sz w:val="24"/>
          <w:szCs w:val="24"/>
          <w:highlight w:val="none"/>
        </w:rPr>
        <w:t>（二）电气系统技术要求</w:t>
      </w:r>
    </w:p>
    <w:p>
      <w:pPr>
        <w:widowControl/>
        <w:outlineLvl w:val="3"/>
        <w:rPr>
          <w:rFonts w:ascii="仿宋" w:hAnsi="仿宋" w:eastAsia="仿宋" w:cs="仿宋"/>
          <w:color w:val="000000"/>
          <w:sz w:val="24"/>
          <w:szCs w:val="24"/>
          <w:highlight w:val="none"/>
        </w:rPr>
      </w:pPr>
      <w:r>
        <w:rPr>
          <w:rFonts w:hint="eastAsia" w:ascii="仿宋" w:hAnsi="仿宋" w:eastAsia="仿宋" w:cs="仿宋"/>
          <w:color w:val="000000"/>
          <w:sz w:val="24"/>
          <w:szCs w:val="24"/>
          <w:highlight w:val="none"/>
        </w:rPr>
        <w:t>1、柜体要求</w:t>
      </w:r>
    </w:p>
    <w:p>
      <w:pPr>
        <w:widowControl/>
        <w:numPr>
          <w:ilvl w:val="0"/>
          <w:numId w:val="1"/>
        </w:numPr>
        <w:rPr>
          <w:rFonts w:ascii="仿宋" w:hAnsi="仿宋" w:eastAsia="仿宋" w:cs="仿宋"/>
          <w:sz w:val="24"/>
          <w:szCs w:val="24"/>
          <w:highlight w:val="none"/>
        </w:rPr>
      </w:pPr>
      <w:bookmarkStart w:id="3" w:name="_Hlk107825222"/>
      <w:r>
        <w:rPr>
          <w:rFonts w:hint="eastAsia" w:ascii="仿宋" w:hAnsi="仿宋" w:eastAsia="仿宋" w:cs="仿宋"/>
          <w:sz w:val="24"/>
          <w:szCs w:val="24"/>
          <w:highlight w:val="none"/>
        </w:rPr>
        <w:t>柜体结构强度满足柜内元器件的总体需求；</w:t>
      </w:r>
    </w:p>
    <w:p>
      <w:pPr>
        <w:widowControl/>
        <w:numPr>
          <w:ilvl w:val="0"/>
          <w:numId w:val="1"/>
        </w:numPr>
        <w:rPr>
          <w:rFonts w:ascii="仿宋" w:hAnsi="仿宋" w:eastAsia="仿宋" w:cs="仿宋"/>
          <w:sz w:val="24"/>
          <w:szCs w:val="24"/>
          <w:highlight w:val="none"/>
        </w:rPr>
      </w:pPr>
      <w:r>
        <w:rPr>
          <w:rFonts w:hint="eastAsia" w:ascii="仿宋" w:hAnsi="仿宋" w:eastAsia="仿宋" w:cs="仿宋"/>
          <w:sz w:val="24"/>
          <w:szCs w:val="24"/>
          <w:highlight w:val="none"/>
        </w:rPr>
        <w:t>柜体下端要配置底座，上端配备吊装结构；</w:t>
      </w:r>
    </w:p>
    <w:p>
      <w:pPr>
        <w:widowControl/>
        <w:numPr>
          <w:ilvl w:val="0"/>
          <w:numId w:val="1"/>
        </w:numPr>
        <w:rPr>
          <w:rFonts w:ascii="仿宋" w:hAnsi="仿宋" w:eastAsia="仿宋" w:cs="仿宋"/>
          <w:sz w:val="24"/>
          <w:szCs w:val="24"/>
          <w:highlight w:val="none"/>
        </w:rPr>
      </w:pPr>
      <w:r>
        <w:rPr>
          <w:rFonts w:hint="eastAsia" w:ascii="仿宋" w:hAnsi="仿宋" w:eastAsia="仿宋" w:cs="仿宋"/>
          <w:sz w:val="24"/>
          <w:szCs w:val="24"/>
          <w:highlight w:val="none"/>
        </w:rPr>
        <w:t>柜门和柜内安装板的配置、布局合理，方便施工人员安装接线；</w:t>
      </w:r>
    </w:p>
    <w:p>
      <w:pPr>
        <w:widowControl/>
        <w:numPr>
          <w:ilvl w:val="0"/>
          <w:numId w:val="1"/>
        </w:numPr>
        <w:rPr>
          <w:rFonts w:ascii="仿宋" w:hAnsi="仿宋" w:eastAsia="仿宋" w:cs="仿宋"/>
          <w:sz w:val="24"/>
          <w:szCs w:val="24"/>
          <w:highlight w:val="none"/>
        </w:rPr>
      </w:pPr>
      <w:r>
        <w:rPr>
          <w:rFonts w:hint="eastAsia" w:ascii="仿宋" w:hAnsi="仿宋" w:eastAsia="仿宋" w:cs="仿宋"/>
          <w:sz w:val="24"/>
          <w:szCs w:val="24"/>
          <w:highlight w:val="none"/>
        </w:rPr>
        <w:t>机柜底部安装多块活动式进线底板。</w:t>
      </w:r>
    </w:p>
    <w:p>
      <w:pPr>
        <w:widowControl/>
        <w:numPr>
          <w:ilvl w:val="0"/>
          <w:numId w:val="1"/>
        </w:numPr>
        <w:rPr>
          <w:rFonts w:ascii="仿宋" w:hAnsi="仿宋" w:eastAsia="仿宋" w:cs="仿宋"/>
          <w:sz w:val="24"/>
          <w:szCs w:val="24"/>
          <w:highlight w:val="none"/>
        </w:rPr>
      </w:pPr>
      <w:r>
        <w:rPr>
          <w:rFonts w:hint="eastAsia" w:ascii="仿宋" w:hAnsi="仿宋" w:eastAsia="仿宋" w:cs="仿宋"/>
          <w:sz w:val="24"/>
          <w:szCs w:val="24"/>
          <w:highlight w:val="none"/>
        </w:rPr>
        <w:t>柜前门内部有文件放置盒、柜门、柜体有接地螺栓；</w:t>
      </w:r>
    </w:p>
    <w:p>
      <w:pPr>
        <w:widowControl/>
        <w:outlineLvl w:val="3"/>
        <w:rPr>
          <w:rFonts w:ascii="仿宋" w:hAnsi="仿宋" w:eastAsia="仿宋" w:cs="仿宋"/>
          <w:color w:val="000000"/>
          <w:sz w:val="24"/>
          <w:szCs w:val="24"/>
          <w:highlight w:val="none"/>
        </w:rPr>
      </w:pPr>
      <w:r>
        <w:rPr>
          <w:rFonts w:hint="eastAsia" w:ascii="仿宋" w:hAnsi="仿宋" w:eastAsia="仿宋" w:cs="仿宋"/>
          <w:color w:val="000000"/>
          <w:sz w:val="24"/>
          <w:szCs w:val="24"/>
          <w:highlight w:val="none"/>
        </w:rPr>
        <w:t>2、柜内集成要求</w:t>
      </w:r>
    </w:p>
    <w:p>
      <w:pPr>
        <w:widowControl/>
        <w:numPr>
          <w:ilvl w:val="0"/>
          <w:numId w:val="2"/>
        </w:numPr>
        <w:rPr>
          <w:rFonts w:ascii="仿宋" w:hAnsi="仿宋" w:eastAsia="仿宋" w:cs="仿宋"/>
          <w:sz w:val="24"/>
          <w:szCs w:val="24"/>
          <w:highlight w:val="none"/>
        </w:rPr>
      </w:pPr>
      <w:r>
        <w:rPr>
          <w:rFonts w:hint="eastAsia" w:ascii="仿宋" w:hAnsi="仿宋" w:eastAsia="仿宋" w:cs="仿宋"/>
          <w:sz w:val="24"/>
          <w:szCs w:val="24"/>
          <w:highlight w:val="none"/>
        </w:rPr>
        <w:t>配线依据配线图施工，柜内无飞线，如有改动和更正，需在图纸中标识记录；</w:t>
      </w:r>
    </w:p>
    <w:p>
      <w:pPr>
        <w:widowControl/>
        <w:numPr>
          <w:ilvl w:val="0"/>
          <w:numId w:val="2"/>
        </w:numPr>
        <w:rPr>
          <w:rFonts w:ascii="仿宋" w:hAnsi="仿宋" w:eastAsia="仿宋" w:cs="仿宋"/>
          <w:sz w:val="24"/>
          <w:szCs w:val="24"/>
          <w:highlight w:val="none"/>
        </w:rPr>
      </w:pPr>
      <w:r>
        <w:rPr>
          <w:rFonts w:hint="eastAsia" w:ascii="仿宋" w:hAnsi="仿宋" w:eastAsia="仿宋" w:cs="仿宋"/>
          <w:sz w:val="24"/>
          <w:szCs w:val="24"/>
          <w:highlight w:val="none"/>
        </w:rPr>
        <w:t>柜内接线牢固整齐，排列有序、清楚、牢靠、正确，色标准确；</w:t>
      </w:r>
    </w:p>
    <w:p>
      <w:pPr>
        <w:widowControl/>
        <w:numPr>
          <w:ilvl w:val="0"/>
          <w:numId w:val="2"/>
        </w:numPr>
        <w:rPr>
          <w:rFonts w:ascii="仿宋" w:hAnsi="仿宋" w:eastAsia="仿宋" w:cs="仿宋"/>
          <w:sz w:val="24"/>
          <w:szCs w:val="24"/>
          <w:highlight w:val="none"/>
        </w:rPr>
      </w:pPr>
      <w:r>
        <w:rPr>
          <w:rFonts w:hint="eastAsia" w:ascii="仿宋" w:hAnsi="仿宋" w:eastAsia="仿宋" w:cs="仿宋"/>
          <w:sz w:val="24"/>
          <w:szCs w:val="24"/>
          <w:highlight w:val="none"/>
        </w:rPr>
        <w:t>所有接线必须使用接线端子或铜鼻子，不允许多根线压在同一个接线端子上；</w:t>
      </w:r>
    </w:p>
    <w:bookmarkEnd w:id="3"/>
    <w:p>
      <w:pPr>
        <w:widowControl/>
        <w:outlineLvl w:val="3"/>
        <w:rPr>
          <w:rFonts w:ascii="仿宋" w:hAnsi="仿宋" w:eastAsia="仿宋" w:cs="仿宋"/>
          <w:color w:val="000000"/>
          <w:sz w:val="24"/>
          <w:szCs w:val="24"/>
          <w:highlight w:val="none"/>
        </w:rPr>
      </w:pPr>
      <w:r>
        <w:rPr>
          <w:rFonts w:hint="eastAsia" w:ascii="仿宋" w:hAnsi="仿宋" w:eastAsia="仿宋" w:cs="仿宋"/>
          <w:color w:val="000000"/>
          <w:sz w:val="24"/>
          <w:szCs w:val="24"/>
          <w:highlight w:val="none"/>
        </w:rPr>
        <w:t>3、电缆敷设连接要求</w:t>
      </w:r>
    </w:p>
    <w:p>
      <w:pPr>
        <w:numPr>
          <w:ilvl w:val="0"/>
          <w:numId w:val="3"/>
        </w:numPr>
        <w:adjustRightInd w:val="0"/>
        <w:snapToGrid w:val="0"/>
        <w:rPr>
          <w:rFonts w:ascii="仿宋" w:hAnsi="仿宋" w:eastAsia="仿宋" w:cs="仿宋"/>
          <w:sz w:val="24"/>
          <w:szCs w:val="24"/>
          <w:highlight w:val="none"/>
        </w:rPr>
      </w:pPr>
      <w:r>
        <w:rPr>
          <w:rFonts w:hint="eastAsia" w:ascii="仿宋" w:hAnsi="仿宋" w:eastAsia="仿宋" w:cs="仿宋"/>
          <w:sz w:val="24"/>
          <w:szCs w:val="24"/>
          <w:highlight w:val="none"/>
        </w:rPr>
        <w:t>根据设备要求，选取规定规格的电缆；</w:t>
      </w:r>
    </w:p>
    <w:p>
      <w:pPr>
        <w:numPr>
          <w:ilvl w:val="0"/>
          <w:numId w:val="3"/>
        </w:numPr>
        <w:adjustRightInd w:val="0"/>
        <w:snapToGrid w:val="0"/>
        <w:rPr>
          <w:rFonts w:ascii="仿宋" w:hAnsi="仿宋" w:eastAsia="仿宋" w:cs="仿宋"/>
          <w:sz w:val="24"/>
          <w:szCs w:val="24"/>
          <w:highlight w:val="none"/>
        </w:rPr>
      </w:pPr>
      <w:r>
        <w:rPr>
          <w:rFonts w:hint="eastAsia" w:ascii="仿宋" w:hAnsi="仿宋" w:eastAsia="仿宋" w:cs="仿宋"/>
          <w:sz w:val="24"/>
          <w:szCs w:val="24"/>
          <w:highlight w:val="none"/>
        </w:rPr>
        <w:t>所有电缆和测压管不准明敷，测试和电气电缆必须分开敷设在不同的桥架/线管内，测压管敷设在测试桥架/线管内；</w:t>
      </w:r>
    </w:p>
    <w:p>
      <w:pPr>
        <w:numPr>
          <w:ilvl w:val="0"/>
          <w:numId w:val="3"/>
        </w:numPr>
        <w:adjustRightInd w:val="0"/>
        <w:snapToGrid w:val="0"/>
        <w:rPr>
          <w:rFonts w:ascii="仿宋" w:hAnsi="仿宋" w:eastAsia="仿宋" w:cs="仿宋"/>
          <w:sz w:val="24"/>
          <w:szCs w:val="24"/>
          <w:highlight w:val="none"/>
        </w:rPr>
      </w:pPr>
      <w:r>
        <w:rPr>
          <w:rFonts w:hint="eastAsia" w:ascii="仿宋" w:hAnsi="仿宋" w:eastAsia="仿宋" w:cs="仿宋"/>
          <w:sz w:val="24"/>
          <w:szCs w:val="24"/>
          <w:highlight w:val="none"/>
        </w:rPr>
        <w:t>电缆两端连接后，采取两端标记；要规整集束，电缆长度要合适，既不预留过多长度也不能有牵拉现象；</w:t>
      </w:r>
    </w:p>
    <w:p>
      <w:pPr>
        <w:numPr>
          <w:ilvl w:val="0"/>
          <w:numId w:val="3"/>
        </w:numPr>
        <w:adjustRightInd w:val="0"/>
        <w:snapToGrid w:val="0"/>
        <w:rPr>
          <w:rFonts w:ascii="仿宋" w:hAnsi="仿宋" w:eastAsia="仿宋" w:cs="仿宋"/>
          <w:sz w:val="24"/>
          <w:szCs w:val="24"/>
          <w:highlight w:val="none"/>
        </w:rPr>
      </w:pPr>
      <w:r>
        <w:rPr>
          <w:rFonts w:hint="eastAsia" w:ascii="仿宋" w:hAnsi="仿宋" w:eastAsia="仿宋" w:cs="仿宋"/>
          <w:sz w:val="24"/>
          <w:szCs w:val="24"/>
          <w:highlight w:val="none"/>
        </w:rPr>
        <w:t>电缆在桥架/线管内要均匀敷设，在桥架/线管弯头处也要均匀敷设，不能有牵拉现象；</w:t>
      </w:r>
    </w:p>
    <w:p>
      <w:pPr>
        <w:numPr>
          <w:ilvl w:val="0"/>
          <w:numId w:val="3"/>
        </w:numPr>
        <w:adjustRightInd w:val="0"/>
        <w:snapToGrid w:val="0"/>
        <w:rPr>
          <w:rFonts w:ascii="仿宋" w:hAnsi="仿宋" w:eastAsia="仿宋" w:cs="仿宋"/>
          <w:sz w:val="24"/>
          <w:szCs w:val="24"/>
          <w:highlight w:val="none"/>
        </w:rPr>
      </w:pPr>
      <w:r>
        <w:rPr>
          <w:rFonts w:hint="eastAsia" w:ascii="仿宋" w:hAnsi="仿宋" w:eastAsia="仿宋" w:cs="仿宋"/>
          <w:sz w:val="24"/>
          <w:szCs w:val="24"/>
          <w:highlight w:val="none"/>
        </w:rPr>
        <w:t xml:space="preserve">由电缆桥架/线管或预埋穿线管引出并连接到终端设备上的电缆必须穿管保护。 </w:t>
      </w:r>
    </w:p>
    <w:p>
      <w:pPr>
        <w:widowControl/>
        <w:outlineLvl w:val="3"/>
        <w:rPr>
          <w:rFonts w:ascii="仿宋" w:hAnsi="仿宋" w:eastAsia="仿宋" w:cs="仿宋"/>
          <w:color w:val="000000"/>
          <w:sz w:val="24"/>
          <w:szCs w:val="24"/>
          <w:highlight w:val="none"/>
        </w:rPr>
      </w:pPr>
      <w:r>
        <w:rPr>
          <w:rFonts w:hint="eastAsia" w:ascii="仿宋" w:hAnsi="仿宋" w:eastAsia="仿宋" w:cs="仿宋"/>
          <w:color w:val="000000"/>
          <w:sz w:val="24"/>
          <w:szCs w:val="24"/>
          <w:highlight w:val="none"/>
        </w:rPr>
        <w:t>4、接地要求</w:t>
      </w:r>
    </w:p>
    <w:p>
      <w:pPr>
        <w:numPr>
          <w:ilvl w:val="0"/>
          <w:numId w:val="4"/>
        </w:numPr>
        <w:adjustRightInd w:val="0"/>
        <w:snapToGrid w:val="0"/>
        <w:rPr>
          <w:rFonts w:ascii="仿宋" w:hAnsi="仿宋" w:eastAsia="仿宋" w:cs="仿宋"/>
          <w:sz w:val="24"/>
          <w:szCs w:val="24"/>
          <w:highlight w:val="none"/>
        </w:rPr>
      </w:pPr>
      <w:r>
        <w:rPr>
          <w:rFonts w:hint="eastAsia" w:ascii="仿宋" w:hAnsi="仿宋" w:eastAsia="仿宋" w:cs="仿宋"/>
          <w:sz w:val="24"/>
          <w:szCs w:val="24"/>
          <w:highlight w:val="none"/>
        </w:rPr>
        <w:t>电气装置的金属外壳、配电装置的构架等有可能带电的装置，为防止其危及人身和设备的安全，必须进行安全接地（同电站来电的PE相连）；</w:t>
      </w:r>
    </w:p>
    <w:p>
      <w:pPr>
        <w:numPr>
          <w:ilvl w:val="0"/>
          <w:numId w:val="4"/>
        </w:numPr>
        <w:adjustRightInd w:val="0"/>
        <w:snapToGrid w:val="0"/>
        <w:rPr>
          <w:rFonts w:ascii="仿宋" w:hAnsi="仿宋" w:eastAsia="仿宋" w:cs="仿宋"/>
          <w:sz w:val="24"/>
          <w:szCs w:val="24"/>
          <w:highlight w:val="none"/>
        </w:rPr>
      </w:pPr>
      <w:r>
        <w:rPr>
          <w:rFonts w:hint="eastAsia" w:ascii="仿宋" w:hAnsi="仿宋" w:eastAsia="仿宋" w:cs="仿宋"/>
          <w:sz w:val="24"/>
          <w:szCs w:val="24"/>
          <w:highlight w:val="none"/>
        </w:rPr>
        <w:t>未尽事宜按照GB50169-2006《电气装置安装工程 接地装置施工及验收规范》执行。</w:t>
      </w:r>
    </w:p>
    <w:p>
      <w:pPr>
        <w:spacing w:line="360" w:lineRule="auto"/>
        <w:outlineLvl w:val="0"/>
        <w:rPr>
          <w:rFonts w:ascii="仿宋" w:hAnsi="仿宋" w:eastAsia="仿宋" w:cs="仿宋"/>
          <w:b/>
          <w:bCs/>
          <w:sz w:val="24"/>
          <w:szCs w:val="24"/>
          <w:highlight w:val="none"/>
        </w:rPr>
      </w:pPr>
      <w:r>
        <w:rPr>
          <w:rFonts w:hint="eastAsia" w:ascii="仿宋" w:hAnsi="仿宋" w:eastAsia="仿宋" w:cs="仿宋"/>
          <w:b/>
          <w:bCs/>
          <w:sz w:val="24"/>
          <w:szCs w:val="24"/>
          <w:highlight w:val="none"/>
        </w:rPr>
        <w:t>三、其它要求</w:t>
      </w:r>
    </w:p>
    <w:p>
      <w:pPr>
        <w:outlineLvl w:val="1"/>
        <w:rPr>
          <w:rFonts w:ascii="仿宋" w:hAnsi="仿宋" w:eastAsia="仿宋" w:cs="仿宋"/>
          <w:sz w:val="24"/>
          <w:szCs w:val="24"/>
          <w:highlight w:val="none"/>
        </w:rPr>
      </w:pPr>
      <w:r>
        <w:rPr>
          <w:rFonts w:hint="eastAsia" w:ascii="仿宋" w:hAnsi="仿宋" w:eastAsia="仿宋" w:cs="仿宋"/>
          <w:sz w:val="24"/>
          <w:szCs w:val="24"/>
          <w:highlight w:val="none"/>
        </w:rPr>
        <w:t>(一)、产品质量要求</w:t>
      </w:r>
    </w:p>
    <w:p>
      <w:pPr>
        <w:rPr>
          <w:rFonts w:ascii="仿宋" w:hAnsi="仿宋" w:eastAsia="仿宋" w:cs="仿宋"/>
          <w:sz w:val="24"/>
          <w:szCs w:val="24"/>
          <w:highlight w:val="none"/>
        </w:rPr>
      </w:pPr>
      <w:r>
        <w:rPr>
          <w:rFonts w:hint="eastAsia" w:ascii="仿宋" w:hAnsi="仿宋" w:eastAsia="仿宋" w:cs="仿宋"/>
          <w:sz w:val="24"/>
          <w:szCs w:val="24"/>
          <w:highlight w:val="none"/>
        </w:rPr>
        <w:t>1.中标人须保证本次投标设备是未曾使用过的整机且是专为本合同生产的，所有组成件应为优质材料和先进工艺制成的满足本项目使用需要的机型，且完全与投标文件所述产地、质量、规格和性能相符。只有与买方要求的标准相符，方能使买方接受。</w:t>
      </w:r>
    </w:p>
    <w:p>
      <w:pPr>
        <w:rPr>
          <w:rFonts w:ascii="仿宋" w:hAnsi="仿宋" w:eastAsia="仿宋" w:cs="仿宋"/>
          <w:sz w:val="24"/>
          <w:szCs w:val="24"/>
          <w:highlight w:val="none"/>
        </w:rPr>
      </w:pPr>
      <w:r>
        <w:rPr>
          <w:rFonts w:hint="eastAsia" w:ascii="仿宋" w:hAnsi="仿宋" w:eastAsia="仿宋" w:cs="仿宋"/>
          <w:sz w:val="24"/>
          <w:szCs w:val="24"/>
          <w:highlight w:val="none"/>
        </w:rPr>
        <w:t>2.在交货之前，制造厂应对产品质量、规格、性能和数量进行精确和全面的检测，并出具合格证明书。</w:t>
      </w:r>
    </w:p>
    <w:p>
      <w:pPr>
        <w:rPr>
          <w:rFonts w:ascii="仿宋" w:hAnsi="仿宋" w:eastAsia="仿宋" w:cs="仿宋"/>
          <w:sz w:val="24"/>
          <w:szCs w:val="24"/>
          <w:highlight w:val="none"/>
        </w:rPr>
      </w:pPr>
      <w:r>
        <w:rPr>
          <w:rFonts w:hint="eastAsia" w:ascii="仿宋" w:hAnsi="仿宋" w:eastAsia="仿宋" w:cs="仿宋"/>
          <w:sz w:val="24"/>
          <w:szCs w:val="24"/>
          <w:highlight w:val="none"/>
        </w:rPr>
        <w:t>3.投标文件所规定的品牌型号不得变更，如特殊原因确需变更，则应在通知采购人的情况下变动。</w:t>
      </w:r>
    </w:p>
    <w:p>
      <w:pPr>
        <w:rPr>
          <w:rFonts w:ascii="仿宋" w:hAnsi="仿宋" w:eastAsia="仿宋" w:cs="仿宋"/>
          <w:sz w:val="24"/>
          <w:szCs w:val="24"/>
          <w:highlight w:val="none"/>
        </w:rPr>
      </w:pPr>
      <w:r>
        <w:rPr>
          <w:rFonts w:hint="eastAsia" w:ascii="仿宋" w:hAnsi="仿宋" w:eastAsia="仿宋" w:cs="仿宋"/>
          <w:sz w:val="24"/>
          <w:szCs w:val="24"/>
          <w:highlight w:val="none"/>
        </w:rPr>
        <w:t>4.应确保所供设备全为未使用过的新品。</w:t>
      </w:r>
    </w:p>
    <w:p>
      <w:pPr>
        <w:rPr>
          <w:rFonts w:ascii="仿宋" w:hAnsi="仿宋" w:eastAsia="仿宋" w:cs="仿宋"/>
          <w:sz w:val="24"/>
          <w:szCs w:val="24"/>
          <w:highlight w:val="none"/>
        </w:rPr>
      </w:pPr>
      <w:r>
        <w:rPr>
          <w:rFonts w:hint="eastAsia" w:ascii="仿宋" w:hAnsi="仿宋" w:eastAsia="仿宋" w:cs="仿宋"/>
          <w:sz w:val="24"/>
          <w:szCs w:val="24"/>
          <w:highlight w:val="none"/>
        </w:rPr>
        <w:t>5.中标人应派有资格、有经验的人员及时对设备的安装、调试、试运行全过程进行监督、指导与控制。</w:t>
      </w:r>
    </w:p>
    <w:p>
      <w:pPr>
        <w:rPr>
          <w:rFonts w:ascii="仿宋" w:hAnsi="仿宋" w:eastAsia="仿宋" w:cs="仿宋"/>
          <w:sz w:val="24"/>
          <w:szCs w:val="24"/>
          <w:highlight w:val="none"/>
        </w:rPr>
      </w:pPr>
      <w:r>
        <w:rPr>
          <w:rFonts w:hint="eastAsia" w:ascii="仿宋" w:hAnsi="仿宋" w:eastAsia="仿宋" w:cs="仿宋"/>
          <w:sz w:val="24"/>
          <w:szCs w:val="24"/>
          <w:highlight w:val="none"/>
        </w:rPr>
        <w:t>6.中标人所提供的设备应依据国家、国际、行业等相关设计、制造、检验标准生产。</w:t>
      </w:r>
    </w:p>
    <w:p>
      <w:pPr>
        <w:rPr>
          <w:rFonts w:ascii="仿宋" w:hAnsi="仿宋" w:eastAsia="仿宋" w:cs="仿宋"/>
          <w:sz w:val="24"/>
          <w:szCs w:val="24"/>
          <w:highlight w:val="none"/>
        </w:rPr>
      </w:pPr>
      <w:r>
        <w:rPr>
          <w:rFonts w:hint="eastAsia" w:ascii="仿宋" w:hAnsi="仿宋" w:eastAsia="仿宋" w:cs="仿宋"/>
          <w:sz w:val="24"/>
          <w:szCs w:val="24"/>
          <w:highlight w:val="none"/>
        </w:rPr>
        <w:t>7.中标人所提供的设备若是进口设备或含有进口部件，应符合国家相关的进口设备管理规定的要求。如实际到货进口件与投标文件不一致，中标人承担全部责任。</w:t>
      </w:r>
    </w:p>
    <w:p>
      <w:pPr>
        <w:rPr>
          <w:rFonts w:ascii="仿宋" w:hAnsi="仿宋" w:eastAsia="仿宋" w:cs="仿宋"/>
          <w:sz w:val="24"/>
          <w:szCs w:val="24"/>
          <w:highlight w:val="none"/>
        </w:rPr>
      </w:pPr>
      <w:r>
        <w:rPr>
          <w:rFonts w:hint="eastAsia" w:ascii="仿宋" w:hAnsi="仿宋" w:eastAsia="仿宋" w:cs="仿宋"/>
          <w:sz w:val="24"/>
          <w:szCs w:val="24"/>
          <w:highlight w:val="none"/>
        </w:rPr>
        <w:t>8.采购人有权监督本合同产品的生产，设备制造过程中，采购人可派员到中标人进行监造和检验，中标人应负责接待并负担相应的费用。</w:t>
      </w:r>
    </w:p>
    <w:p>
      <w:pPr>
        <w:outlineLvl w:val="1"/>
        <w:rPr>
          <w:rFonts w:ascii="仿宋" w:hAnsi="仿宋" w:eastAsia="仿宋" w:cs="仿宋"/>
          <w:sz w:val="24"/>
          <w:szCs w:val="24"/>
          <w:highlight w:val="none"/>
        </w:rPr>
      </w:pPr>
      <w:r>
        <w:rPr>
          <w:rFonts w:hint="eastAsia" w:ascii="仿宋" w:hAnsi="仿宋" w:eastAsia="仿宋" w:cs="仿宋"/>
          <w:sz w:val="24"/>
          <w:szCs w:val="24"/>
          <w:highlight w:val="none"/>
        </w:rPr>
        <w:t>(二)、安装、调试、验收、交付使用的要求</w:t>
      </w:r>
    </w:p>
    <w:p>
      <w:pPr>
        <w:rPr>
          <w:rFonts w:ascii="仿宋" w:hAnsi="仿宋" w:eastAsia="仿宋" w:cs="仿宋"/>
          <w:sz w:val="24"/>
          <w:szCs w:val="24"/>
          <w:highlight w:val="none"/>
        </w:rPr>
      </w:pPr>
      <w:r>
        <w:rPr>
          <w:rFonts w:hint="eastAsia" w:ascii="仿宋" w:hAnsi="仿宋" w:eastAsia="仿宋" w:cs="仿宋"/>
          <w:sz w:val="24"/>
          <w:szCs w:val="24"/>
          <w:highlight w:val="none"/>
        </w:rPr>
        <w:t>1.中标人应派有资格、有经验的人员会同买方对设备开箱查验并负责指导设备安装、配电控制系统安装和系统的调试工作。中标人派出的人员应在接到采购人书面通知(包括传真或电子邮件)后7日内到达买方指定的地点，否则采购人有权自行开箱安装设备。此过程中如有缺货、错装、损坏或技术问题，中标人仍应承担全部责任。</w:t>
      </w:r>
    </w:p>
    <w:p>
      <w:pPr>
        <w:rPr>
          <w:rFonts w:ascii="仿宋" w:hAnsi="仿宋" w:eastAsia="仿宋" w:cs="仿宋"/>
          <w:sz w:val="24"/>
          <w:szCs w:val="24"/>
          <w:highlight w:val="none"/>
        </w:rPr>
      </w:pPr>
      <w:r>
        <w:rPr>
          <w:rFonts w:hint="eastAsia" w:ascii="仿宋" w:hAnsi="仿宋" w:eastAsia="仿宋" w:cs="仿宋"/>
          <w:sz w:val="24"/>
          <w:szCs w:val="24"/>
          <w:highlight w:val="none"/>
        </w:rPr>
        <w:t>2.若在规定的日期前中标人未完成调试或采购人对调试情况不满意，则有权要求中标人更换调试人员调试，中标人不得拒绝。所发生的费用由中标人承担。</w:t>
      </w:r>
    </w:p>
    <w:p>
      <w:pPr>
        <w:rPr>
          <w:rFonts w:ascii="仿宋" w:hAnsi="仿宋" w:eastAsia="仿宋" w:cs="仿宋"/>
          <w:sz w:val="24"/>
          <w:szCs w:val="24"/>
          <w:highlight w:val="none"/>
        </w:rPr>
      </w:pPr>
      <w:r>
        <w:rPr>
          <w:rFonts w:hint="eastAsia" w:ascii="仿宋" w:hAnsi="仿宋" w:eastAsia="仿宋" w:cs="仿宋"/>
          <w:sz w:val="24"/>
          <w:szCs w:val="24"/>
          <w:highlight w:val="none"/>
        </w:rPr>
        <w:t>3.在安装调试工作完成后，中标人应参与系统的验收。验收按照有关规范要求和标准执行。</w:t>
      </w:r>
    </w:p>
    <w:p>
      <w:pPr>
        <w:rPr>
          <w:rFonts w:ascii="仿宋" w:hAnsi="仿宋" w:eastAsia="仿宋" w:cs="仿宋"/>
          <w:sz w:val="24"/>
          <w:szCs w:val="24"/>
          <w:highlight w:val="none"/>
        </w:rPr>
      </w:pPr>
      <w:r>
        <w:rPr>
          <w:rFonts w:hint="eastAsia" w:ascii="仿宋" w:hAnsi="仿宋" w:eastAsia="仿宋" w:cs="仿宋"/>
          <w:sz w:val="24"/>
          <w:szCs w:val="24"/>
          <w:highlight w:val="none"/>
        </w:rPr>
        <w:t>4.在设备的随机文件中需提出设备吊装、安装及调试所必需的外部技术配合要求及环境条件要求。</w:t>
      </w:r>
    </w:p>
    <w:p>
      <w:pPr>
        <w:rPr>
          <w:rFonts w:ascii="仿宋" w:hAnsi="仿宋" w:eastAsia="仿宋" w:cs="仿宋"/>
          <w:sz w:val="24"/>
          <w:szCs w:val="24"/>
          <w:highlight w:val="none"/>
        </w:rPr>
      </w:pPr>
      <w:r>
        <w:rPr>
          <w:rFonts w:hint="eastAsia" w:ascii="仿宋" w:hAnsi="仿宋" w:eastAsia="仿宋" w:cs="仿宋"/>
          <w:sz w:val="24"/>
          <w:szCs w:val="24"/>
          <w:highlight w:val="none"/>
        </w:rPr>
        <w:t>5.交付使用时要同时向采购人提供详细的维修指南、运行手册等文件。</w:t>
      </w:r>
    </w:p>
    <w:p>
      <w:pPr>
        <w:rPr>
          <w:rFonts w:ascii="仿宋" w:hAnsi="仿宋" w:eastAsia="仿宋" w:cs="仿宋"/>
          <w:sz w:val="24"/>
          <w:szCs w:val="24"/>
          <w:highlight w:val="none"/>
        </w:rPr>
      </w:pPr>
      <w:r>
        <w:rPr>
          <w:rFonts w:hint="eastAsia" w:ascii="仿宋" w:hAnsi="仿宋" w:eastAsia="仿宋" w:cs="仿宋"/>
          <w:sz w:val="24"/>
          <w:szCs w:val="24"/>
          <w:highlight w:val="none"/>
        </w:rPr>
        <w:t>6.中标人应对使用单位的有关人员提供2人次以上的技术培训及所有设备的操作的实际指导。</w:t>
      </w:r>
    </w:p>
    <w:p>
      <w:pPr>
        <w:rPr>
          <w:rFonts w:ascii="仿宋" w:hAnsi="仿宋" w:eastAsia="仿宋" w:cs="仿宋"/>
          <w:sz w:val="24"/>
          <w:szCs w:val="24"/>
          <w:highlight w:val="none"/>
        </w:rPr>
      </w:pPr>
      <w:r>
        <w:rPr>
          <w:rFonts w:hint="eastAsia" w:ascii="仿宋" w:hAnsi="仿宋" w:eastAsia="仿宋" w:cs="仿宋"/>
          <w:sz w:val="24"/>
          <w:szCs w:val="24"/>
          <w:highlight w:val="none"/>
        </w:rPr>
        <w:t>7.中标人自行勘察现场并负责项目自来水稳定供应、电力容量核定及增容等配套事项。</w:t>
      </w:r>
    </w:p>
    <w:p>
      <w:pPr>
        <w:outlineLvl w:val="1"/>
        <w:rPr>
          <w:rFonts w:ascii="仿宋" w:hAnsi="仿宋" w:eastAsia="仿宋" w:cs="仿宋"/>
          <w:sz w:val="24"/>
          <w:szCs w:val="24"/>
          <w:highlight w:val="none"/>
        </w:rPr>
      </w:pPr>
      <w:r>
        <w:rPr>
          <w:rFonts w:hint="eastAsia" w:ascii="仿宋" w:hAnsi="仿宋" w:eastAsia="仿宋" w:cs="仿宋"/>
          <w:sz w:val="24"/>
          <w:szCs w:val="24"/>
          <w:highlight w:val="none"/>
        </w:rPr>
        <w:t>（三）、验收</w:t>
      </w:r>
    </w:p>
    <w:p>
      <w:pPr>
        <w:rPr>
          <w:rFonts w:ascii="仿宋" w:hAnsi="仿宋" w:eastAsia="仿宋" w:cs="仿宋"/>
          <w:sz w:val="24"/>
          <w:szCs w:val="24"/>
          <w:highlight w:val="none"/>
        </w:rPr>
      </w:pPr>
      <w:r>
        <w:rPr>
          <w:rFonts w:hint="eastAsia" w:ascii="仿宋" w:hAnsi="仿宋" w:eastAsia="仿宋" w:cs="仿宋"/>
          <w:sz w:val="24"/>
          <w:szCs w:val="24"/>
          <w:highlight w:val="none"/>
        </w:rPr>
        <w:t>1.在交货之前，制造商应对产品质量、规格、性能和数量进行全面的检测，并出具证明产品与投标文件相符的证明书。</w:t>
      </w:r>
    </w:p>
    <w:p>
      <w:pPr>
        <w:rPr>
          <w:rFonts w:ascii="仿宋" w:hAnsi="仿宋" w:eastAsia="仿宋" w:cs="仿宋"/>
          <w:sz w:val="24"/>
          <w:szCs w:val="24"/>
          <w:highlight w:val="none"/>
        </w:rPr>
      </w:pPr>
      <w:r>
        <w:rPr>
          <w:rFonts w:hint="eastAsia" w:ascii="仿宋" w:hAnsi="仿宋" w:eastAsia="仿宋" w:cs="仿宋"/>
          <w:sz w:val="24"/>
          <w:szCs w:val="24"/>
          <w:highlight w:val="none"/>
        </w:rPr>
        <w:t>2.设备检测报告等资料齐全。</w:t>
      </w:r>
    </w:p>
    <w:p>
      <w:pPr>
        <w:rPr>
          <w:rFonts w:ascii="仿宋" w:hAnsi="仿宋" w:eastAsia="仿宋" w:cs="仿宋"/>
          <w:sz w:val="24"/>
          <w:szCs w:val="24"/>
          <w:highlight w:val="none"/>
        </w:rPr>
      </w:pPr>
      <w:r>
        <w:rPr>
          <w:rFonts w:hint="eastAsia" w:ascii="仿宋" w:hAnsi="仿宋" w:eastAsia="仿宋" w:cs="仿宋"/>
          <w:sz w:val="24"/>
          <w:szCs w:val="24"/>
          <w:highlight w:val="none"/>
        </w:rPr>
        <w:t>3.验收程序按合同条款。</w:t>
      </w:r>
    </w:p>
    <w:p>
      <w:pPr>
        <w:rPr>
          <w:rFonts w:ascii="仿宋" w:hAnsi="仿宋" w:eastAsia="仿宋" w:cs="仿宋"/>
          <w:sz w:val="24"/>
          <w:szCs w:val="24"/>
          <w:highlight w:val="none"/>
        </w:rPr>
      </w:pPr>
      <w:r>
        <w:rPr>
          <w:rFonts w:hint="eastAsia" w:ascii="仿宋" w:hAnsi="仿宋" w:eastAsia="仿宋" w:cs="仿宋"/>
          <w:sz w:val="24"/>
          <w:szCs w:val="24"/>
          <w:highlight w:val="none"/>
        </w:rPr>
        <w:t>4.货物抵达工地后，双方根据装箱文件清点件数及外观质量验收。</w:t>
      </w:r>
    </w:p>
    <w:p>
      <w:pPr>
        <w:rPr>
          <w:rFonts w:ascii="仿宋" w:hAnsi="仿宋" w:eastAsia="仿宋" w:cs="仿宋"/>
          <w:sz w:val="24"/>
          <w:szCs w:val="24"/>
          <w:highlight w:val="none"/>
        </w:rPr>
      </w:pPr>
      <w:r>
        <w:rPr>
          <w:rFonts w:hint="eastAsia" w:ascii="仿宋" w:hAnsi="仿宋" w:eastAsia="仿宋" w:cs="仿宋"/>
          <w:sz w:val="24"/>
          <w:szCs w:val="24"/>
          <w:highlight w:val="none"/>
        </w:rPr>
        <w:t>5.在产品制造过程中，采购人有随时检查验收之权利，中标人应无异议并给予配合。</w:t>
      </w:r>
    </w:p>
    <w:p>
      <w:pPr>
        <w:rPr>
          <w:rFonts w:ascii="仿宋" w:hAnsi="仿宋" w:eastAsia="仿宋" w:cs="仿宋"/>
          <w:sz w:val="24"/>
          <w:szCs w:val="24"/>
          <w:highlight w:val="none"/>
        </w:rPr>
      </w:pPr>
      <w:r>
        <w:rPr>
          <w:rFonts w:hint="eastAsia" w:ascii="仿宋" w:hAnsi="仿宋" w:eastAsia="仿宋" w:cs="仿宋"/>
          <w:sz w:val="24"/>
          <w:szCs w:val="24"/>
          <w:highlight w:val="none"/>
        </w:rPr>
        <w:t>6.设备在安装完毕后，需要对整机的性能进行调试、并会同采购人按验收规范进行系统的验收。</w:t>
      </w:r>
    </w:p>
    <w:p>
      <w:pPr>
        <w:outlineLvl w:val="1"/>
        <w:rPr>
          <w:rFonts w:ascii="仿宋" w:hAnsi="仿宋" w:eastAsia="仿宋" w:cs="仿宋"/>
          <w:sz w:val="24"/>
          <w:szCs w:val="24"/>
          <w:highlight w:val="none"/>
        </w:rPr>
      </w:pPr>
      <w:r>
        <w:rPr>
          <w:rFonts w:hint="eastAsia" w:ascii="仿宋" w:hAnsi="仿宋" w:eastAsia="仿宋" w:cs="仿宋"/>
          <w:sz w:val="24"/>
          <w:szCs w:val="24"/>
          <w:highlight w:val="none"/>
        </w:rPr>
        <w:t>（四）、备品备件</w:t>
      </w:r>
    </w:p>
    <w:p>
      <w:pPr>
        <w:rPr>
          <w:rFonts w:ascii="仿宋" w:hAnsi="仿宋" w:eastAsia="仿宋" w:cs="仿宋"/>
          <w:sz w:val="24"/>
          <w:szCs w:val="24"/>
          <w:highlight w:val="none"/>
        </w:rPr>
      </w:pPr>
      <w:r>
        <w:rPr>
          <w:rFonts w:hint="eastAsia" w:ascii="仿宋" w:hAnsi="仿宋" w:eastAsia="仿宋" w:cs="仿宋"/>
          <w:sz w:val="24"/>
          <w:szCs w:val="24"/>
          <w:highlight w:val="none"/>
        </w:rPr>
        <w:t>1.交货时提供按设备供货标准配置的专用工具和备品备件的清单。</w:t>
      </w:r>
    </w:p>
    <w:p>
      <w:pPr>
        <w:rPr>
          <w:rFonts w:ascii="仿宋" w:hAnsi="仿宋" w:eastAsia="仿宋" w:cs="仿宋"/>
          <w:sz w:val="24"/>
          <w:szCs w:val="24"/>
          <w:highlight w:val="none"/>
        </w:rPr>
      </w:pPr>
      <w:r>
        <w:rPr>
          <w:rFonts w:hint="eastAsia" w:ascii="仿宋" w:hAnsi="仿宋" w:eastAsia="仿宋" w:cs="仿宋"/>
          <w:sz w:val="24"/>
          <w:szCs w:val="24"/>
          <w:highlight w:val="none"/>
        </w:rPr>
        <w:t>2.交货时提供设备所需备件和易损常耗件的清单。</w:t>
      </w:r>
    </w:p>
    <w:p>
      <w:pPr>
        <w:rPr>
          <w:rFonts w:ascii="仿宋" w:hAnsi="仿宋" w:eastAsia="仿宋" w:cs="仿宋"/>
          <w:sz w:val="24"/>
          <w:szCs w:val="24"/>
          <w:highlight w:val="none"/>
        </w:rPr>
      </w:pPr>
      <w:r>
        <w:rPr>
          <w:rFonts w:hint="eastAsia" w:ascii="仿宋" w:hAnsi="仿宋" w:eastAsia="仿宋" w:cs="仿宋"/>
          <w:sz w:val="24"/>
          <w:szCs w:val="24"/>
          <w:highlight w:val="none"/>
        </w:rPr>
        <w:t>3.中标人应保证在设备的质保期内，采购人提出购买要求后可以买到维修所必需的零配件。</w:t>
      </w:r>
    </w:p>
    <w:p>
      <w:pPr>
        <w:outlineLvl w:val="1"/>
        <w:rPr>
          <w:rFonts w:ascii="仿宋" w:hAnsi="仿宋" w:eastAsia="仿宋" w:cs="仿宋"/>
          <w:sz w:val="24"/>
          <w:szCs w:val="24"/>
          <w:highlight w:val="none"/>
        </w:rPr>
      </w:pPr>
      <w:r>
        <w:rPr>
          <w:rFonts w:hint="eastAsia" w:ascii="仿宋" w:hAnsi="仿宋" w:eastAsia="仿宋" w:cs="仿宋"/>
          <w:sz w:val="24"/>
          <w:szCs w:val="24"/>
          <w:highlight w:val="none"/>
        </w:rPr>
        <w:t>(五)、售后服务要求</w:t>
      </w:r>
    </w:p>
    <w:p>
      <w:pPr>
        <w:rPr>
          <w:rFonts w:ascii="仿宋" w:hAnsi="仿宋" w:eastAsia="仿宋" w:cs="仿宋"/>
          <w:sz w:val="24"/>
          <w:szCs w:val="24"/>
          <w:highlight w:val="none"/>
        </w:rPr>
      </w:pPr>
      <w:r>
        <w:rPr>
          <w:rFonts w:hint="eastAsia" w:ascii="仿宋" w:hAnsi="仿宋" w:eastAsia="仿宋" w:cs="仿宋"/>
          <w:sz w:val="24"/>
          <w:szCs w:val="24"/>
          <w:highlight w:val="none"/>
        </w:rPr>
        <w:t>1.明确售后服务的优惠条件及保修的响应时间：中标人应提供24小时服务的支持电话，售后人员</w:t>
      </w:r>
      <w:r>
        <w:rPr>
          <w:rFonts w:ascii="仿宋" w:hAnsi="仿宋" w:eastAsia="仿宋" w:cs="仿宋"/>
          <w:sz w:val="24"/>
          <w:szCs w:val="24"/>
          <w:highlight w:val="none"/>
        </w:rPr>
        <w:t>24</w:t>
      </w:r>
      <w:r>
        <w:rPr>
          <w:rFonts w:hint="eastAsia" w:ascii="仿宋" w:hAnsi="仿宋" w:eastAsia="仿宋" w:cs="仿宋"/>
          <w:sz w:val="24"/>
          <w:szCs w:val="24"/>
          <w:highlight w:val="none"/>
        </w:rPr>
        <w:t>小时内到场，对于采购人提出的技术支持要求能保证一般故障</w:t>
      </w:r>
      <w:r>
        <w:rPr>
          <w:rFonts w:ascii="仿宋" w:hAnsi="仿宋" w:eastAsia="仿宋" w:cs="仿宋"/>
          <w:sz w:val="24"/>
          <w:szCs w:val="24"/>
          <w:highlight w:val="none"/>
        </w:rPr>
        <w:t>24</w:t>
      </w:r>
      <w:r>
        <w:rPr>
          <w:rFonts w:hint="eastAsia" w:ascii="仿宋" w:hAnsi="仿宋" w:eastAsia="仿宋" w:cs="仿宋"/>
          <w:sz w:val="24"/>
          <w:szCs w:val="24"/>
          <w:highlight w:val="none"/>
        </w:rPr>
        <w:t>小时内解决；</w:t>
      </w:r>
    </w:p>
    <w:p>
      <w:pPr>
        <w:rPr>
          <w:rFonts w:ascii="仿宋" w:hAnsi="仿宋" w:eastAsia="仿宋" w:cs="仿宋"/>
          <w:sz w:val="24"/>
          <w:szCs w:val="24"/>
          <w:highlight w:val="none"/>
        </w:rPr>
      </w:pPr>
      <w:r>
        <w:rPr>
          <w:rFonts w:hint="eastAsia" w:ascii="仿宋" w:hAnsi="仿宋" w:eastAsia="仿宋" w:cs="仿宋"/>
          <w:sz w:val="24"/>
          <w:szCs w:val="24"/>
          <w:highlight w:val="none"/>
        </w:rPr>
        <w:t>2.整套设备要求供货时提供免费备件的清单，质保期内如出现非人为的设备故障，中标人应及时免费更换或修理；</w:t>
      </w:r>
    </w:p>
    <w:p>
      <w:pPr>
        <w:rPr>
          <w:rFonts w:ascii="仿宋" w:hAnsi="仿宋" w:eastAsia="仿宋" w:cs="仿宋"/>
          <w:sz w:val="24"/>
          <w:szCs w:val="24"/>
          <w:highlight w:val="none"/>
        </w:rPr>
      </w:pPr>
      <w:r>
        <w:rPr>
          <w:rFonts w:hint="eastAsia" w:ascii="仿宋" w:hAnsi="仿宋" w:eastAsia="仿宋" w:cs="仿宋"/>
          <w:sz w:val="24"/>
          <w:szCs w:val="24"/>
          <w:highlight w:val="none"/>
        </w:rPr>
        <w:t>3.当备件停止生产的情况下，中标人应事先将停止生产的计划通知采购人，使采购人有足够的时间采购所需的备件。</w:t>
      </w:r>
    </w:p>
    <w:p>
      <w:pPr>
        <w:rPr>
          <w:rFonts w:ascii="仿宋" w:hAnsi="仿宋" w:eastAsia="仿宋" w:cs="仿宋"/>
          <w:sz w:val="24"/>
          <w:szCs w:val="24"/>
          <w:highlight w:val="none"/>
        </w:rPr>
      </w:pPr>
      <w:r>
        <w:rPr>
          <w:rFonts w:hint="eastAsia" w:ascii="仿宋" w:hAnsi="仿宋" w:eastAsia="仿宋" w:cs="仿宋"/>
          <w:sz w:val="24"/>
          <w:szCs w:val="24"/>
          <w:highlight w:val="none"/>
        </w:rPr>
        <w:t>4.验收交付后，在质保期内中标人应提供长期稳定的技术支持，并及时为采购人解决技术问题。</w:t>
      </w:r>
    </w:p>
    <w:p>
      <w:pPr>
        <w:rPr>
          <w:rFonts w:ascii="仿宋" w:hAnsi="仿宋" w:eastAsia="仿宋" w:cs="仿宋"/>
          <w:sz w:val="24"/>
          <w:szCs w:val="24"/>
          <w:highlight w:val="none"/>
        </w:rPr>
      </w:pPr>
      <w:r>
        <w:rPr>
          <w:rFonts w:hint="eastAsia" w:ascii="仿宋" w:hAnsi="仿宋" w:eastAsia="仿宋" w:cs="仿宋"/>
          <w:sz w:val="24"/>
          <w:szCs w:val="24"/>
          <w:highlight w:val="none"/>
        </w:rPr>
        <w:t>5.中标人在质保期内应提供定期的设备例行检查和维修服务。</w:t>
      </w:r>
    </w:p>
    <w:p>
      <w:pPr>
        <w:outlineLvl w:val="1"/>
        <w:rPr>
          <w:rFonts w:ascii="仿宋" w:hAnsi="仿宋" w:eastAsia="仿宋" w:cs="仿宋"/>
          <w:sz w:val="24"/>
          <w:szCs w:val="24"/>
          <w:highlight w:val="none"/>
        </w:rPr>
      </w:pPr>
      <w:r>
        <w:rPr>
          <w:rFonts w:hint="eastAsia" w:ascii="仿宋" w:hAnsi="仿宋" w:eastAsia="仿宋" w:cs="仿宋"/>
          <w:sz w:val="24"/>
          <w:szCs w:val="24"/>
          <w:highlight w:val="none"/>
        </w:rPr>
        <w:t>(六)、维修保养的要求</w:t>
      </w:r>
    </w:p>
    <w:p>
      <w:pPr>
        <w:rPr>
          <w:rFonts w:ascii="仿宋" w:hAnsi="仿宋" w:eastAsia="仿宋" w:cs="仿宋"/>
          <w:sz w:val="24"/>
          <w:szCs w:val="24"/>
          <w:highlight w:val="none"/>
        </w:rPr>
      </w:pPr>
      <w:r>
        <w:rPr>
          <w:rFonts w:hint="eastAsia" w:ascii="仿宋" w:hAnsi="仿宋" w:eastAsia="仿宋" w:cs="仿宋"/>
          <w:sz w:val="24"/>
          <w:szCs w:val="24"/>
          <w:highlight w:val="none"/>
        </w:rPr>
        <w:t>1.为了维修服务工作方便，中标人必须配有能在短时间内及时响应报修信息的人员，主管该维修组的工程师应在该设备制造厂培训过，并具有两年以上的设备维保工作经验。</w:t>
      </w:r>
    </w:p>
    <w:p>
      <w:pPr>
        <w:rPr>
          <w:rFonts w:ascii="仿宋" w:hAnsi="仿宋" w:eastAsia="仿宋" w:cs="仿宋"/>
          <w:sz w:val="24"/>
          <w:szCs w:val="24"/>
          <w:highlight w:val="none"/>
        </w:rPr>
      </w:pPr>
      <w:r>
        <w:rPr>
          <w:rFonts w:hint="eastAsia" w:ascii="仿宋" w:hAnsi="仿宋" w:eastAsia="仿宋" w:cs="仿宋"/>
          <w:sz w:val="24"/>
          <w:szCs w:val="24"/>
          <w:highlight w:val="none"/>
        </w:rPr>
        <w:t>2.免费维保期内一切非他方原因的维保费用由中标人承担。中标人在验收后应提供免费维保期内的维保工作详细计划与内容。</w:t>
      </w:r>
    </w:p>
    <w:p>
      <w:pPr>
        <w:rPr>
          <w:rFonts w:ascii="仿宋" w:hAnsi="仿宋" w:eastAsia="仿宋" w:cs="仿宋"/>
          <w:sz w:val="24"/>
          <w:szCs w:val="24"/>
          <w:highlight w:val="none"/>
        </w:rPr>
      </w:pPr>
      <w:r>
        <w:rPr>
          <w:rFonts w:hint="eastAsia" w:ascii="仿宋" w:hAnsi="仿宋" w:eastAsia="仿宋" w:cs="仿宋"/>
          <w:sz w:val="24"/>
          <w:szCs w:val="24"/>
          <w:highlight w:val="none"/>
        </w:rPr>
        <w:t>3.维保期内，设备一旦发生故障，中标人必须在投标文件承诺的时间内到达现场并及时排除故障。</w:t>
      </w:r>
    </w:p>
    <w:p>
      <w:pPr>
        <w:outlineLvl w:val="1"/>
        <w:rPr>
          <w:rFonts w:ascii="仿宋" w:hAnsi="仿宋" w:eastAsia="仿宋" w:cs="仿宋"/>
          <w:sz w:val="24"/>
          <w:szCs w:val="24"/>
          <w:highlight w:val="none"/>
        </w:rPr>
      </w:pPr>
      <w:r>
        <w:rPr>
          <w:rFonts w:hint="eastAsia" w:ascii="仿宋" w:hAnsi="仿宋" w:eastAsia="仿宋" w:cs="仿宋"/>
          <w:sz w:val="24"/>
          <w:szCs w:val="24"/>
          <w:highlight w:val="none"/>
        </w:rPr>
        <w:t>（七）、报价要求</w:t>
      </w:r>
    </w:p>
    <w:p>
      <w:pPr>
        <w:rPr>
          <w:rFonts w:ascii="仿宋" w:hAnsi="仿宋" w:eastAsia="仿宋" w:cs="仿宋"/>
          <w:sz w:val="24"/>
          <w:szCs w:val="24"/>
          <w:highlight w:val="none"/>
        </w:rPr>
      </w:pPr>
      <w:r>
        <w:rPr>
          <w:rFonts w:hint="eastAsia" w:ascii="仿宋" w:hAnsi="仿宋" w:eastAsia="仿宋" w:cs="仿宋"/>
          <w:sz w:val="24"/>
          <w:szCs w:val="24"/>
          <w:highlight w:val="none"/>
        </w:rPr>
        <w:t>1.报价货币为人民币。</w:t>
      </w:r>
    </w:p>
    <w:p>
      <w:pPr>
        <w:rPr>
          <w:rFonts w:ascii="仿宋" w:hAnsi="仿宋" w:eastAsia="仿宋" w:cs="仿宋"/>
          <w:sz w:val="24"/>
          <w:szCs w:val="24"/>
          <w:highlight w:val="none"/>
        </w:rPr>
      </w:pPr>
      <w:r>
        <w:rPr>
          <w:rFonts w:hint="eastAsia" w:ascii="仿宋" w:hAnsi="仿宋" w:eastAsia="仿宋" w:cs="仿宋"/>
          <w:sz w:val="24"/>
          <w:szCs w:val="24"/>
          <w:highlight w:val="none"/>
        </w:rPr>
        <w:t>2.包装要求及费用承担：按中标人的标准包装，但应考虑到防漏、防潮、防震、防盗和可能会发生的野蛮装卸等内陆运输及多次装卸之需要。费用包含在投标总价中，由中标人承担。</w:t>
      </w:r>
    </w:p>
    <w:p>
      <w:pPr>
        <w:rPr>
          <w:rFonts w:ascii="仿宋" w:hAnsi="仿宋" w:eastAsia="仿宋" w:cs="仿宋"/>
          <w:sz w:val="24"/>
          <w:szCs w:val="24"/>
          <w:highlight w:val="none"/>
        </w:rPr>
      </w:pPr>
      <w:r>
        <w:rPr>
          <w:rFonts w:hint="eastAsia" w:ascii="仿宋" w:hAnsi="仿宋" w:eastAsia="仿宋" w:cs="仿宋"/>
          <w:sz w:val="24"/>
          <w:szCs w:val="24"/>
          <w:highlight w:val="none"/>
        </w:rPr>
        <w:t>3.运输方式及费用承担：运杂费应包含在投标总价中，由中标人承担。</w:t>
      </w:r>
    </w:p>
    <w:p>
      <w:pPr>
        <w:rPr>
          <w:rFonts w:ascii="仿宋" w:hAnsi="仿宋" w:eastAsia="仿宋" w:cs="仿宋"/>
          <w:sz w:val="24"/>
          <w:szCs w:val="24"/>
          <w:highlight w:val="none"/>
        </w:rPr>
      </w:pPr>
      <w:r>
        <w:rPr>
          <w:rFonts w:hint="eastAsia" w:ascii="仿宋" w:hAnsi="仿宋" w:eastAsia="仿宋" w:cs="仿宋"/>
          <w:sz w:val="24"/>
          <w:szCs w:val="24"/>
          <w:highlight w:val="none"/>
        </w:rPr>
        <w:t>4.其它费用：有关税费等其它费用也包含在投标总价中。</w:t>
      </w:r>
    </w:p>
    <w:p>
      <w:pPr>
        <w:rPr>
          <w:sz w:val="24"/>
          <w:szCs w:val="32"/>
          <w:highlight w:val="none"/>
        </w:rPr>
      </w:pPr>
      <w:r>
        <w:rPr>
          <w:rFonts w:hint="eastAsia" w:ascii="仿宋" w:hAnsi="仿宋" w:eastAsia="仿宋" w:cs="仿宋"/>
          <w:sz w:val="24"/>
          <w:szCs w:val="24"/>
          <w:highlight w:val="none"/>
        </w:rPr>
        <w:t>5.投标总价为设备采购与服务的总价格，应包括设备、附件、供货、质量保付使用等所发生的一切与此有关的全部费用。</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黑体简体">
    <w:altName w:val="微软雅黑"/>
    <w:panose1 w:val="00000000000000000000"/>
    <w:charset w:val="86"/>
    <w:family w:val="auto"/>
    <w:pitch w:val="default"/>
    <w:sig w:usb0="00000000" w:usb1="00000000" w:usb2="00000012" w:usb3="00000000" w:csb0="00040001"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83B5361"/>
    <w:multiLevelType w:val="multilevel"/>
    <w:tmpl w:val="483B5361"/>
    <w:lvl w:ilvl="0" w:tentative="0">
      <w:start w:val="1"/>
      <w:numFmt w:val="lowerLetter"/>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
    <w:nsid w:val="52037192"/>
    <w:multiLevelType w:val="multilevel"/>
    <w:tmpl w:val="52037192"/>
    <w:lvl w:ilvl="0" w:tentative="0">
      <w:start w:val="1"/>
      <w:numFmt w:val="lowerLetter"/>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
    <w:nsid w:val="56566057"/>
    <w:multiLevelType w:val="multilevel"/>
    <w:tmpl w:val="56566057"/>
    <w:lvl w:ilvl="0" w:tentative="0">
      <w:start w:val="1"/>
      <w:numFmt w:val="lowerLetter"/>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
    <w:nsid w:val="59D752F7"/>
    <w:multiLevelType w:val="multilevel"/>
    <w:tmpl w:val="59D752F7"/>
    <w:lvl w:ilvl="0" w:tentative="0">
      <w:start w:val="1"/>
      <w:numFmt w:val="lowerLetter"/>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YxNTEyZTFlNTU0MjhjYmI5ZjY5OWY2YzJhZWFiOGUifQ=="/>
  </w:docVars>
  <w:rsids>
    <w:rsidRoot w:val="45612F54"/>
    <w:rsid w:val="02895B83"/>
    <w:rsid w:val="0305345B"/>
    <w:rsid w:val="16351E52"/>
    <w:rsid w:val="172A040E"/>
    <w:rsid w:val="1C0C71B1"/>
    <w:rsid w:val="2E637258"/>
    <w:rsid w:val="45612F54"/>
    <w:rsid w:val="77021D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240" w:lineRule="auto"/>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semiHidden/>
    <w:unhideWhenUsed/>
    <w:qFormat/>
    <w:uiPriority w:val="99"/>
    <w:pPr>
      <w:tabs>
        <w:tab w:val="center" w:pos="4153"/>
        <w:tab w:val="right" w:pos="8306"/>
      </w:tabs>
      <w:snapToGrid w:val="0"/>
      <w:jc w:val="left"/>
    </w:pPr>
    <w:rPr>
      <w:sz w:val="18"/>
      <w:szCs w:val="18"/>
    </w:rPr>
  </w:style>
  <w:style w:type="paragraph" w:styleId="3">
    <w:name w:val="Body Text Indent"/>
    <w:basedOn w:val="1"/>
    <w:semiHidden/>
    <w:unhideWhenUsed/>
    <w:qFormat/>
    <w:uiPriority w:val="99"/>
    <w:pPr>
      <w:spacing w:after="120"/>
      <w:ind w:left="420" w:leftChars="200"/>
    </w:pPr>
  </w:style>
  <w:style w:type="paragraph" w:styleId="4">
    <w:name w:val="Body Text First Indent 2"/>
    <w:basedOn w:val="3"/>
    <w:next w:val="1"/>
    <w:semiHidden/>
    <w:unhideWhenUsed/>
    <w:qFormat/>
    <w:uiPriority w:val="99"/>
    <w:pPr>
      <w:ind w:firstLine="420" w:firstLineChars="200"/>
    </w:pPr>
  </w:style>
  <w:style w:type="paragraph" w:customStyle="1" w:styleId="7">
    <w:name w:val="章标题"/>
    <w:basedOn w:val="1"/>
    <w:qFormat/>
    <w:uiPriority w:val="0"/>
    <w:pPr>
      <w:widowControl/>
      <w:spacing w:line="360" w:lineRule="auto"/>
      <w:ind w:left="442"/>
      <w:jc w:val="center"/>
      <w:outlineLvl w:val="1"/>
    </w:pPr>
    <w:rPr>
      <w:rFonts w:ascii="方正黑体简体" w:hAnsi="宋体" w:eastAsia="方正黑体简体" w:cstheme="minorBidi"/>
      <w:spacing w:val="6"/>
      <w:sz w:val="36"/>
      <w:szCs w:val="36"/>
      <w:lang w:bidi="en-U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4718</Words>
  <Characters>4886</Characters>
  <Lines>0</Lines>
  <Paragraphs>0</Paragraphs>
  <TotalTime>10</TotalTime>
  <ScaleCrop>false</ScaleCrop>
  <LinksUpToDate>false</LinksUpToDate>
  <CharactersWithSpaces>4891</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2022-10-26T01:18:00Z</dcterms:created>
  <dc:creator>马克思主义乖巧</dc:creator>
  <cp:lastModifiedBy>马克思主义乖巧</cp:lastModifiedBy>
  <dcterms:modified xsi:type="dcterms:W3CDTF">2022-10-26T01:52:24Z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76A1FC060A8440D9831FAF7048EA7EB2</vt:lpwstr>
  </property>
</Properties>
</file>