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883"/>
        <w:gridCol w:w="2699"/>
        <w:gridCol w:w="731"/>
        <w:gridCol w:w="4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22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eastAsia="zh-CN"/>
              </w:rPr>
              <w:t>房屋交易管理辅助性工作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政府购买服务考核明细表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分项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分值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细分考核指标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人事管理（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建立健全业务管理制度、岗位工作标准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按照业务要求，拟定管理制度和岗位工作标准，建立完善制度体系，报甲方审定，如未上报扣1分；管理过程中不按制度执行造成业务违规的，每件违规事宜扣0.1分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聘用符合招标文件及业务需要的工作人员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聘用工作人员必须与公司签订正式合同后方可上岗工作，因业务人员个人素质不符合招标文件岗位要求的，以上每违反1人次扣0.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分；未按招标文件规定配备相关技术人员的，每1岗位扣0.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按时发放工资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工资发放不得拖欠，每拖欠1个月工资扣0.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职工统一着正装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职工应着统一正装，每发现10人次不着正装扣0.1分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职工五险缴纳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全体职工必须按照劳动法要求缴纳五险，如发现任何一例不缴纳的，扣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职工住房公积金缴纳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为职工缴纳住房公积金，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如发现不缴纳的，扣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职工个人申请不缴纳的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除外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3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房屋交易管理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窗口受理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信息录入系统错误率不得高于1%，错误率每高1%扣0.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分；按照规定时限完成资料整理上报，未按规定办理时限上报的，每20笔业务扣0.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分；上报材料中存在错误的每20笔扣0.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分；窗口满意率不得低于90%，在90%基础上，每低1%扣0.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</w:tc>
      </w:tr>
      <w:tr>
        <w:trPr>
          <w:trHeight w:val="1033" w:hRule="atLeast"/>
          <w:jc w:val="center"/>
        </w:trPr>
        <w:tc>
          <w:tcPr>
            <w:tcW w:w="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业务档案管理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分类整理归档，并统一入库，未及时入库的发现一次，扣0.1分，档案借阅未履行正规借阅手续的发现一次，扣0.1分</w:t>
            </w:r>
          </w:p>
        </w:tc>
      </w:tr>
      <w:tr>
        <w:trPr>
          <w:trHeight w:val="969" w:hRule="atLeast"/>
          <w:jc w:val="center"/>
        </w:trPr>
        <w:tc>
          <w:tcPr>
            <w:tcW w:w="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业务系统日常维护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未及时进行系统数据维护的发现一次，扣0.5分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房屋交易政策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宣传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每年通过报纸、网络、电视、电台等媒体发布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房屋交易相关政策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宣传信息不低于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次，每少1次扣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业务报表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每月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月底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上报月度业务报表，未按时上报或报表数据虚报、造假、错误的，每1次扣0.1分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各类审计、督查问题查摆处理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甲方对乙方进行各类审计、督查后问题必须按照整改通知要求限期整改完成，每一项未完成扣0.1分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信访接待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接待信访人员，完成信息登记、政策解读、情况说明工作，建立台账并跟进信访问题直至解决为止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财务管理（20分）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二手房资金监管业务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按照业务流程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进行款项的收支，错收错支一次，扣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0.5分。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及时与银行对账，未及时对账发现一次，扣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0.2分，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并做好相应的台账记录，未做台账扣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日常出纳工作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做好日常支出报销资料的核验，未按规定报销的发现一次，扣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0.2分；未及时记账的发现一次，扣0.1分；未按规定完成人员保险及公积金缴纳的发现一次，扣0.2分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固定资产清查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固定资产、无形资产进行盘点，最后录入政事业单位资产管理信息系统，每年对固定资产定期进行折旧和盘点，出具固定资产清查报告。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各类审计、督查问题查摆处理及其它相关工作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按照各类审计文件批复要求，及时查摆处理问题，每1分项内容未完成的，扣0.1分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安全生产（10）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安全宣传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每年对工作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人员进行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安全学习，每缺少1次学习扣0.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分，每年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印制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100份宣传手册，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每少1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扣0.1分</w:t>
            </w:r>
          </w:p>
        </w:tc>
      </w:tr>
      <w:tr>
        <w:trPr>
          <w:trHeight w:val="1679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安全巡查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制定安全巡查制度和巡查标准，按照巡查标准每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安全巡查不少于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发现问题要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建立台账，当日并对问题进行销号处理，每少巡查1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或不记录一次台账扣0.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安全生产预案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制定安全生产预案，未制定扣1分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GMzNWYyNGQ1OTVlZmI2YmJhMWMzMmNjNGUxNjcifQ=="/>
  </w:docVars>
  <w:rsids>
    <w:rsidRoot w:val="00000000"/>
    <w:rsid w:val="65A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2022-11-05T11:16:02Z</dcterms:created>
  <dc:creator>王永峰</dc:creator>
  <cp:lastModifiedBy>回忆斑驳了过往</cp:lastModifiedBy>
  <dcterms:modified xsi:type="dcterms:W3CDTF">2022-11-05T11:16:23Z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3D4455897F044FE191F38DED7DADDEDC</vt:lpwstr>
  </property>
</Properties>
</file>